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秸种腐熟剂行业相关公司设立可行性研究报告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一、秸种腐熟剂筹建公司基本信息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(七)、秸种腐熟剂项目建设必要性分析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(一)、秸种腐熟剂项目选址原则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(五)、秸种腐熟剂项目选址综合评价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(一)、秸种腐熟剂项目背景分析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(二)、秸种腐熟剂项目建设必要性分析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八、秸种腐熟剂项目经济效益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(三)、秸种腐熟剂项目盈利能力分析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_Toc7785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九、秸种腐熟剂项目风险分析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9" w:history="1">
        <w:r>
          <w:rPr>
            <w:rFonts w:ascii="仿宋" w:eastAsia="仿宋" w:hAnsi="仿宋" w:cs="仿宋" w:hint="eastAsia"/>
            <w:lang w:eastAsia="zh-CN"/>
          </w:rPr>
          <w:t>(一)、秸种腐熟剂项目风险分析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(二)、秸种腐熟剂项目风险对策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_Toc29222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_Toc15450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(一)、社会责任秸种腐熟剂项目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十五、秸种腐熟剂项目总结分析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36"/>
      <w:r>
        <w:rPr>
          <w:rFonts w:ascii="仿宋" w:eastAsia="仿宋" w:hAnsi="仿宋" w:cs="仿宋" w:hint="eastAsia"/>
          <w:sz w:val="28"/>
          <w:lang w:eastAsia="zh-CN"/>
        </w:rPr>
        <w:t>一、秸种腐熟剂筹建公司基本信息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5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3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25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3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8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经营范围：从事XXX相关业务(企业依法自主选择经营秸种腐熟剂项目，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开展经营活动；依法须经批准的秸种腐熟剂项目，经相关部门批准后依批准的内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容开展经营活动；不得从事本市产业政策禁止和限制类秸种腐熟剂项目的经营活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25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https://d.book118.com/417005123016006034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7005123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2024-01-04T10:15:00Z</dcterms:created>
  <dcterms:modified xsi:type="dcterms:W3CDTF">2024-01-04T10:15:39Z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C6BA52A0945C4C6E83524E7DDD97C9F5_11</vt:lpwstr>
  </property>
  <property fmtid="{D5CDD505-2E9C-101B-9397-08002B2CF9AE}" pid="3" name="KSOProductBuildVer">
    <vt:lpwstr>2052-12.1.0.16120</vt:lpwstr>
  </property>
</Properties>
</file>