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156" w:afterLines="50"/>
        <w:jc w:val="center"/>
      </w:pPr>
      <w:bookmarkStart w:id="0" w:name="_Hlk112965570"/>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54.7pt" o:ole="" coordsize="21600,21600" o:preferrelative="t" filled="f" stroked="f">
            <v:stroke joinstyle="miter"/>
            <v:imagedata r:id="rId5" o:title=""/>
            <o:lock v:ext="edit" aspectratio="t"/>
            <w10:anchorlock/>
          </v:shape>
          <o:OLEObject Type="Embed" ProgID="Word.Picture.8" ShapeID="_x0000_i1025" DrawAspect="Content" ObjectID="_1468075725" r:id="rId6"/>
        </w:object>
      </w:r>
      <w:r>
        <w:rPr>
          <w:rFonts w:hint="eastAsia"/>
        </w:rPr>
        <w:t>　　</w:t>
      </w:r>
    </w:p>
    <w:p>
      <w:pPr>
        <w:jc w:val="center"/>
        <w:rPr>
          <w:rFonts w:ascii="宋体" w:hAnsi="宋体"/>
          <w:b/>
          <w:sz w:val="72"/>
          <w:szCs w:val="72"/>
        </w:rPr>
      </w:pPr>
      <w:r>
        <w:rPr>
          <w:rFonts w:ascii="隶书" w:eastAsia="隶书" w:hAnsi="华文中宋" w:cstheme="minorBidi" w:hint="eastAsia"/>
          <w:spacing w:val="-20"/>
          <w:w w:val="90"/>
          <w:sz w:val="80"/>
          <w:szCs w:val="80"/>
        </w:rPr>
        <w:t>毕业论文</w:t>
      </w:r>
    </w:p>
    <w:p>
      <w:pPr>
        <w:tabs>
          <w:tab w:val="left" w:pos="900"/>
          <w:tab w:val="left" w:pos="1080"/>
        </w:tabs>
        <w:spacing w:before="312" w:beforeLines="100"/>
        <w:jc w:val="center"/>
        <w:rPr>
          <w:b/>
          <w:sz w:val="48"/>
        </w:rPr>
      </w:pPr>
    </w:p>
    <w:p>
      <w:pPr>
        <w:adjustRightInd w:val="0"/>
        <w:snapToGrid w:val="0"/>
        <w:ind w:left="1280" w:hanging="1280" w:hangingChars="400"/>
        <w:jc w:val="left"/>
        <w:rPr>
          <w:sz w:val="32"/>
          <w:szCs w:val="32"/>
        </w:rPr>
      </w:pPr>
      <w:r>
        <w:rPr>
          <w:rFonts w:hint="eastAsia"/>
          <w:sz w:val="32"/>
          <w:szCs w:val="32"/>
        </w:rPr>
        <w:t xml:space="preserve"> </w:t>
      </w:r>
      <w:r>
        <w:rPr>
          <w:rFonts w:ascii="楷体" w:eastAsia="楷体" w:hAnsi="楷体" w:hint="eastAsia"/>
          <w:b/>
          <w:bCs/>
          <w:sz w:val="52"/>
          <w:szCs w:val="52"/>
        </w:rPr>
        <w:t>题目</w:t>
      </w:r>
      <w:r>
        <w:rPr>
          <w:rFonts w:hint="eastAsia"/>
          <w:sz w:val="32"/>
          <w:szCs w:val="32"/>
        </w:rPr>
        <w:t>：</w:t>
      </w:r>
      <w:r>
        <w:rPr>
          <w:rFonts w:ascii="楷体" w:eastAsia="楷体" w:hAnsi="楷体" w:hint="eastAsia"/>
          <w:sz w:val="36"/>
          <w:szCs w:val="36"/>
          <w:u w:val="single"/>
          <w:lang w:val="en-US" w:eastAsia="zh-CN"/>
        </w:rPr>
        <w:t xml:space="preserve">  </w:t>
      </w:r>
      <w:r>
        <w:rPr>
          <w:rFonts w:ascii="楷体" w:eastAsia="楷体" w:hAnsi="楷体" w:hint="eastAsia"/>
          <w:sz w:val="52"/>
          <w:szCs w:val="52"/>
          <w:u w:val="single"/>
          <w:lang w:val="en-US" w:eastAsia="zh-CN"/>
        </w:rPr>
        <w:t>胃癌术后护理</w:t>
      </w:r>
      <w:r>
        <w:rPr>
          <w:rFonts w:hint="eastAsia"/>
          <w:sz w:val="32"/>
          <w:szCs w:val="32"/>
          <w:u w:val="single"/>
        </w:rPr>
        <w:t xml:space="preserve">    </w:t>
      </w:r>
    </w:p>
    <w:p>
      <w:pPr>
        <w:tabs>
          <w:tab w:val="left" w:pos="0"/>
        </w:tabs>
        <w:spacing w:before="1560" w:beforeLines="500"/>
        <w:rPr>
          <w:sz w:val="32"/>
          <w:szCs w:val="32"/>
        </w:rPr>
      </w:pPr>
    </w:p>
    <w:tbl>
      <w:tblPr>
        <w:tblStyle w:val="TableNormal"/>
        <w:tblW w:w="0" w:type="auto"/>
        <w:tblInd w:w="0" w:type="dxa"/>
        <w:tblCellMar>
          <w:top w:w="0" w:type="dxa"/>
          <w:left w:w="108" w:type="dxa"/>
          <w:bottom w:w="0" w:type="dxa"/>
          <w:right w:w="108" w:type="dxa"/>
        </w:tblCellMar>
      </w:tblPr>
      <w:tblGrid>
        <w:gridCol w:w="3528"/>
        <w:gridCol w:w="3780"/>
      </w:tblGrid>
      <w:tr>
        <w:tblPrEx>
          <w:tblW w:w="0" w:type="auto"/>
          <w:tblInd w:w="0" w:type="dxa"/>
          <w:tblCellMar>
            <w:top w:w="0" w:type="dxa"/>
            <w:left w:w="108" w:type="dxa"/>
            <w:bottom w:w="0" w:type="dxa"/>
            <w:right w:w="108" w:type="dxa"/>
          </w:tblCellMar>
        </w:tblPrEx>
        <w:trPr>
          <w:trHeight w:val="90"/>
        </w:trPr>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    院:</w:t>
            </w:r>
          </w:p>
        </w:tc>
        <w:tc>
          <w:tcPr>
            <w:tcW w:w="3780" w:type="dxa"/>
            <w:tcBorders>
              <w:bottom w:val="single" w:sz="4" w:space="0" w:color="auto"/>
            </w:tcBorders>
            <w:vAlign w:val="bottom"/>
          </w:tcPr>
          <w:p>
            <w:pPr>
              <w:spacing w:before="156" w:beforeLines="50" w:line="480" w:lineRule="exact"/>
              <w:jc w:val="center"/>
              <w:rPr>
                <w:rFonts w:ascii="宋体" w:hAnsi="宋体"/>
                <w:bCs/>
                <w:sz w:val="28"/>
                <w:szCs w:val="32"/>
              </w:rPr>
            </w:pPr>
            <w:r>
              <w:rPr>
                <w:rFonts w:ascii="宋体" w:hAnsi="宋体" w:hint="eastAsia"/>
                <w:bCs/>
                <w:sz w:val="28"/>
                <w:szCs w:val="32"/>
              </w:rPr>
              <w:t>继续教育学院</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专    业:</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护理学</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color w:val="000000" w:themeColor="text1"/>
                <w:sz w:val="28"/>
                <w:szCs w:val="28"/>
                <w14:textFill>
                  <w14:solidFill>
                    <w14:schemeClr w14:val="tx1"/>
                  </w14:solidFill>
                </w14:textFill>
              </w:rPr>
              <w:t>学</w:t>
            </w:r>
            <w:r>
              <w:rPr>
                <w:rFonts w:ascii="宋体" w:hAnsi="宋体" w:hint="eastAsia"/>
                <w:b/>
                <w:color w:val="000000" w:themeColor="text1"/>
                <w:sz w:val="28"/>
                <w:szCs w:val="28"/>
                <w:lang w:val="en-US" w:eastAsia="zh-CN"/>
                <w14:textFill>
                  <w14:solidFill>
                    <w14:schemeClr w14:val="tx1"/>
                  </w14:solidFill>
                </w14:textFill>
              </w:rPr>
              <w:t xml:space="preserve">    </w:t>
            </w:r>
            <w:r>
              <w:rPr>
                <w:rFonts w:ascii="宋体" w:hAnsi="宋体" w:hint="eastAsia"/>
                <w:b/>
                <w:color w:val="000000" w:themeColor="text1"/>
                <w:sz w:val="28"/>
                <w:szCs w:val="28"/>
                <w14:textFill>
                  <w14:solidFill>
                    <w14:schemeClr w14:val="tx1"/>
                  </w14:solidFill>
                </w14:textFill>
              </w:rPr>
              <w:t>号</w:t>
            </w:r>
            <w:r>
              <w:rPr>
                <w:rFonts w:ascii="宋体" w:hAnsi="宋体" w:hint="eastAsia"/>
                <w:b/>
                <w:color w:val="000000" w:themeColor="text1"/>
                <w:sz w:val="28"/>
                <w:szCs w:val="28"/>
                <w:lang w:val="en-US" w:eastAsia="zh-CN"/>
                <w14:textFill>
                  <w14:solidFill>
                    <w14:schemeClr w14:val="tx1"/>
                  </w14:solidFill>
                </w14:textFill>
              </w:rPr>
              <w:t>:</w:t>
            </w:r>
          </w:p>
        </w:tc>
        <w:tc>
          <w:tcPr>
            <w:tcW w:w="3780" w:type="dxa"/>
            <w:tcBorders>
              <w:top w:val="single" w:sz="4" w:space="0" w:color="auto"/>
              <w:bottom w:val="single" w:sz="4" w:space="0" w:color="auto"/>
            </w:tcBorders>
            <w:vAlign w:val="bottom"/>
          </w:tcPr>
          <w:p>
            <w:pPr>
              <w:spacing w:before="156" w:beforeLines="50" w:line="480" w:lineRule="exact"/>
              <w:jc w:val="center"/>
              <w:rPr>
                <w:rFonts w:hint="default"/>
                <w:bCs/>
                <w:sz w:val="28"/>
                <w:szCs w:val="32"/>
              </w:rPr>
            </w:pPr>
            <w:r>
              <w:rPr>
                <w:bCs/>
                <w:sz w:val="28"/>
                <w:szCs w:val="32"/>
              </w:rPr>
              <w:t xml:space="preserve"> </w:t>
            </w:r>
            <w:r>
              <w:rPr>
                <w:rFonts w:hint="eastAsia"/>
                <w:bCs/>
                <w:sz w:val="28"/>
                <w:szCs w:val="32"/>
                <w:lang w:eastAsia="zh-CN"/>
              </w:rPr>
              <w:t>210051019111114</w:t>
            </w:r>
            <w:r>
              <w:rPr>
                <w:rFonts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学生姓名:</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bookmarkStart w:id="1" w:name="_GoBack"/>
            <w:r>
              <w:rPr>
                <w:rFonts w:ascii="宋体" w:hAnsi="宋体" w:hint="eastAsia"/>
                <w:bCs/>
                <w:sz w:val="28"/>
                <w:szCs w:val="32"/>
                <w:lang w:eastAsia="zh-CN"/>
              </w:rPr>
              <w:t>马晓燕</w:t>
            </w:r>
            <w:bookmarkEnd w:id="1"/>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指导教师:</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eastAsia"/>
                <w:bCs/>
                <w:sz w:val="28"/>
                <w:szCs w:val="32"/>
              </w:rPr>
            </w:pP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日    期:</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bCs/>
                <w:sz w:val="28"/>
                <w:szCs w:val="28"/>
              </w:rPr>
            </w:pPr>
            <w:r>
              <w:rPr>
                <w:rFonts w:hint="eastAsia"/>
                <w:sz w:val="28"/>
                <w:szCs w:val="28"/>
              </w:rPr>
              <w:t>二○</w:t>
            </w:r>
            <w:r>
              <w:rPr>
                <w:rFonts w:hint="eastAsia"/>
                <w:sz w:val="28"/>
                <w:szCs w:val="28"/>
                <w:lang w:val="en-US" w:eastAsia="zh-CN"/>
              </w:rPr>
              <w:t>二</w:t>
            </w:r>
            <w:r>
              <w:rPr>
                <w:rFonts w:hint="eastAsia"/>
                <w:sz w:val="28"/>
                <w:szCs w:val="28"/>
              </w:rPr>
              <w:t>二年</w:t>
            </w:r>
            <w:r>
              <w:rPr>
                <w:rFonts w:hint="eastAsia"/>
                <w:sz w:val="28"/>
                <w:szCs w:val="28"/>
                <w:lang w:val="en-US" w:eastAsia="zh-CN"/>
              </w:rPr>
              <w:t>十二</w:t>
            </w:r>
            <w:r>
              <w:rPr>
                <w:rFonts w:hint="eastAsia"/>
                <w:sz w:val="28"/>
                <w:szCs w:val="28"/>
              </w:rPr>
              <w:t>月</w:t>
            </w:r>
            <w:r>
              <w:rPr>
                <w:rFonts w:ascii="宋体" w:hAnsi="宋体" w:hint="eastAsia"/>
                <w:bCs/>
                <w:sz w:val="28"/>
                <w:szCs w:val="28"/>
              </w:rPr>
              <w:t xml:space="preserve"> </w:t>
            </w:r>
          </w:p>
        </w:tc>
      </w:tr>
    </w:tbl>
    <w:p>
      <w:pPr>
        <w:tabs>
          <w:tab w:val="left" w:pos="900"/>
          <w:tab w:val="left" w:pos="1080"/>
        </w:tabs>
        <w:ind w:firstLine="2112" w:firstLineChars="660"/>
        <w:rPr>
          <w:sz w:val="32"/>
          <w:szCs w:val="32"/>
        </w:rPr>
      </w:pPr>
    </w:p>
    <w:p>
      <w:pPr>
        <w:tabs>
          <w:tab w:val="left" w:pos="900"/>
          <w:tab w:val="left" w:pos="1080"/>
        </w:tabs>
        <w:ind w:firstLine="1440" w:firstLineChars="480"/>
        <w:rPr>
          <w:sz w:val="30"/>
          <w:szCs w:val="30"/>
        </w:rPr>
      </w:pPr>
    </w:p>
    <w:p/>
    <w:p/>
    <w:bookmarkEnd w:id="0"/>
    <w:p>
      <w:pPr>
        <w:sectPr>
          <w:headerReference w:type="default" r:id="rId7"/>
          <w:pgSz w:w="11906" w:h="16838"/>
          <w:pgMar w:top="1440" w:right="1800" w:bottom="1440" w:left="1800" w:header="851" w:footer="992" w:gutter="0"/>
          <w:cols w:num="1" w:space="425"/>
          <w:docGrid w:type="lines" w:linePitch="312" w:charSpace="0"/>
        </w:sectPr>
      </w:pPr>
    </w:p>
    <w:p>
      <w:pPr>
        <w:spacing w:before="141" w:line="228" w:lineRule="auto"/>
        <w:ind w:left="3730"/>
        <w:rPr>
          <w:rFonts w:ascii="黑体" w:eastAsia="黑体" w:hAnsi="黑体" w:cs="黑体"/>
          <w:spacing w:val="10"/>
          <w:sz w:val="36"/>
          <w:szCs w:val="36"/>
        </w:rPr>
      </w:pPr>
    </w:p>
    <w:p>
      <w:pPr>
        <w:spacing w:before="110" w:line="241" w:lineRule="auto"/>
        <w:jc w:val="center"/>
        <w:rPr>
          <w:rFonts w:ascii="黑体" w:eastAsia="黑体" w:hAnsi="黑体" w:cs="黑体" w:hint="eastAsia"/>
          <w:sz w:val="36"/>
          <w:szCs w:val="36"/>
        </w:rPr>
      </w:pPr>
      <w:r>
        <w:rPr>
          <w:rFonts w:ascii="黑体" w:eastAsia="黑体" w:hAnsi="黑体" w:cs="黑体" w:hint="eastAsia"/>
          <w:sz w:val="36"/>
          <w:szCs w:val="36"/>
          <w:lang w:eastAsia="zh-CN"/>
        </w:rPr>
        <w:t>摘</w:t>
      </w:r>
      <w:r>
        <w:rPr>
          <w:rFonts w:ascii="黑体" w:eastAsia="黑体" w:hAnsi="黑体" w:cs="黑体" w:hint="eastAsia"/>
          <w:sz w:val="36"/>
          <w:szCs w:val="36"/>
          <w:lang w:val="en-US" w:eastAsia="zh-CN"/>
        </w:rPr>
        <w:t xml:space="preserve">  </w:t>
      </w:r>
      <w:r>
        <w:rPr>
          <w:rFonts w:ascii="黑体" w:eastAsia="黑体" w:hAnsi="黑体" w:cs="黑体" w:hint="eastAsia"/>
          <w:sz w:val="36"/>
          <w:szCs w:val="36"/>
          <w:lang w:eastAsia="zh-CN"/>
        </w:rPr>
        <w:t>要</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eastAsia="zh-CN"/>
        </w:rPr>
        <w:t>目</w:t>
      </w:r>
      <w:r>
        <w:rPr>
          <w:rFonts w:ascii="宋体" w:hAnsi="宋体" w:cs="宋体" w:hint="eastAsia"/>
          <w:sz w:val="24"/>
          <w:szCs w:val="24"/>
          <w:lang w:eastAsia="zh-CN"/>
        </w:rPr>
        <w:t>的</w:t>
      </w:r>
      <w:r>
        <w:rPr>
          <w:rFonts w:ascii="宋体" w:eastAsia="宋体" w:hAnsi="宋体" w:cs="宋体" w:hint="eastAsia"/>
          <w:sz w:val="24"/>
          <w:szCs w:val="24"/>
          <w:lang w:eastAsia="zh-CN"/>
        </w:rPr>
        <w:t>：因为确诊水准的不断提升，初期胃癌发现率的升高，加上手术方式的不断完善，及其放化疗、放化疗、生物制品相互配合运用，近些年胃癌治疗总体水平拥有明显增强。据近年来材料，日本和欧美国家初期胃癌的5年存活率基本上都可达90%之上，日本整体胃癌手术后5年存活率也已超60%之上。初期胃癌的手术后复发性，日本汇报不上5%，欧美国家一般在5%～10%。</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eastAsia="zh-CN"/>
        </w:rPr>
        <w:t>目地：讨论胃癌手术后的护理及健康指导。</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eastAsia="zh-CN"/>
        </w:rPr>
        <w:t>方式：选择医院2008年9月~2010年9月肿瘤科行手术医治的胃癌患者34例，对它进行手术前、手术后及术后并发症护理，观查医护实际效果及患者的身体情况。</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eastAsia="zh-CN"/>
        </w:rPr>
        <w:t>结论：34例胃癌患者行手术医治，手术医治是胃癌患者优选治疗办法，针对手术后患者，高效的心理关怀和护理及其健康指导，还可以及早发现病况转变，降低各种各样病发症的产生，临床上收到良好的效果，提升了治疗率。</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eastAsia="zh-CN"/>
        </w:rPr>
        <w:t>本实验数据显示，胃癌患者术后并发症以符合口腔炎，吻合口溃疡及胆汁返流的发生率比较高，分别是35.3%，17.0%，25.4%。</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eastAsia="zh-CN"/>
        </w:rPr>
        <w:t>本例毕Ⅰ术和毕Ⅱ术病发症各自发生率对比，毕 I术式4例产生HP感柒（30.0%），较毕Ⅱ式（15.4%）患病率高；毕 I术式的患者符合口腔炎发生率为5例（77.8% ），毕II 术式7为例子 （ 91.2%），毕II术符合口腔炎发生率比较高；毕II 术式胆汁返流患病率比较高(28.5%)，而毕I术式吻合口溃疡患病率比较高（33.3%）。</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eastAsia="zh-CN"/>
        </w:rPr>
        <w:t>结果：通过以上的护理实践，临床上的确收到良好的效果，提升了治疗率。</w:t>
      </w:r>
    </w:p>
    <w:p>
      <w:pPr>
        <w:spacing w:before="1" w:line="228" w:lineRule="auto"/>
        <w:rPr>
          <w:rFonts w:ascii="宋体" w:hAnsi="宋体" w:cs="宋体"/>
          <w:sz w:val="23"/>
          <w:szCs w:val="23"/>
        </w:rPr>
      </w:pPr>
    </w:p>
    <w:p>
      <w:pPr>
        <w:spacing w:before="198" w:line="479" w:lineRule="exact"/>
        <w:rPr>
          <w:rFonts w:eastAsia="黑体" w:hint="eastAsia"/>
          <w:b/>
          <w:bCs/>
          <w:position w:val="4"/>
          <w:sz w:val="36"/>
          <w:szCs w:val="36"/>
        </w:rPr>
        <w:sectPr>
          <w:headerReference w:type="default" r:id="rId8"/>
          <w:footerReference w:type="default" r:id="rId9"/>
          <w:pgSz w:w="11906" w:h="16838"/>
          <w:pgMar w:top="1440" w:right="1800" w:bottom="1440" w:left="1800" w:header="851" w:footer="992" w:gutter="0"/>
          <w:pgNumType w:fmt="upperRoman" w:start="1"/>
          <w:cols w:num="1" w:space="425"/>
          <w:docGrid w:type="lines" w:linePitch="312" w:charSpace="0"/>
        </w:sectPr>
      </w:pPr>
      <w:r>
        <w:rPr>
          <w:rFonts w:ascii="黑体" w:eastAsia="黑体" w:hAnsi="黑体" w:cs="黑体"/>
          <w:spacing w:val="-6"/>
          <w:sz w:val="28"/>
          <w:szCs w:val="28"/>
        </w:rPr>
        <w:t>关键</w:t>
      </w:r>
      <w:r>
        <w:rPr>
          <w:rFonts w:ascii="黑体" w:eastAsia="黑体" w:hAnsi="黑体" w:cs="黑体"/>
          <w:spacing w:val="-4"/>
          <w:sz w:val="28"/>
          <w:szCs w:val="28"/>
        </w:rPr>
        <w:t>词</w:t>
      </w:r>
      <w:r>
        <w:rPr>
          <w:rFonts w:ascii="黑体" w:eastAsia="黑体" w:hAnsi="黑体" w:cs="黑体"/>
          <w:spacing w:val="-3"/>
          <w:sz w:val="28"/>
          <w:szCs w:val="28"/>
        </w:rPr>
        <w:t>：</w:t>
      </w:r>
      <w:r>
        <w:rPr>
          <w:rFonts w:ascii="宋体" w:hAnsi="宋体" w:cs="宋体" w:hint="eastAsia"/>
          <w:sz w:val="24"/>
        </w:rPr>
        <w:t>胃癌；术后护理；健康指导</w:t>
      </w:r>
    </w:p>
    <w:p>
      <w:pPr>
        <w:spacing w:before="198" w:line="479" w:lineRule="exact"/>
        <w:ind w:left="1974" w:firstLine="1400" w:firstLineChars="500"/>
        <w:rPr>
          <w:rFonts w:eastAsiaTheme="minorEastAsia"/>
          <w:b/>
          <w:bCs/>
          <w:position w:val="4"/>
          <w:sz w:val="28"/>
          <w:szCs w:val="28"/>
        </w:rPr>
      </w:pPr>
      <w:r>
        <w:rPr>
          <w:rFonts w:eastAsiaTheme="minorEastAsia"/>
          <w:b/>
          <w:bCs/>
          <w:position w:val="4"/>
          <w:sz w:val="28"/>
          <w:szCs w:val="28"/>
        </w:rPr>
        <w:t>Abstract</w:t>
      </w:r>
    </w:p>
    <w:p>
      <w:pPr>
        <w:pStyle w:val="22"/>
        <w:ind w:firstLine="420"/>
        <w:rPr>
          <w:rFonts w:hint="eastAsia"/>
        </w:rPr>
      </w:pPr>
    </w:p>
    <w:p>
      <w:pPr>
        <w:pStyle w:val="22"/>
        <w:ind w:firstLine="420"/>
        <w:rPr>
          <w:rFonts w:hint="eastAsia"/>
        </w:rPr>
      </w:pPr>
      <w:r>
        <w:rPr>
          <w:rFonts w:hint="eastAsia"/>
        </w:rPr>
        <w:t>Objective: Due to the continuous improvement of the diagnosis level</w:t>
      </w:r>
      <w:r>
        <w:rPr>
          <w:rFonts w:hint="eastAsia"/>
          <w:lang w:eastAsia="zh-CN"/>
        </w:rPr>
        <w:t>，</w:t>
      </w:r>
      <w:r>
        <w:rPr>
          <w:rFonts w:hint="eastAsia"/>
        </w:rPr>
        <w:t xml:space="preserve"> the increase of the detection rate of early gastric cancer</w:t>
      </w:r>
      <w:r>
        <w:rPr>
          <w:rFonts w:hint="eastAsia"/>
          <w:lang w:eastAsia="zh-CN"/>
        </w:rPr>
        <w:t>，</w:t>
      </w:r>
      <w:r>
        <w:rPr>
          <w:rFonts w:hint="eastAsia"/>
        </w:rPr>
        <w:t xml:space="preserve"> the continuous improvement of surgical methods</w:t>
      </w:r>
      <w:r>
        <w:rPr>
          <w:rFonts w:hint="eastAsia"/>
          <w:lang w:eastAsia="zh-CN"/>
        </w:rPr>
        <w:t>，</w:t>
      </w:r>
      <w:r>
        <w:rPr>
          <w:rFonts w:hint="eastAsia"/>
        </w:rPr>
        <w:t xml:space="preserve"> and the combination of chemoradiotherapy</w:t>
      </w:r>
      <w:r>
        <w:rPr>
          <w:rFonts w:hint="eastAsia"/>
          <w:lang w:eastAsia="zh-CN"/>
        </w:rPr>
        <w:t>，</w:t>
      </w:r>
      <w:r>
        <w:rPr>
          <w:rFonts w:hint="eastAsia"/>
        </w:rPr>
        <w:t xml:space="preserve"> chemoradiotherapy and biological products</w:t>
      </w:r>
      <w:r>
        <w:rPr>
          <w:rFonts w:hint="eastAsia"/>
          <w:lang w:eastAsia="zh-CN"/>
        </w:rPr>
        <w:t>，</w:t>
      </w:r>
      <w:r>
        <w:rPr>
          <w:rFonts w:hint="eastAsia"/>
        </w:rPr>
        <w:t xml:space="preserve"> the overall treatment level of gastric cancer has been significantly enhanced in recent years. According to recent materials</w:t>
      </w:r>
      <w:r>
        <w:rPr>
          <w:rFonts w:hint="eastAsia"/>
          <w:lang w:eastAsia="zh-CN"/>
        </w:rPr>
        <w:t>，</w:t>
      </w:r>
      <w:r>
        <w:rPr>
          <w:rFonts w:hint="eastAsia"/>
        </w:rPr>
        <w:t xml:space="preserve"> the 5-year survival rate of early gastric cancer in Japan</w:t>
      </w:r>
      <w:r>
        <w:rPr>
          <w:rFonts w:hint="eastAsia"/>
          <w:lang w:eastAsia="zh-CN"/>
        </w:rPr>
        <w:t>，</w:t>
      </w:r>
      <w:r>
        <w:rPr>
          <w:rFonts w:hint="eastAsia"/>
        </w:rPr>
        <w:t xml:space="preserve"> European and American countries can basically reach more than 90%</w:t>
      </w:r>
      <w:r>
        <w:rPr>
          <w:rFonts w:hint="eastAsia"/>
          <w:lang w:eastAsia="zh-CN"/>
        </w:rPr>
        <w:t>，</w:t>
      </w:r>
      <w:r>
        <w:rPr>
          <w:rFonts w:hint="eastAsia"/>
        </w:rPr>
        <w:t xml:space="preserve"> and the 5-year survival rate of overall gastric cancer after surgery in Japan has also exceeded 60%. The recurrence rate of early gastric cancer after operation is less than 5% in Japan and 5% ~ 10% in European and American countries.</w:t>
      </w:r>
    </w:p>
    <w:p>
      <w:pPr>
        <w:pStyle w:val="22"/>
        <w:ind w:firstLine="420"/>
        <w:rPr>
          <w:rFonts w:hint="eastAsia"/>
        </w:rPr>
      </w:pPr>
      <w:r>
        <w:rPr>
          <w:rFonts w:hint="eastAsia"/>
        </w:rPr>
        <w:t>Objective: To discuss the nursing and health guidance of gastric cancer after operation.</w:t>
      </w:r>
    </w:p>
    <w:p>
      <w:pPr>
        <w:pStyle w:val="22"/>
        <w:ind w:firstLine="420"/>
        <w:rPr>
          <w:rFonts w:hint="eastAsia"/>
        </w:rPr>
      </w:pPr>
      <w:r>
        <w:rPr>
          <w:rFonts w:hint="eastAsia"/>
        </w:rPr>
        <w:t>Methods: A total of 34 patients with gastric cancer who received surgical treatment in the oncology department of the hospital from September 2008 to September 2010 were selected. Complications nursing were conducted before</w:t>
      </w:r>
      <w:r>
        <w:rPr>
          <w:rFonts w:hint="eastAsia"/>
          <w:lang w:eastAsia="zh-CN"/>
        </w:rPr>
        <w:t>，</w:t>
      </w:r>
      <w:r>
        <w:rPr>
          <w:rFonts w:hint="eastAsia"/>
        </w:rPr>
        <w:t xml:space="preserve"> after and after surgery</w:t>
      </w:r>
      <w:r>
        <w:rPr>
          <w:rFonts w:hint="eastAsia"/>
          <w:lang w:eastAsia="zh-CN"/>
        </w:rPr>
        <w:t>，</w:t>
      </w:r>
      <w:r>
        <w:rPr>
          <w:rFonts w:hint="eastAsia"/>
        </w:rPr>
        <w:t xml:space="preserve"> and the practical effects of medical care and patients' physical conditions were observed.</w:t>
      </w:r>
    </w:p>
    <w:p>
      <w:pPr>
        <w:pStyle w:val="22"/>
        <w:ind w:firstLine="420"/>
        <w:rPr>
          <w:rFonts w:hint="eastAsia"/>
        </w:rPr>
      </w:pPr>
      <w:r>
        <w:rPr>
          <w:rFonts w:hint="eastAsia"/>
        </w:rPr>
        <w:t>Conclusion: 34 cases of patients with gastric cancer underwent surgical treatment</w:t>
      </w:r>
      <w:r>
        <w:rPr>
          <w:rFonts w:hint="eastAsia"/>
          <w:lang w:eastAsia="zh-CN"/>
        </w:rPr>
        <w:t>，</w:t>
      </w:r>
      <w:r>
        <w:rPr>
          <w:rFonts w:hint="eastAsia"/>
        </w:rPr>
        <w:t xml:space="preserve"> surgical treatment is the preferred treatment method for patients with gastric cancer</w:t>
      </w:r>
      <w:r>
        <w:rPr>
          <w:rFonts w:hint="eastAsia"/>
          <w:lang w:eastAsia="zh-CN"/>
        </w:rPr>
        <w:t>，</w:t>
      </w:r>
      <w:r>
        <w:rPr>
          <w:rFonts w:hint="eastAsia"/>
        </w:rPr>
        <w:t xml:space="preserve"> for patients after surgery</w:t>
      </w:r>
      <w:r>
        <w:rPr>
          <w:rFonts w:hint="eastAsia"/>
          <w:lang w:eastAsia="zh-CN"/>
        </w:rPr>
        <w:t>，</w:t>
      </w:r>
      <w:r>
        <w:rPr>
          <w:rFonts w:hint="eastAsia"/>
        </w:rPr>
        <w:t xml:space="preserve"> efficient psychological care and nursing and health guidance</w:t>
      </w:r>
      <w:r>
        <w:rPr>
          <w:rFonts w:hint="eastAsia"/>
          <w:lang w:eastAsia="zh-CN"/>
        </w:rPr>
        <w:t>，</w:t>
      </w:r>
      <w:r>
        <w:rPr>
          <w:rFonts w:hint="eastAsia"/>
        </w:rPr>
        <w:t xml:space="preserve"> but also early detection of the change of disease conditions</w:t>
      </w:r>
      <w:r>
        <w:rPr>
          <w:rFonts w:hint="eastAsia"/>
          <w:lang w:eastAsia="zh-CN"/>
        </w:rPr>
        <w:t>，</w:t>
      </w:r>
      <w:r>
        <w:rPr>
          <w:rFonts w:hint="eastAsia"/>
        </w:rPr>
        <w:t xml:space="preserve"> reduce the occurrence of a variety of diseases</w:t>
      </w:r>
      <w:r>
        <w:rPr>
          <w:rFonts w:hint="eastAsia"/>
          <w:lang w:eastAsia="zh-CN"/>
        </w:rPr>
        <w:t>，</w:t>
      </w:r>
      <w:r>
        <w:rPr>
          <w:rFonts w:hint="eastAsia"/>
        </w:rPr>
        <w:t xml:space="preserve"> received good clinical effect</w:t>
      </w:r>
      <w:r>
        <w:rPr>
          <w:rFonts w:hint="eastAsia"/>
          <w:lang w:eastAsia="zh-CN"/>
        </w:rPr>
        <w:t>，</w:t>
      </w:r>
      <w:r>
        <w:rPr>
          <w:rFonts w:hint="eastAsia"/>
        </w:rPr>
        <w:t xml:space="preserve"> improve the treatment rate.</w:t>
      </w:r>
    </w:p>
    <w:p>
      <w:pPr>
        <w:pStyle w:val="22"/>
        <w:ind w:firstLine="420"/>
        <w:rPr>
          <w:rFonts w:hint="eastAsia"/>
        </w:rPr>
      </w:pPr>
      <w:r>
        <w:rPr>
          <w:rFonts w:hint="eastAsia"/>
        </w:rPr>
        <w:t>The experimental data showed that the incidence of postoperative complications consistent with stomatitis</w:t>
      </w:r>
      <w:r>
        <w:rPr>
          <w:rFonts w:hint="eastAsia"/>
          <w:lang w:eastAsia="zh-CN"/>
        </w:rPr>
        <w:t>，</w:t>
      </w:r>
      <w:r>
        <w:rPr>
          <w:rFonts w:hint="eastAsia"/>
        </w:rPr>
        <w:t xml:space="preserve"> anastomotic ulcer and bile reflux in gastric cancer patients was relatively high</w:t>
      </w:r>
      <w:r>
        <w:rPr>
          <w:rFonts w:hint="eastAsia"/>
          <w:lang w:eastAsia="zh-CN"/>
        </w:rPr>
        <w:t>，</w:t>
      </w:r>
      <w:r>
        <w:rPr>
          <w:rFonts w:hint="eastAsia"/>
        </w:rPr>
        <w:t xml:space="preserve"> which were 35.3%</w:t>
      </w:r>
      <w:r>
        <w:rPr>
          <w:rFonts w:hint="eastAsia"/>
          <w:lang w:eastAsia="zh-CN"/>
        </w:rPr>
        <w:t>，</w:t>
      </w:r>
      <w:r>
        <w:rPr>
          <w:rFonts w:hint="eastAsia"/>
        </w:rPr>
        <w:t xml:space="preserve"> 17.0% and 25.4%</w:t>
      </w:r>
      <w:r>
        <w:rPr>
          <w:rFonts w:hint="eastAsia"/>
          <w:lang w:eastAsia="zh-CN"/>
        </w:rPr>
        <w:t>，</w:t>
      </w:r>
      <w:r>
        <w:rPr>
          <w:rFonts w:hint="eastAsia"/>
        </w:rPr>
        <w:t xml:space="preserve"> respectively.</w:t>
      </w:r>
    </w:p>
    <w:p>
      <w:pPr>
        <w:pStyle w:val="22"/>
        <w:ind w:firstLine="420"/>
        <w:rPr>
          <w:rFonts w:hint="eastAsia"/>
        </w:rPr>
        <w:sectPr>
          <w:headerReference w:type="default" r:id="rId10"/>
          <w:footerReference w:type="default" r:id="rId11"/>
          <w:type w:val="nextPage"/>
          <w:pgSz w:w="11906" w:h="16838"/>
          <w:pgMar w:top="1440" w:right="1800" w:bottom="1440" w:left="1800" w:header="851" w:footer="992" w:gutter="0"/>
          <w:pgNumType w:fmt="upperRoman" w:start="2"/>
          <w:cols w:num="1" w:space="425"/>
          <w:titlePg w:val="0"/>
          <w:docGrid w:type="lines" w:linePitch="312" w:charSpace="0"/>
        </w:sectPr>
      </w:pPr>
      <w:r>
        <w:rPr>
          <w:rFonts w:hint="eastAsia"/>
        </w:rPr>
        <w:t>In this case</w:t>
      </w:r>
      <w:r>
        <w:rPr>
          <w:rFonts w:hint="eastAsia"/>
          <w:lang w:eastAsia="zh-CN"/>
        </w:rPr>
        <w:t>，</w:t>
      </w:r>
      <w:r>
        <w:rPr>
          <w:rFonts w:hint="eastAsia"/>
        </w:rPr>
        <w:t xml:space="preserve"> the respective incidence of the disease after graduation Ⅰ and graduation Ⅱ were compared. Four patients with graduation I had HP sensitivity (30.0%)</w:t>
      </w:r>
      <w:r>
        <w:rPr>
          <w:rFonts w:hint="eastAsia"/>
          <w:lang w:eastAsia="zh-CN"/>
        </w:rPr>
        <w:t>，</w:t>
      </w:r>
      <w:r>
        <w:rPr>
          <w:rFonts w:hint="eastAsia"/>
        </w:rPr>
        <w:t xml:space="preserve"> whic</w:t>
      </w:r>
      <w:r>
        <w:rPr>
          <w:rFonts w:hint="eastAsia"/>
        </w:rPr>
        <w:t>h</w:t>
      </w:r>
      <w:r>
        <w:rPr>
          <w:rFonts w:hint="eastAsia"/>
        </w:rPr>
        <w:t xml:space="preserve"> was</w:t>
      </w:r>
      <w:r>
        <w:rPr>
          <w:rFonts w:hint="eastAsia"/>
        </w:rPr>
        <w:t xml:space="preserve"> higher</w:t>
      </w:r>
      <w:r>
        <w:rPr>
          <w:rFonts w:hint="eastAsia"/>
        </w:rPr>
        <w:t xml:space="preserve"> than</w:t>
      </w:r>
      <w:r>
        <w:rPr>
          <w:rFonts w:hint="eastAsia"/>
        </w:rPr>
        <w:t xml:space="preserve"> that</w:t>
      </w:r>
      <w:r>
        <w:rPr>
          <w:rFonts w:hint="eastAsia"/>
        </w:rPr>
        <w:t xml:space="preserve"> of</w:t>
      </w:r>
      <w:r>
        <w:rPr>
          <w:rFonts w:hint="eastAsia"/>
        </w:rPr>
        <w:t xml:space="preserve"> graduation</w:t>
      </w:r>
      <w:r>
        <w:rPr>
          <w:rFonts w:hint="eastAsia"/>
        </w:rPr>
        <w:t xml:space="preserve"> Ⅱ</w:t>
      </w:r>
      <w:r>
        <w:rPr>
          <w:rFonts w:hint="eastAsia"/>
        </w:rPr>
        <w:t xml:space="preserve"> (15.4%).</w:t>
      </w:r>
      <w:r>
        <w:rPr>
          <w:rFonts w:hint="eastAsia"/>
        </w:rPr>
        <w:t xml:space="preserve"> The</w:t>
      </w:r>
      <w:r>
        <w:rPr>
          <w:rFonts w:hint="eastAsia"/>
        </w:rPr>
        <w:t xml:space="preserve"> incidence</w:t>
      </w:r>
      <w:r>
        <w:rPr>
          <w:rFonts w:hint="eastAsia"/>
        </w:rPr>
        <w:t xml:space="preserve"> of</w:t>
      </w:r>
    </w:p>
    <w:p>
      <w:pPr>
        <w:pStyle w:val="22"/>
        <w:ind w:firstLine="420"/>
        <w:rPr>
          <w:rFonts w:hint="eastAsia"/>
        </w:rPr>
      </w:pPr>
      <w:r>
        <w:rPr>
          <w:rFonts w:hint="eastAsia"/>
        </w:rPr>
        <w:t xml:space="preserve"> stomatitis</w:t>
      </w:r>
      <w:r>
        <w:rPr>
          <w:rFonts w:hint="eastAsia"/>
        </w:rPr>
        <w:t xml:space="preserve"> was</w:t>
      </w:r>
      <w:r>
        <w:rPr>
          <w:rFonts w:hint="eastAsia"/>
        </w:rPr>
        <w:t xml:space="preserve"> 5</w:t>
      </w:r>
      <w:r>
        <w:rPr>
          <w:rFonts w:hint="eastAsia"/>
        </w:rPr>
        <w:t xml:space="preserve"> cases</w:t>
      </w:r>
      <w:r>
        <w:rPr>
          <w:rFonts w:hint="eastAsia"/>
        </w:rPr>
        <w:t xml:space="preserve"> (77.8%)</w:t>
      </w:r>
      <w:r>
        <w:rPr>
          <w:rFonts w:hint="eastAsia"/>
        </w:rPr>
        <w:t xml:space="preserve"> after</w:t>
      </w:r>
      <w:r>
        <w:rPr>
          <w:rFonts w:hint="eastAsia"/>
        </w:rPr>
        <w:t xml:space="preserve"> completion</w:t>
      </w:r>
      <w:r>
        <w:rPr>
          <w:rFonts w:hint="eastAsia"/>
        </w:rPr>
        <w:t xml:space="preserve"> of</w:t>
      </w:r>
      <w:r>
        <w:rPr>
          <w:rFonts w:hint="eastAsia"/>
        </w:rPr>
        <w:t xml:space="preserve"> I</w:t>
      </w:r>
      <w:r>
        <w:rPr>
          <w:rFonts w:hint="eastAsia"/>
        </w:rPr>
        <w:t xml:space="preserve"> operation</w:t>
      </w:r>
      <w:r>
        <w:rPr>
          <w:rFonts w:hint="eastAsia"/>
          <w:lang w:eastAsia="zh-CN"/>
        </w:rPr>
        <w:t>，</w:t>
      </w:r>
      <w:r>
        <w:rPr>
          <w:rFonts w:hint="eastAsia"/>
        </w:rPr>
        <w:t xml:space="preserve"> and 91.2% after completion of II operation 7. The incidence of stomatitis was relatively high after completion of II operation. The prevalence of bile reflux in Bi II was higher (28.5%)</w:t>
      </w:r>
      <w:r>
        <w:rPr>
          <w:rFonts w:hint="eastAsia"/>
          <w:lang w:eastAsia="zh-CN"/>
        </w:rPr>
        <w:t>，</w:t>
      </w:r>
      <w:r>
        <w:rPr>
          <w:rFonts w:hint="eastAsia"/>
        </w:rPr>
        <w:t xml:space="preserve"> while the prevalence of anastomotic ulcer in Bi I was higher (33.3%).</w:t>
      </w:r>
    </w:p>
    <w:p>
      <w:pPr>
        <w:pStyle w:val="22"/>
        <w:ind w:firstLine="420"/>
        <w:rPr>
          <w:rFonts w:hint="eastAsia"/>
        </w:rPr>
      </w:pPr>
      <w:r>
        <w:rPr>
          <w:rFonts w:hint="eastAsia"/>
        </w:rPr>
        <w:t>Results: Through the above nursing practice</w:t>
      </w:r>
      <w:r>
        <w:rPr>
          <w:rFonts w:hint="eastAsia"/>
          <w:lang w:eastAsia="zh-CN"/>
        </w:rPr>
        <w:t>，</w:t>
      </w:r>
      <w:r>
        <w:rPr>
          <w:rFonts w:hint="eastAsia"/>
        </w:rPr>
        <w:t xml:space="preserve"> clinical indeed received good effect</w:t>
      </w:r>
      <w:r>
        <w:rPr>
          <w:rFonts w:hint="eastAsia"/>
          <w:lang w:eastAsia="zh-CN"/>
        </w:rPr>
        <w:t>，</w:t>
      </w:r>
      <w:r>
        <w:rPr>
          <w:rFonts w:hint="eastAsia"/>
        </w:rPr>
        <w:t xml:space="preserve"> improve the treatment rate.</w:t>
      </w:r>
    </w:p>
    <w:p>
      <w:pPr>
        <w:pStyle w:val="22"/>
        <w:ind w:firstLine="420"/>
        <w:rPr>
          <w:rFonts w:hint="eastAsia"/>
        </w:rPr>
      </w:pPr>
    </w:p>
    <w:p>
      <w:pPr>
        <w:pStyle w:val="22"/>
        <w:ind w:firstLine="0" w:firstLineChars="0"/>
      </w:pPr>
      <w:r>
        <w:rPr>
          <w:b/>
          <w:bCs/>
        </w:rPr>
        <w:t>Key words:</w:t>
      </w:r>
      <w:r>
        <w:t xml:space="preserve"> </w:t>
      </w:r>
      <w:r>
        <w:rPr>
          <w:rFonts w:hint="eastAsia"/>
        </w:rPr>
        <w:t>Gastric cancer; Postoperative care; Health guidance</w:t>
      </w:r>
    </w:p>
    <w:p>
      <w:pPr>
        <w:pStyle w:val="22"/>
        <w:ind w:firstLine="0" w:firstLineChars="0"/>
        <w:rPr>
          <w:rFonts w:hint="eastAsia"/>
        </w:rPr>
        <w:sectPr>
          <w:headerReference w:type="default" r:id="rId12"/>
          <w:footerReference w:type="default" r:id="rId13"/>
          <w:type w:val="nextPage"/>
          <w:pgSz w:w="11906" w:h="16838"/>
          <w:pgMar w:top="1440" w:right="1800" w:bottom="1440" w:left="1800" w:header="851" w:footer="992" w:gutter="0"/>
          <w:pgNumType w:fmt="upperRoman" w:start="3"/>
          <w:cols w:num="1" w:space="425"/>
          <w:titlePg w:val="0"/>
          <w:docGrid w:type="lines" w:linePitch="312" w:charSpace="0"/>
        </w:sectPr>
      </w:pPr>
    </w:p>
    <w:p>
      <w:pPr>
        <w:spacing w:before="257" w:line="227" w:lineRule="auto"/>
        <w:ind w:right="37"/>
        <w:jc w:val="center"/>
        <w:rPr>
          <w:rFonts w:ascii="黑体" w:eastAsia="黑体" w:hAnsi="黑体" w:cs="黑体" w:hint="eastAsia"/>
          <w:spacing w:val="5"/>
          <w:sz w:val="32"/>
          <w:szCs w:val="32"/>
          <w14:textOutline w14:w="5791" w14:cap="sq">
            <w14:solidFill>
              <w14:srgbClr w14:val="000000"/>
            </w14:solidFill>
            <w14:prstDash w14:val="solid"/>
            <w14:bevel/>
          </w14:textOutline>
        </w:rPr>
      </w:pPr>
      <w:r>
        <w:rPr>
          <w:rFonts w:ascii="黑体" w:eastAsia="黑体" w:hAnsi="黑体" w:cs="黑体" w:hint="eastAsia"/>
          <w:spacing w:val="10"/>
          <w:sz w:val="32"/>
          <w:szCs w:val="32"/>
          <w14:textOutline w14:w="5791" w14:cap="sq">
            <w14:solidFill>
              <w14:srgbClr w14:val="000000"/>
            </w14:solidFill>
            <w14:prstDash w14:val="solid"/>
            <w14:bevel/>
          </w14:textOutline>
        </w:rPr>
        <w:t>目</w:t>
      </w:r>
      <w:r>
        <w:rPr>
          <w:rFonts w:ascii="黑体" w:eastAsia="黑体" w:hAnsi="黑体" w:cs="黑体" w:hint="eastAsia"/>
          <w:spacing w:val="5"/>
          <w:sz w:val="32"/>
          <w:szCs w:val="32"/>
        </w:rPr>
        <w:t>□</w:t>
      </w:r>
      <w:r>
        <w:rPr>
          <w:rFonts w:ascii="黑体" w:eastAsia="黑体" w:hAnsi="黑体" w:cs="黑体" w:hint="eastAsia"/>
          <w:spacing w:val="5"/>
          <w:sz w:val="32"/>
          <w:szCs w:val="32"/>
          <w14:textOutline w14:w="5791" w14:cap="sq">
            <w14:solidFill>
              <w14:srgbClr w14:val="000000"/>
            </w14:solidFill>
            <w14:prstDash w14:val="solid"/>
            <w14:bevel/>
          </w14:textOutline>
        </w:rPr>
        <w:t>录</w:t>
      </w:r>
    </w:p>
    <w:p>
      <w:pPr>
        <w:pStyle w:val="22"/>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4"/>
          <w:szCs w:val="24"/>
        </w:rPr>
      </w:pPr>
    </w:p>
    <w:p>
      <w:pPr>
        <w:pStyle w:val="TOC1"/>
        <w:tabs>
          <w:tab w:val="right" w:leader="dot" w:pos="8306"/>
        </w:tabs>
      </w:pPr>
      <w:r>
        <w:rPr>
          <w:rFonts w:ascii="宋体" w:eastAsia="宋体" w:hAnsi="宋体" w:cs="宋体"/>
          <w:spacing w:val="12"/>
          <w:sz w:val="20"/>
          <w:szCs w:val="20"/>
        </w:rPr>
        <w:fldChar w:fldCharType="begin"/>
      </w:r>
      <w:r>
        <w:rPr>
          <w:rFonts w:ascii="宋体" w:eastAsia="宋体" w:hAnsi="宋体" w:cs="宋体"/>
          <w:spacing w:val="12"/>
          <w:sz w:val="20"/>
          <w:szCs w:val="20"/>
        </w:rPr>
        <w:instrText>TOC\o"1-3"\h\u</w:instrText>
      </w:r>
      <w:r>
        <w:rPr>
          <w:rFonts w:ascii="宋体" w:eastAsia="宋体" w:hAnsi="宋体" w:cs="宋体"/>
          <w:spacing w:val="12"/>
          <w:sz w:val="20"/>
          <w:szCs w:val="20"/>
        </w:rPr>
        <w:fldChar w:fldCharType="separate"/>
      </w:r>
      <w:r>
        <w:rPr>
          <w:rFonts w:ascii="宋体" w:eastAsia="宋体" w:hAnsi="宋体" w:cs="宋体"/>
          <w:spacing w:val="12"/>
          <w:szCs w:val="20"/>
        </w:rPr>
        <w:fldChar w:fldCharType="begin"/>
      </w:r>
      <w:r>
        <w:rPr>
          <w:rFonts w:ascii="宋体" w:eastAsia="宋体" w:hAnsi="宋体" w:cs="宋体"/>
          <w:spacing w:val="12"/>
          <w:szCs w:val="20"/>
        </w:rPr>
        <w:instrText>HYPERLINK\l_Toc9377</w:instrText>
      </w:r>
      <w:r>
        <w:rPr>
          <w:rFonts w:ascii="宋体" w:eastAsia="宋体" w:hAnsi="宋体" w:cs="宋体"/>
          <w:spacing w:val="12"/>
          <w:szCs w:val="20"/>
        </w:rPr>
        <w:fldChar w:fldCharType="separate"/>
      </w:r>
      <w:r>
        <w:rPr>
          <w:rFonts w:ascii="宋体" w:eastAsia="宋体" w:hAnsi="宋体" w:cs="宋体" w:hint="eastAsia"/>
          <w:lang w:val="en-US" w:eastAsia="zh-CN"/>
        </w:rPr>
        <w:t>一、</w:t>
      </w:r>
      <w:r>
        <w:rPr>
          <w:rFonts w:hint="eastAsia"/>
          <w:lang w:val="en-US" w:eastAsia="zh-CN"/>
        </w:rPr>
        <w:t>引言</w:t>
      </w:r>
      <w:r>
        <w:tab/>
      </w:r>
      <w:r>
        <w:fldChar w:fldCharType="begin"/>
      </w:r>
      <w:r>
        <w:instrText>PAGEREF_Toc9377\h</w:instrText>
      </w:r>
      <w:r>
        <w:fldChar w:fldCharType="separate"/>
      </w:r>
      <w:r>
        <w:t>1</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HYPERLINK\l_Toc24103</w:instrText>
      </w:r>
      <w:r>
        <w:rPr>
          <w:rFonts w:ascii="宋体" w:eastAsia="宋体" w:hAnsi="宋体" w:cs="宋体"/>
          <w:spacing w:val="12"/>
          <w:szCs w:val="20"/>
        </w:rPr>
        <w:fldChar w:fldCharType="separate"/>
      </w:r>
      <w:r>
        <w:rPr>
          <w:rFonts w:ascii="宋体" w:eastAsia="宋体" w:hAnsi="宋体" w:cs="宋体" w:hint="eastAsia"/>
          <w:lang w:val="en-US" w:eastAsia="zh-CN"/>
        </w:rPr>
        <w:t>1.1</w:t>
      </w:r>
      <w:r>
        <w:rPr>
          <w:rFonts w:hint="eastAsia"/>
          <w:lang w:val="en-US" w:eastAsia="zh-CN"/>
        </w:rPr>
        <w:t>选题背景及实际意义</w:t>
      </w:r>
      <w:r>
        <w:tab/>
      </w:r>
      <w:r>
        <w:fldChar w:fldCharType="begin"/>
      </w:r>
      <w:r>
        <w:instrText>PAGEREF_Toc24103\h</w:instrText>
      </w:r>
      <w:r>
        <w:fldChar w:fldCharType="separate"/>
      </w:r>
      <w:r>
        <w:t>1</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HYPERLINK\l_Toc31813</w:instrText>
      </w:r>
      <w:r>
        <w:rPr>
          <w:rFonts w:ascii="宋体" w:eastAsia="宋体" w:hAnsi="宋体" w:cs="宋体"/>
          <w:spacing w:val="12"/>
          <w:szCs w:val="20"/>
        </w:rPr>
        <w:fldChar w:fldCharType="separate"/>
      </w:r>
      <w:r>
        <w:rPr>
          <w:rFonts w:ascii="宋体" w:eastAsia="宋体" w:hAnsi="宋体" w:cs="宋体" w:hint="eastAsia"/>
          <w:lang w:val="en-US" w:eastAsia="zh-CN"/>
        </w:rPr>
        <w:t>1.2</w:t>
      </w:r>
      <w:r>
        <w:rPr>
          <w:rFonts w:hint="eastAsia"/>
          <w:lang w:val="en-US" w:eastAsia="zh-CN"/>
        </w:rPr>
        <w:t>研究的目的及总体目标</w:t>
      </w:r>
      <w:r>
        <w:tab/>
      </w:r>
      <w:r>
        <w:fldChar w:fldCharType="begin"/>
      </w:r>
      <w:r>
        <w:instrText>PAGEREF_Toc31813\h</w:instrText>
      </w:r>
      <w:r>
        <w:fldChar w:fldCharType="separate"/>
      </w:r>
      <w:r>
        <w:t>2</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HYPERLINK\l_Toc31941</w:instrText>
      </w:r>
      <w:r>
        <w:rPr>
          <w:rFonts w:ascii="宋体" w:eastAsia="宋体" w:hAnsi="宋体" w:cs="宋体"/>
          <w:spacing w:val="12"/>
          <w:szCs w:val="20"/>
        </w:rPr>
        <w:fldChar w:fldCharType="separate"/>
      </w:r>
      <w:r>
        <w:rPr>
          <w:rFonts w:ascii="宋体" w:eastAsia="宋体" w:hAnsi="宋体" w:cs="宋体" w:hint="eastAsia"/>
          <w:lang w:val="en-US" w:eastAsia="zh-CN"/>
        </w:rPr>
        <w:t>1.3</w:t>
      </w:r>
      <w:r>
        <w:rPr>
          <w:rFonts w:hint="eastAsia"/>
          <w:lang w:val="en-US" w:eastAsia="zh-CN"/>
        </w:rPr>
        <w:t>关键字及界定</w:t>
      </w:r>
      <w:r>
        <w:tab/>
      </w:r>
      <w:r>
        <w:fldChar w:fldCharType="begin"/>
      </w:r>
      <w:r>
        <w:instrText>PAGEREF_Toc31941\h</w:instrText>
      </w:r>
      <w:r>
        <w:fldChar w:fldCharType="separate"/>
      </w:r>
      <w:r>
        <w:t>2</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HYPERLINK\l_Toc31207</w:instrText>
      </w:r>
      <w:r>
        <w:rPr>
          <w:rFonts w:ascii="宋体" w:eastAsia="宋体" w:hAnsi="宋体" w:cs="宋体"/>
          <w:spacing w:val="12"/>
          <w:szCs w:val="20"/>
        </w:rPr>
        <w:fldChar w:fldCharType="separate"/>
      </w:r>
      <w:r>
        <w:rPr>
          <w:rFonts w:ascii="宋体" w:eastAsia="宋体" w:hAnsi="宋体" w:cs="宋体" w:hint="eastAsia"/>
          <w:lang w:val="en-US" w:eastAsia="zh-CN"/>
        </w:rPr>
        <w:t>1.3.1</w:t>
      </w:r>
      <w:r>
        <w:rPr>
          <w:rFonts w:hint="eastAsia"/>
          <w:lang w:val="en-US" w:eastAsia="zh-CN"/>
        </w:rPr>
        <w:t>胃癌</w:t>
      </w:r>
      <w:r>
        <w:tab/>
      </w:r>
      <w:r>
        <w:fldChar w:fldCharType="begin"/>
      </w:r>
      <w:r>
        <w:instrText>PAGEREF_Toc31207\h</w:instrText>
      </w:r>
      <w:r>
        <w:fldChar w:fldCharType="separate"/>
      </w:r>
      <w:r>
        <w:t>2</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HYPERLINK\l_Toc6413</w:instrText>
      </w:r>
      <w:r>
        <w:rPr>
          <w:rFonts w:ascii="宋体" w:eastAsia="宋体" w:hAnsi="宋体" w:cs="宋体"/>
          <w:spacing w:val="12"/>
          <w:szCs w:val="20"/>
        </w:rPr>
        <w:fldChar w:fldCharType="separate"/>
      </w:r>
      <w:r>
        <w:rPr>
          <w:rFonts w:ascii="宋体" w:eastAsia="宋体" w:hAnsi="宋体" w:cs="宋体" w:hint="eastAsia"/>
          <w:lang w:val="en-US" w:eastAsia="zh-CN"/>
        </w:rPr>
        <w:t>1.4</w:t>
      </w:r>
      <w:r>
        <w:rPr>
          <w:rFonts w:hint="eastAsia"/>
          <w:lang w:val="en-US" w:eastAsia="zh-CN"/>
        </w:rPr>
        <w:t>手术后护理</w:t>
      </w:r>
      <w:r>
        <w:tab/>
      </w:r>
      <w:r>
        <w:fldChar w:fldCharType="begin"/>
      </w:r>
      <w:r>
        <w:instrText>PAGEREF_Toc6413\h</w:instrText>
      </w:r>
      <w:r>
        <w:fldChar w:fldCharType="separate"/>
      </w:r>
      <w:r>
        <w:t>2</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HYPERLINK\l_Toc171</w:instrText>
      </w:r>
      <w:r>
        <w:rPr>
          <w:rFonts w:ascii="宋体" w:eastAsia="宋体" w:hAnsi="宋体" w:cs="宋体"/>
          <w:spacing w:val="12"/>
          <w:szCs w:val="20"/>
        </w:rPr>
        <w:fldChar w:fldCharType="separate"/>
      </w:r>
      <w:r>
        <w:rPr>
          <w:rFonts w:ascii="宋体" w:eastAsia="宋体" w:hAnsi="宋体" w:cs="宋体" w:hint="eastAsia"/>
          <w:lang w:val="en-US" w:eastAsia="zh-CN"/>
        </w:rPr>
        <w:t>1.4.1</w:t>
      </w:r>
      <w:r>
        <w:rPr>
          <w:rFonts w:hint="eastAsia"/>
          <w:lang w:val="en-US" w:eastAsia="zh-CN"/>
        </w:rPr>
        <w:t>身心健康指导</w:t>
      </w:r>
      <w:r>
        <w:tab/>
      </w:r>
      <w:r>
        <w:fldChar w:fldCharType="begin"/>
      </w:r>
      <w:r>
        <w:instrText>PAGEREF_Toc171\h</w:instrText>
      </w:r>
      <w:r>
        <w:fldChar w:fldCharType="separate"/>
      </w:r>
      <w:r>
        <w:t>2</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HYPERLINK\l_Toc8335</w:instrText>
      </w:r>
      <w:r>
        <w:rPr>
          <w:rFonts w:ascii="宋体" w:eastAsia="宋体" w:hAnsi="宋体" w:cs="宋体"/>
          <w:spacing w:val="12"/>
          <w:szCs w:val="20"/>
        </w:rPr>
        <w:fldChar w:fldCharType="separate"/>
      </w:r>
      <w:r>
        <w:rPr>
          <w:rFonts w:ascii="宋体" w:eastAsia="宋体" w:hAnsi="宋体" w:cs="宋体" w:hint="eastAsia"/>
          <w:lang w:val="en-US" w:eastAsia="zh-CN"/>
        </w:rPr>
        <w:t>1.4.2</w:t>
      </w:r>
      <w:r>
        <w:rPr>
          <w:rFonts w:hint="eastAsia"/>
          <w:lang w:val="en-US" w:eastAsia="zh-CN"/>
        </w:rPr>
        <w:t>文献回顾</w:t>
      </w:r>
      <w:r>
        <w:tab/>
      </w:r>
      <w:r>
        <w:fldChar w:fldCharType="begin"/>
      </w:r>
      <w:r>
        <w:instrText>PAGEREF_Toc8335\h</w:instrText>
      </w:r>
      <w:r>
        <w:fldChar w:fldCharType="separate"/>
      </w:r>
      <w:r>
        <w:t>3</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HYPERLINK\l_Toc2779</w:instrText>
      </w:r>
      <w:r>
        <w:rPr>
          <w:rFonts w:ascii="宋体" w:eastAsia="宋体" w:hAnsi="宋体" w:cs="宋体"/>
          <w:spacing w:val="12"/>
          <w:szCs w:val="20"/>
        </w:rPr>
        <w:fldChar w:fldCharType="separate"/>
      </w:r>
      <w:r>
        <w:rPr>
          <w:rFonts w:ascii="宋体" w:eastAsia="宋体" w:hAnsi="宋体" w:cs="宋体" w:hint="eastAsia"/>
          <w:lang w:val="en-US" w:eastAsia="zh-CN"/>
        </w:rPr>
        <w:t>1.4.3</w:t>
      </w:r>
      <w:r>
        <w:rPr>
          <w:rFonts w:hint="eastAsia"/>
          <w:lang w:val="en-US" w:eastAsia="zh-CN"/>
        </w:rPr>
        <w:t>手术前护理</w:t>
      </w:r>
      <w:r>
        <w:tab/>
      </w:r>
      <w:r>
        <w:fldChar w:fldCharType="begin"/>
      </w:r>
      <w:r>
        <w:instrText>PAGEREF_Toc2779\h</w:instrText>
      </w:r>
      <w:r>
        <w:fldChar w:fldCharType="separate"/>
      </w:r>
      <w:r>
        <w:t>3</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HYPERLINK\l_Toc17282</w:instrText>
      </w:r>
      <w:r>
        <w:rPr>
          <w:rFonts w:ascii="宋体" w:eastAsia="宋体" w:hAnsi="宋体" w:cs="宋体"/>
          <w:spacing w:val="12"/>
          <w:szCs w:val="20"/>
        </w:rPr>
        <w:fldChar w:fldCharType="separate"/>
      </w:r>
      <w:r>
        <w:rPr>
          <w:rFonts w:ascii="宋体" w:eastAsia="宋体" w:hAnsi="宋体" w:cs="宋体" w:hint="eastAsia"/>
          <w:lang w:val="en-US" w:eastAsia="zh-CN"/>
        </w:rPr>
        <w:t>1.4.4</w:t>
      </w:r>
      <w:r>
        <w:rPr>
          <w:rFonts w:hint="eastAsia"/>
          <w:lang w:val="en-US" w:eastAsia="zh-CN"/>
        </w:rPr>
        <w:t>手术后护理</w:t>
      </w:r>
      <w:r>
        <w:tab/>
      </w:r>
      <w:r>
        <w:fldChar w:fldCharType="begin"/>
      </w:r>
      <w:r>
        <w:instrText>PAGEREF_Toc17282\h</w:instrText>
      </w:r>
      <w:r>
        <w:fldChar w:fldCharType="separate"/>
      </w:r>
      <w:r>
        <w:t>4</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HYPERLINK\l_Toc29335</w:instrText>
      </w:r>
      <w:r>
        <w:rPr>
          <w:rFonts w:ascii="宋体" w:eastAsia="宋体" w:hAnsi="宋体" w:cs="宋体"/>
          <w:spacing w:val="12"/>
          <w:szCs w:val="20"/>
        </w:rPr>
        <w:fldChar w:fldCharType="separate"/>
      </w:r>
      <w:r>
        <w:rPr>
          <w:rFonts w:ascii="宋体" w:eastAsia="宋体" w:hAnsi="宋体" w:cs="宋体" w:hint="eastAsia"/>
          <w:lang w:val="en-US" w:eastAsia="zh-CN"/>
        </w:rPr>
        <w:t>1.4.5</w:t>
      </w:r>
      <w:r>
        <w:rPr>
          <w:rFonts w:hint="eastAsia"/>
          <w:lang w:val="en-US" w:eastAsia="zh-CN"/>
        </w:rPr>
        <w:t>手术后常见并发症护理</w:t>
      </w:r>
      <w:r>
        <w:tab/>
      </w:r>
      <w:r>
        <w:fldChar w:fldCharType="begin"/>
      </w:r>
      <w:r>
        <w:instrText>PAGEREF_Toc29335\h</w:instrText>
      </w:r>
      <w:r>
        <w:fldChar w:fldCharType="separate"/>
      </w:r>
      <w:r>
        <w:t>6</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HYPERLINK\l_Toc23334</w:instrText>
      </w:r>
      <w:r>
        <w:rPr>
          <w:rFonts w:ascii="宋体" w:eastAsia="宋体" w:hAnsi="宋体" w:cs="宋体"/>
          <w:spacing w:val="12"/>
          <w:szCs w:val="20"/>
        </w:rPr>
        <w:fldChar w:fldCharType="separate"/>
      </w:r>
      <w:r>
        <w:rPr>
          <w:rFonts w:ascii="宋体" w:eastAsia="宋体" w:hAnsi="宋体" w:cs="宋体" w:hint="eastAsia"/>
          <w:lang w:val="en-US" w:eastAsia="zh-CN"/>
        </w:rPr>
        <w:t>1.4.6</w:t>
      </w:r>
      <w:r>
        <w:rPr>
          <w:rFonts w:hint="eastAsia"/>
          <w:lang w:val="en-US" w:eastAsia="zh-CN"/>
        </w:rPr>
        <w:t>健康指导</w:t>
      </w:r>
      <w:r>
        <w:tab/>
      </w:r>
      <w:r>
        <w:fldChar w:fldCharType="begin"/>
      </w:r>
      <w:r>
        <w:instrText>PAGEREF_Toc23334\h</w:instrText>
      </w:r>
      <w:r>
        <w:fldChar w:fldCharType="separate"/>
      </w:r>
      <w:r>
        <w:t>10</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HYPERLINK\l_Toc32066</w:instrText>
      </w:r>
      <w:r>
        <w:rPr>
          <w:rFonts w:ascii="宋体" w:eastAsia="宋体" w:hAnsi="宋体" w:cs="宋体"/>
          <w:spacing w:val="12"/>
          <w:szCs w:val="20"/>
        </w:rPr>
        <w:fldChar w:fldCharType="separate"/>
      </w:r>
      <w:r>
        <w:rPr>
          <w:rFonts w:ascii="宋体" w:eastAsia="宋体" w:hAnsi="宋体" w:cs="宋体" w:hint="eastAsia"/>
          <w:lang w:val="en-US" w:eastAsia="zh-CN"/>
        </w:rPr>
        <w:t>二、</w:t>
      </w:r>
      <w:r>
        <w:rPr>
          <w:rFonts w:hint="eastAsia"/>
          <w:lang w:val="en-US" w:eastAsia="zh-CN"/>
        </w:rPr>
        <w:t>目标和方法</w:t>
      </w:r>
      <w:r>
        <w:tab/>
      </w:r>
      <w:r>
        <w:fldChar w:fldCharType="begin"/>
      </w:r>
      <w:r>
        <w:instrText>PAGEREF_Toc32066\h</w:instrText>
      </w:r>
      <w:r>
        <w:fldChar w:fldCharType="separate"/>
      </w:r>
      <w:r>
        <w:t>10</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HYPERLINK\l_Toc3078</w:instrText>
      </w:r>
      <w:r>
        <w:rPr>
          <w:rFonts w:ascii="宋体" w:eastAsia="宋体" w:hAnsi="宋体" w:cs="宋体"/>
          <w:spacing w:val="12"/>
          <w:szCs w:val="20"/>
        </w:rPr>
        <w:fldChar w:fldCharType="separate"/>
      </w:r>
      <w:r>
        <w:rPr>
          <w:rFonts w:ascii="宋体" w:eastAsia="宋体" w:hAnsi="宋体" w:cs="宋体" w:hint="eastAsia"/>
          <w:lang w:val="en-US" w:eastAsia="zh-CN"/>
        </w:rPr>
        <w:t>2.1</w:t>
      </w:r>
      <w:r>
        <w:rPr>
          <w:rFonts w:hint="eastAsia"/>
          <w:lang w:val="en-US" w:eastAsia="zh-CN"/>
        </w:rPr>
        <w:t>研究方法</w:t>
      </w:r>
      <w:r>
        <w:tab/>
      </w:r>
      <w:r>
        <w:fldChar w:fldCharType="begin"/>
      </w:r>
      <w:r>
        <w:instrText>PAGEREF_Toc3078\h</w:instrText>
      </w:r>
      <w:r>
        <w:fldChar w:fldCharType="separate"/>
      </w:r>
      <w:r>
        <w:t>10</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HYPERLINK\l_Toc10013</w:instrText>
      </w:r>
      <w:r>
        <w:rPr>
          <w:rFonts w:ascii="宋体" w:eastAsia="宋体" w:hAnsi="宋体" w:cs="宋体"/>
          <w:spacing w:val="12"/>
          <w:szCs w:val="20"/>
        </w:rPr>
        <w:fldChar w:fldCharType="separate"/>
      </w:r>
      <w:r>
        <w:rPr>
          <w:rFonts w:ascii="宋体" w:eastAsia="宋体" w:hAnsi="宋体" w:cs="宋体" w:hint="eastAsia"/>
          <w:lang w:val="en-US" w:eastAsia="zh-CN"/>
        </w:rPr>
        <w:t>2.2</w:t>
      </w:r>
      <w:r>
        <w:rPr>
          <w:rFonts w:hint="eastAsia"/>
          <w:lang w:val="en-US" w:eastAsia="zh-CN"/>
        </w:rPr>
        <w:t>研究主体</w:t>
      </w:r>
      <w:r>
        <w:tab/>
      </w:r>
      <w:r>
        <w:fldChar w:fldCharType="begin"/>
      </w:r>
      <w:r>
        <w:instrText>PAGEREF_Toc10013\h</w:instrText>
      </w:r>
      <w:r>
        <w:fldChar w:fldCharType="separate"/>
      </w:r>
      <w:r>
        <w:t>10</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HYPERLINK\l_Toc19360</w:instrText>
      </w:r>
      <w:r>
        <w:rPr>
          <w:rFonts w:ascii="宋体" w:eastAsia="宋体" w:hAnsi="宋体" w:cs="宋体"/>
          <w:spacing w:val="12"/>
          <w:szCs w:val="20"/>
        </w:rPr>
        <w:fldChar w:fldCharType="separate"/>
      </w:r>
      <w:r>
        <w:rPr>
          <w:rFonts w:ascii="宋体" w:eastAsia="宋体" w:hAnsi="宋体" w:cs="宋体" w:hint="eastAsia"/>
          <w:lang w:val="en-US" w:eastAsia="zh-CN"/>
        </w:rPr>
        <w:t>2.3</w:t>
      </w:r>
      <w:r>
        <w:rPr>
          <w:rFonts w:hint="eastAsia"/>
          <w:lang w:val="en-US" w:eastAsia="zh-CN"/>
        </w:rPr>
        <w:t>研究步骤</w:t>
      </w:r>
      <w:r>
        <w:tab/>
      </w:r>
      <w:r>
        <w:fldChar w:fldCharType="begin"/>
      </w:r>
      <w:r>
        <w:instrText>PAGEREF_Toc19360\h</w:instrText>
      </w:r>
      <w:r>
        <w:fldChar w:fldCharType="separate"/>
      </w:r>
      <w:r>
        <w:t>11</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HYPERLINK\l_Toc22763</w:instrText>
      </w:r>
      <w:r>
        <w:rPr>
          <w:rFonts w:ascii="宋体" w:eastAsia="宋体" w:hAnsi="宋体" w:cs="宋体"/>
          <w:spacing w:val="12"/>
          <w:szCs w:val="20"/>
        </w:rPr>
        <w:fldChar w:fldCharType="separate"/>
      </w:r>
      <w:r>
        <w:rPr>
          <w:rFonts w:ascii="宋体" w:eastAsia="宋体" w:hAnsi="宋体" w:cs="宋体" w:hint="eastAsia"/>
          <w:lang w:val="en-US" w:eastAsia="zh-CN"/>
        </w:rPr>
        <w:t>2.4</w:t>
      </w:r>
      <w:r>
        <w:rPr>
          <w:rFonts w:hint="eastAsia"/>
          <w:lang w:val="en-US" w:eastAsia="zh-CN"/>
        </w:rPr>
        <w:t>研究工具</w:t>
      </w:r>
      <w:r>
        <w:tab/>
      </w:r>
      <w:r>
        <w:fldChar w:fldCharType="begin"/>
      </w:r>
      <w:r>
        <w:instrText>PAGEREF_Toc22763\h</w:instrText>
      </w:r>
      <w:r>
        <w:fldChar w:fldCharType="separate"/>
      </w:r>
      <w:r>
        <w:t>11</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HYPERLINK\l_Toc27646</w:instrText>
      </w:r>
      <w:r>
        <w:rPr>
          <w:rFonts w:ascii="宋体" w:eastAsia="宋体" w:hAnsi="宋体" w:cs="宋体"/>
          <w:spacing w:val="12"/>
          <w:szCs w:val="20"/>
        </w:rPr>
        <w:fldChar w:fldCharType="separate"/>
      </w:r>
      <w:r>
        <w:rPr>
          <w:rFonts w:ascii="宋体" w:eastAsia="宋体" w:hAnsi="宋体" w:cs="宋体" w:hint="eastAsia"/>
          <w:lang w:val="en-US" w:eastAsia="zh-CN"/>
        </w:rPr>
        <w:t>2.4.1</w:t>
      </w:r>
      <w:r>
        <w:rPr>
          <w:rFonts w:hint="eastAsia"/>
          <w:lang w:val="en-US" w:eastAsia="zh-CN"/>
        </w:rPr>
        <w:t>手术前健康教育知识</w:t>
      </w:r>
      <w:r>
        <w:tab/>
      </w:r>
      <w:r>
        <w:fldChar w:fldCharType="begin"/>
      </w:r>
      <w:r>
        <w:instrText>PAGEREF_Toc27646\h</w:instrText>
      </w:r>
      <w:r>
        <w:fldChar w:fldCharType="separate"/>
      </w:r>
      <w:r>
        <w:t>11</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HYPERLINK\l_Toc16283</w:instrText>
      </w:r>
      <w:r>
        <w:rPr>
          <w:rFonts w:ascii="宋体" w:eastAsia="宋体" w:hAnsi="宋体" w:cs="宋体"/>
          <w:spacing w:val="12"/>
          <w:szCs w:val="20"/>
        </w:rPr>
        <w:fldChar w:fldCharType="separate"/>
      </w:r>
      <w:r>
        <w:rPr>
          <w:rFonts w:ascii="宋体" w:eastAsia="宋体" w:hAnsi="宋体" w:cs="宋体" w:hint="eastAsia"/>
          <w:lang w:val="en-US" w:eastAsia="zh-CN"/>
        </w:rPr>
        <w:t>2.4.2</w:t>
      </w:r>
      <w:r>
        <w:rPr>
          <w:rFonts w:hint="eastAsia"/>
          <w:lang w:val="en-US" w:eastAsia="zh-CN"/>
        </w:rPr>
        <w:t>手术后护理对策</w:t>
      </w:r>
      <w:r>
        <w:tab/>
      </w:r>
      <w:r>
        <w:fldChar w:fldCharType="begin"/>
      </w:r>
      <w:r>
        <w:instrText>PAGEREF_Toc16283\h</w:instrText>
      </w:r>
      <w:r>
        <w:fldChar w:fldCharType="separate"/>
      </w:r>
      <w:r>
        <w:t>11</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HYPERLINK\l_Toc9526</w:instrText>
      </w:r>
      <w:r>
        <w:rPr>
          <w:rFonts w:ascii="宋体" w:eastAsia="宋体" w:hAnsi="宋体" w:cs="宋体"/>
          <w:spacing w:val="12"/>
          <w:szCs w:val="20"/>
        </w:rPr>
        <w:fldChar w:fldCharType="separate"/>
      </w:r>
      <w:r>
        <w:rPr>
          <w:rFonts w:ascii="宋体" w:eastAsia="宋体" w:hAnsi="宋体" w:cs="宋体" w:hint="eastAsia"/>
          <w:lang w:val="en-US" w:eastAsia="zh-CN"/>
        </w:rPr>
        <w:t>2.4.3</w:t>
      </w:r>
      <w:r>
        <w:rPr>
          <w:rFonts w:hint="eastAsia"/>
          <w:lang w:val="en-US" w:eastAsia="zh-CN"/>
        </w:rPr>
        <w:t>术后并发症的护理</w:t>
      </w:r>
      <w:r>
        <w:tab/>
      </w:r>
      <w:r>
        <w:fldChar w:fldCharType="begin"/>
      </w:r>
      <w:r>
        <w:instrText>PAGEREF_Toc9526\h</w:instrText>
      </w:r>
      <w:r>
        <w:fldChar w:fldCharType="separate"/>
      </w:r>
      <w:r>
        <w:t>11</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HYPERLINK\l_Toc32320</w:instrText>
      </w:r>
      <w:r>
        <w:rPr>
          <w:rFonts w:ascii="宋体" w:eastAsia="宋体" w:hAnsi="宋体" w:cs="宋体"/>
          <w:spacing w:val="12"/>
          <w:szCs w:val="20"/>
        </w:rPr>
        <w:fldChar w:fldCharType="separate"/>
      </w:r>
      <w:r>
        <w:rPr>
          <w:rFonts w:ascii="宋体" w:eastAsia="宋体" w:hAnsi="宋体" w:cs="宋体" w:hint="eastAsia"/>
          <w:lang w:val="en-US" w:eastAsia="zh-CN"/>
        </w:rPr>
        <w:t>2.4.4</w:t>
      </w:r>
      <w:r>
        <w:rPr>
          <w:rFonts w:hint="eastAsia"/>
          <w:lang w:val="en-US" w:eastAsia="zh-CN"/>
        </w:rPr>
        <w:t>健康指导</w:t>
      </w:r>
      <w:r>
        <w:tab/>
      </w:r>
      <w:r>
        <w:fldChar w:fldCharType="begin"/>
      </w:r>
      <w:r>
        <w:instrText>PAGEREF_Toc32320\h</w:instrText>
      </w:r>
      <w:r>
        <w:fldChar w:fldCharType="separate"/>
      </w:r>
      <w:r>
        <w:t>12</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HYPERLINK\l_Toc5116</w:instrText>
      </w:r>
      <w:r>
        <w:rPr>
          <w:rFonts w:ascii="宋体" w:eastAsia="宋体" w:hAnsi="宋体" w:cs="宋体"/>
          <w:spacing w:val="12"/>
          <w:szCs w:val="20"/>
        </w:rPr>
        <w:fldChar w:fldCharType="separate"/>
      </w:r>
      <w:r>
        <w:rPr>
          <w:rFonts w:ascii="宋体" w:eastAsia="宋体" w:hAnsi="宋体" w:cs="宋体" w:hint="eastAsia"/>
          <w:lang w:val="en-US" w:eastAsia="zh-CN"/>
        </w:rPr>
        <w:t>三、</w:t>
      </w:r>
      <w:r>
        <w:rPr>
          <w:rFonts w:hint="eastAsia"/>
          <w:lang w:val="en-US" w:eastAsia="zh-CN"/>
        </w:rPr>
        <w:t>研究结果</w:t>
      </w:r>
      <w:r>
        <w:tab/>
      </w:r>
      <w:r>
        <w:fldChar w:fldCharType="begin"/>
      </w:r>
      <w:r>
        <w:instrText>PAGEREF_Toc5116\h</w:instrText>
      </w:r>
      <w:r>
        <w:fldChar w:fldCharType="separate"/>
      </w:r>
      <w:r>
        <w:t>12</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HYPERLINK\l_Toc29931</w:instrText>
      </w:r>
      <w:r>
        <w:rPr>
          <w:rFonts w:ascii="宋体" w:eastAsia="宋体" w:hAnsi="宋体" w:cs="宋体"/>
          <w:spacing w:val="12"/>
          <w:szCs w:val="20"/>
        </w:rPr>
        <w:fldChar w:fldCharType="separate"/>
      </w:r>
      <w:r>
        <w:rPr>
          <w:rFonts w:ascii="宋体" w:eastAsia="宋体" w:hAnsi="宋体" w:cs="宋体" w:hint="eastAsia"/>
          <w:lang w:val="en-US" w:eastAsia="zh-CN"/>
        </w:rPr>
        <w:t>3.1</w:t>
      </w:r>
      <w:r>
        <w:rPr>
          <w:rFonts w:hint="eastAsia"/>
          <w:lang w:val="en-US" w:eastAsia="zh-CN"/>
        </w:rPr>
        <w:t>一般资料</w:t>
      </w:r>
      <w:r>
        <w:tab/>
      </w:r>
      <w:r>
        <w:fldChar w:fldCharType="begin"/>
      </w:r>
      <w:r>
        <w:instrText>PAGEREF_Toc29931\h</w:instrText>
      </w:r>
      <w:r>
        <w:fldChar w:fldCharType="separate"/>
      </w:r>
      <w:r>
        <w:t>12</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HYPERLINK\l_Toc7588</w:instrText>
      </w:r>
      <w:r>
        <w:rPr>
          <w:rFonts w:ascii="宋体" w:eastAsia="宋体" w:hAnsi="宋体" w:cs="宋体"/>
          <w:spacing w:val="12"/>
          <w:szCs w:val="20"/>
        </w:rPr>
        <w:fldChar w:fldCharType="separate"/>
      </w:r>
      <w:r>
        <w:rPr>
          <w:rFonts w:ascii="宋体" w:eastAsia="宋体" w:hAnsi="宋体" w:cs="宋体" w:hint="eastAsia"/>
          <w:lang w:val="en-US" w:eastAsia="zh-CN"/>
        </w:rPr>
        <w:t>3.2</w:t>
      </w:r>
      <w:r>
        <w:rPr>
          <w:rFonts w:hint="eastAsia"/>
          <w:lang w:val="en-US" w:eastAsia="zh-CN"/>
        </w:rPr>
        <w:t>研究结果</w:t>
      </w:r>
      <w:r>
        <w:tab/>
      </w:r>
      <w:r>
        <w:fldChar w:fldCharType="begin"/>
      </w:r>
      <w:r>
        <w:instrText>PAGEREF_Toc7588\h</w:instrText>
      </w:r>
      <w:r>
        <w:fldChar w:fldCharType="separate"/>
      </w:r>
      <w:r>
        <w:t>12</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HYPERLINK\l_Toc27419</w:instrText>
      </w:r>
      <w:r>
        <w:rPr>
          <w:rFonts w:ascii="宋体" w:eastAsia="宋体" w:hAnsi="宋体" w:cs="宋体"/>
          <w:spacing w:val="12"/>
          <w:szCs w:val="20"/>
        </w:rPr>
        <w:fldChar w:fldCharType="separate"/>
      </w:r>
      <w:r>
        <w:rPr>
          <w:rFonts w:ascii="宋体" w:eastAsia="宋体" w:hAnsi="宋体" w:cs="宋体" w:hint="eastAsia"/>
          <w:lang w:val="en-US" w:eastAsia="zh-CN"/>
        </w:rPr>
        <w:t>四、</w:t>
      </w:r>
      <w:r>
        <w:rPr>
          <w:rFonts w:hint="eastAsia"/>
          <w:lang w:val="en-US" w:eastAsia="zh-CN"/>
        </w:rPr>
        <w:t>探讨</w:t>
      </w:r>
      <w:r>
        <w:tab/>
      </w:r>
      <w:r>
        <w:fldChar w:fldCharType="begin"/>
      </w:r>
      <w:r>
        <w:instrText>PAGEREF_Toc27419\h</w:instrText>
      </w:r>
      <w:r>
        <w:fldChar w:fldCharType="separate"/>
      </w:r>
      <w:r>
        <w:t>13</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HYPERLINK\l_Toc27969</w:instrText>
      </w:r>
      <w:r>
        <w:rPr>
          <w:rFonts w:ascii="宋体" w:eastAsia="宋体" w:hAnsi="宋体" w:cs="宋体"/>
          <w:spacing w:val="12"/>
          <w:szCs w:val="20"/>
        </w:rPr>
        <w:fldChar w:fldCharType="separate"/>
      </w:r>
      <w:r>
        <w:rPr>
          <w:rFonts w:ascii="宋体" w:eastAsia="宋体" w:hAnsi="宋体" w:cs="宋体" w:hint="eastAsia"/>
          <w:lang w:val="en-US" w:eastAsia="zh-CN"/>
        </w:rPr>
        <w:t>五、</w:t>
      </w:r>
      <w:r>
        <w:rPr>
          <w:rFonts w:hint="eastAsia"/>
          <w:lang w:val="en-US" w:eastAsia="zh-CN"/>
        </w:rPr>
        <w:t>推论及建议</w:t>
      </w:r>
      <w:r>
        <w:tab/>
      </w:r>
      <w:r>
        <w:fldChar w:fldCharType="begin"/>
      </w:r>
      <w:r>
        <w:instrText>PAGEREF_Toc27969\h</w:instrText>
      </w:r>
      <w:r>
        <w:fldChar w:fldCharType="separate"/>
      </w:r>
      <w:r>
        <w:t>15</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HYPERLINK\l_Toc8925</w:instrText>
      </w:r>
      <w:r>
        <w:rPr>
          <w:rFonts w:ascii="宋体" w:eastAsia="宋体" w:hAnsi="宋体" w:cs="宋体"/>
          <w:spacing w:val="12"/>
          <w:szCs w:val="20"/>
        </w:rPr>
        <w:fldChar w:fldCharType="separate"/>
      </w:r>
      <w:r>
        <w:rPr>
          <w:rFonts w:ascii="宋体" w:eastAsia="宋体" w:hAnsi="宋体" w:cs="宋体" w:hint="eastAsia"/>
          <w:lang w:val="en-US" w:eastAsia="zh-CN"/>
        </w:rPr>
        <w:t>5.1</w:t>
      </w:r>
      <w:r>
        <w:rPr>
          <w:rFonts w:hint="eastAsia"/>
          <w:lang w:val="en-US" w:eastAsia="zh-CN"/>
        </w:rPr>
        <w:t>推论</w:t>
      </w:r>
      <w:r>
        <w:tab/>
      </w:r>
      <w:r>
        <w:fldChar w:fldCharType="begin"/>
      </w:r>
      <w:r>
        <w:instrText>PAGEREF_Toc8925\h</w:instrText>
      </w:r>
      <w:r>
        <w:fldChar w:fldCharType="separate"/>
      </w:r>
      <w:r>
        <w:t>15</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HYPERLINK\l_Toc6863</w:instrText>
      </w:r>
      <w:r>
        <w:rPr>
          <w:rFonts w:ascii="宋体" w:eastAsia="宋体" w:hAnsi="宋体" w:cs="宋体"/>
          <w:spacing w:val="12"/>
          <w:szCs w:val="20"/>
        </w:rPr>
        <w:fldChar w:fldCharType="separate"/>
      </w:r>
      <w:r>
        <w:rPr>
          <w:rFonts w:ascii="宋体" w:eastAsia="宋体" w:hAnsi="宋体" w:cs="宋体" w:hint="eastAsia"/>
          <w:lang w:val="en-US" w:eastAsia="zh-CN"/>
        </w:rPr>
        <w:t>5.2</w:t>
      </w:r>
      <w:r>
        <w:rPr>
          <w:rFonts w:hint="eastAsia"/>
          <w:lang w:val="en-US" w:eastAsia="zh-CN"/>
        </w:rPr>
        <w:t>建议</w:t>
      </w:r>
      <w:r>
        <w:tab/>
      </w:r>
      <w:r>
        <w:fldChar w:fldCharType="begin"/>
      </w:r>
      <w:r>
        <w:instrText>PAGEREF_Toc6863\h</w:instrText>
      </w:r>
      <w:r>
        <w:fldChar w:fldCharType="separate"/>
      </w:r>
      <w:r>
        <w:t>15</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HYPERLINK\l_Toc16859</w:instrText>
      </w:r>
      <w:r>
        <w:rPr>
          <w:rFonts w:ascii="宋体" w:eastAsia="宋体" w:hAnsi="宋体" w:cs="宋体"/>
          <w:spacing w:val="12"/>
          <w:szCs w:val="20"/>
        </w:rPr>
        <w:fldChar w:fldCharType="separate"/>
      </w:r>
      <w:r>
        <w:rPr>
          <w:rFonts w:ascii="宋体" w:eastAsia="宋体" w:hAnsi="宋体" w:cs="宋体" w:hint="eastAsia"/>
          <w:lang w:val="en-US" w:eastAsia="zh-CN"/>
        </w:rPr>
        <w:t>5.2.1</w:t>
      </w:r>
      <w:r>
        <w:rPr>
          <w:rFonts w:hint="eastAsia"/>
          <w:lang w:val="en-US" w:eastAsia="zh-CN"/>
        </w:rPr>
        <w:t>临床医学观察与医护</w:t>
      </w:r>
      <w:r>
        <w:tab/>
      </w:r>
      <w:r>
        <w:fldChar w:fldCharType="begin"/>
      </w:r>
      <w:r>
        <w:instrText>PAGEREF_Toc16859\h</w:instrText>
      </w:r>
      <w:r>
        <w:fldChar w:fldCharType="separate"/>
      </w:r>
      <w:r>
        <w:t>15</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HYPERLINK\l_Toc21633</w:instrText>
      </w:r>
      <w:r>
        <w:rPr>
          <w:rFonts w:ascii="宋体" w:eastAsia="宋体" w:hAnsi="宋体" w:cs="宋体"/>
          <w:spacing w:val="12"/>
          <w:szCs w:val="20"/>
        </w:rPr>
        <w:fldChar w:fldCharType="separate"/>
      </w:r>
      <w:r>
        <w:rPr>
          <w:rFonts w:ascii="宋体" w:eastAsia="宋体" w:hAnsi="宋体" w:cs="宋体" w:hint="eastAsia"/>
          <w:lang w:val="en-US" w:eastAsia="zh-CN"/>
        </w:rPr>
        <w:t>5.2.2</w:t>
      </w:r>
      <w:r>
        <w:rPr>
          <w:rFonts w:hint="eastAsia"/>
          <w:lang w:val="en-US" w:eastAsia="zh-CN"/>
        </w:rPr>
        <w:t>心理干预治疗</w:t>
      </w:r>
      <w:r>
        <w:tab/>
      </w:r>
      <w:r>
        <w:fldChar w:fldCharType="begin"/>
      </w:r>
      <w:r>
        <w:instrText>PAGEREF_Toc21633\h</w:instrText>
      </w:r>
      <w:r>
        <w:fldChar w:fldCharType="separate"/>
      </w:r>
      <w:r>
        <w:t>15</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HYPERLINK\l_Toc10212</w:instrText>
      </w:r>
      <w:r>
        <w:rPr>
          <w:rFonts w:ascii="宋体" w:eastAsia="宋体" w:hAnsi="宋体" w:cs="宋体"/>
          <w:spacing w:val="12"/>
          <w:szCs w:val="20"/>
        </w:rPr>
        <w:fldChar w:fldCharType="separate"/>
      </w:r>
      <w:r>
        <w:rPr>
          <w:rFonts w:ascii="宋体" w:eastAsia="宋体" w:hAnsi="宋体" w:cs="宋体" w:hint="eastAsia"/>
          <w:lang w:val="en-US" w:eastAsia="zh-CN"/>
        </w:rPr>
        <w:t>5.2.3</w:t>
      </w:r>
      <w:r>
        <w:rPr>
          <w:rFonts w:hint="eastAsia"/>
          <w:lang w:val="en-US" w:eastAsia="zh-CN"/>
        </w:rPr>
        <w:t>帮助做好各类实验室检查</w:t>
      </w:r>
      <w:r>
        <w:tab/>
      </w:r>
      <w:r>
        <w:fldChar w:fldCharType="begin"/>
      </w:r>
      <w:r>
        <w:instrText>PAGEREF_Toc10212\h</w:instrText>
      </w:r>
      <w:r>
        <w:fldChar w:fldCharType="separate"/>
      </w:r>
      <w:r>
        <w:t>16</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HYPERLINK\l_Toc25514</w:instrText>
      </w:r>
      <w:r>
        <w:rPr>
          <w:rFonts w:ascii="宋体" w:eastAsia="宋体" w:hAnsi="宋体" w:cs="宋体"/>
          <w:spacing w:val="12"/>
          <w:szCs w:val="20"/>
        </w:rPr>
        <w:fldChar w:fldCharType="separate"/>
      </w:r>
      <w:r>
        <w:rPr>
          <w:rFonts w:hint="eastAsia"/>
          <w:lang w:val="en-US" w:eastAsia="zh-CN"/>
        </w:rPr>
        <w:t>致谢</w:t>
      </w:r>
      <w:r>
        <w:tab/>
      </w:r>
      <w:r>
        <w:fldChar w:fldCharType="begin"/>
      </w:r>
      <w:r>
        <w:instrText>PAGEREF_Toc25514\h</w:instrText>
      </w:r>
      <w:r>
        <w:fldChar w:fldCharType="separate"/>
      </w:r>
      <w:r>
        <w:t>17</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HYPERLINK\l_Toc18102</w:instrText>
      </w:r>
      <w:r>
        <w:rPr>
          <w:rFonts w:ascii="宋体" w:eastAsia="宋体" w:hAnsi="宋体" w:cs="宋体"/>
          <w:spacing w:val="12"/>
          <w:szCs w:val="20"/>
        </w:rPr>
        <w:fldChar w:fldCharType="separate"/>
      </w:r>
      <w:r>
        <w:rPr>
          <w:rFonts w:hint="eastAsia"/>
          <w:lang w:eastAsia="zh-CN"/>
        </w:rPr>
        <w:t>参考文献</w:t>
      </w:r>
      <w:r>
        <w:tab/>
      </w:r>
      <w:r>
        <w:fldChar w:fldCharType="begin"/>
      </w:r>
      <w:r>
        <w:instrText>PAGEREF_Toc18102\h</w:instrText>
      </w:r>
      <w:r>
        <w:fldChar w:fldCharType="separate"/>
      </w:r>
      <w:r>
        <w:t>18</w:t>
      </w:r>
      <w:r>
        <w:fldChar w:fldCharType="end"/>
      </w:r>
      <w:r>
        <w:rPr>
          <w:rFonts w:ascii="宋体" w:eastAsia="宋体" w:hAnsi="宋体" w:cs="宋体"/>
          <w:spacing w:val="12"/>
          <w:szCs w:val="20"/>
        </w:rPr>
        <w:fldChar w:fldCharType="end"/>
      </w:r>
    </w:p>
    <w:p>
      <w:pPr>
        <w:pStyle w:val="TOC1"/>
        <w:tabs>
          <w:tab w:val="right" w:leader="dot" w:pos="8306"/>
        </w:tabs>
        <w:rPr>
          <w:rFonts w:ascii="宋体" w:hAnsi="宋体" w:cs="宋体"/>
          <w:spacing w:val="12"/>
          <w:sz w:val="20"/>
          <w:szCs w:val="20"/>
        </w:rPr>
      </w:pPr>
      <w:r>
        <w:rPr>
          <w:rFonts w:ascii="宋体" w:eastAsia="宋体" w:hAnsi="宋体" w:cs="宋体"/>
          <w:spacing w:val="12"/>
          <w:szCs w:val="20"/>
        </w:rPr>
        <w:fldChar w:fldCharType="end"/>
      </w:r>
    </w:p>
    <w:p>
      <w:pPr>
        <w:rPr>
          <w:rFonts w:ascii="宋体" w:hAnsi="宋体" w:cs="宋体"/>
          <w:spacing w:val="12"/>
          <w:sz w:val="20"/>
          <w:szCs w:val="20"/>
        </w:rPr>
        <w:sectPr>
          <w:headerReference w:type="default" r:id="rId14"/>
          <w:footerReference w:type="default" r:id="rId15"/>
          <w:pgSz w:w="11906" w:h="16838"/>
          <w:pgMar w:top="1440" w:right="1800" w:bottom="1440" w:left="1800" w:header="851" w:footer="992" w:gutter="0"/>
          <w:pgNumType w:fmt="upperRoman" w:start="4"/>
          <w:cols w:num="1" w:space="425"/>
          <w:docGrid w:type="lines" w:linePitch="312" w:charSpace="0"/>
        </w:sectPr>
      </w:pPr>
    </w:p>
    <w:p>
      <w:pPr>
        <w:pStyle w:val="Heading1"/>
        <w:bidi w:val="0"/>
        <w:rPr>
          <w:rFonts w:hint="eastAsia"/>
          <w:lang w:val="en-US" w:eastAsia="zh-CN"/>
        </w:rPr>
      </w:pPr>
      <w:bookmarkStart w:id="2" w:name="_Toc7955"/>
      <w:bookmarkStart w:id="3" w:name="_Toc8715"/>
      <w:bookmarkStart w:id="4" w:name="_Toc25239"/>
      <w:bookmarkStart w:id="5" w:name="_Toc32213"/>
      <w:bookmarkStart w:id="6" w:name="_Toc2386"/>
      <w:bookmarkStart w:id="7" w:name="_Toc9377"/>
      <w:r>
        <w:rPr>
          <w:rFonts w:hint="eastAsia"/>
          <w:lang w:val="en-US" w:eastAsia="zh-CN"/>
        </w:rPr>
        <w:t>引言</w:t>
      </w:r>
      <w:bookmarkEnd w:id="2"/>
      <w:bookmarkEnd w:id="3"/>
      <w:bookmarkEnd w:id="4"/>
      <w:bookmarkEnd w:id="5"/>
      <w:bookmarkEnd w:id="6"/>
      <w:bookmarkEnd w:id="7"/>
    </w:p>
    <w:p>
      <w:pPr>
        <w:pStyle w:val="Heading2"/>
        <w:bidi w:val="0"/>
        <w:rPr>
          <w:rFonts w:hint="eastAsia"/>
          <w:lang w:val="en-US" w:eastAsia="zh-CN"/>
        </w:rPr>
      </w:pPr>
      <w:bookmarkStart w:id="8" w:name="_Toc24103"/>
      <w:r>
        <w:rPr>
          <w:rFonts w:hint="eastAsia"/>
          <w:lang w:val="en-US" w:eastAsia="zh-CN"/>
        </w:rPr>
        <w:t>选题背景及实际意义</w:t>
      </w:r>
      <w:bookmarkEnd w:id="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胃癌是比较常见的癌症肿瘤，初期胃癌因病症不显眼，易被忽略，如有胃不适病症发生而经确诊为胃癌者，胃癌特别是初期胃癌的高效治疗方法是行根治性手术。胃癌术后绝大多数胃被切除，残胃容积缩小，造成患者消化系统消化吸收作用更改，搞好胃癌手术后护理及身心健康指导有利于缓解病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伴随着医学不断发展，胃癌诊断治疗水准也逐步提高，手术治疗融入者范畴较之前显著扩张。现阶段除开原发灶极大，固定不动，腹腔内脏器官普遍迁移，伴血性腹水呈恶液质者外，只需患者全身上下状况批准，即便锁骨上淋巴结迁移，肝部有迁移包块等，都应争得剖腹探查，摘除原发病灶，缓解病症。依据中国11734例胃癌手术统计分析，手术治疗率是81.8%，总切除率为49.7%。近些年癌症肿瘤切除率已增强至75%上下，通常是Ⅱ、Ⅲ期胃癌切除率的提升。胃癌手术治疗后，针对患者的手术后护理是十分重要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6"/>
          <w:footerReference w:type="default" r:id="rId17"/>
          <w:pgSz w:w="11906" w:h="16838"/>
          <w:pgMar w:top="1440" w:right="1800" w:bottom="1440" w:left="1800"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胃癌手术后的护理工作中对患者的恢复、特别是做完手术后实际效果密切相关，因此提升患者的护理工作中以推动患者早日恢复，如患者的姿势，手术后采用平卧位，头偏向一侧，以防排泄物误进支气管造成室息，麻醉剂保持清醒后，可采用侧卧位，以维持腹部肌肉松驰，缓解疼痛，有益于改进吸气及循环系统；紧密观查心电监护是不是均衡，一定要测血压、脉率、吸气人体体温、一般情况、神情的变化，及时联系医师，并鼓励病人活动，预防肠梗堵，推动早日排气管；留意维持胃肠道的一般，并精确纪录减出胃内容物的特性、色调，保持干净，防止嘴唇、口腔干燥、用热沙布遮住嘴周，如果有条件开展雾化，避免因下插胃管而引起的咽喉部刺激性发炎，有呼吸不畅时，可给与小流量氧气吸入，避免肺脏并发症；腹腔引流观查，维持引流袋的一般，引流方法期内常常手挤按引流袋，以维持一般，预防引流袋受力、歪曲、阻塞，观查做好记录引流液的特性，色调，引流量；应逐步增加活动量，手术后1天能起身，做四肢伸展活动，促使身体血液循环系统，避免下肢静脉血栓产生；放化疗护理，因为化疗是应用抗癌剂消灭肿瘤细胞而达到的，并且也使人体的正常的机构遭受一定程度的毁坏，甚至会出现一系列副作用，如骨髓抑制、掉发、局部红肿、胃肠道反应及肾毒性反映等，在化疗期间，必须做好患者的心态护理，定期维护白细泡，特别注意肾脏功能，同时做好对恶心呕吐患者的患者；指导患者保持心情愉快，防止精神创伤，作息规律，大便顺畅饮食方面留意提升铁元素、叶酸片、钙丰富多样的水果和瓜果蔬菜，解读放化疗的重要性，留意防止放化疗药物副作用，按时进行复查，查验血项、肝功能，并预防感染。</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手术医治是胃癌患者优选治疗办法，针对手术后患者，高效的心理关怀和护理及其身心健康指导，还可以及早发现病况转变，降低各种各样并发症的产生，临床上收到良好的效果，提升了治疗率。</w:t>
      </w:r>
    </w:p>
    <w:p>
      <w:pPr>
        <w:pStyle w:val="Heading2"/>
        <w:bidi w:val="0"/>
        <w:rPr>
          <w:rFonts w:hint="eastAsia"/>
          <w:lang w:val="en-US" w:eastAsia="zh-CN"/>
        </w:rPr>
      </w:pPr>
      <w:bookmarkStart w:id="9" w:name="_Toc31813"/>
      <w:r>
        <w:rPr>
          <w:rFonts w:hint="eastAsia"/>
          <w:lang w:val="en-US" w:eastAsia="zh-CN"/>
        </w:rPr>
        <w:t>研究的目的及总体目标</w:t>
      </w:r>
      <w:bookmarkEnd w:id="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目地：讨论胃癌做完手术后护理及身心健康指导。</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总体目标：根据提升胃癌患者术后高效的护理及身心健康指导，防止术后并发症，提升治疗率，推动患者的修复。</w:t>
      </w:r>
    </w:p>
    <w:p>
      <w:pPr>
        <w:pStyle w:val="Heading2"/>
        <w:bidi w:val="0"/>
        <w:rPr>
          <w:rFonts w:hint="eastAsia"/>
          <w:lang w:val="en-US" w:eastAsia="zh-CN"/>
        </w:rPr>
      </w:pPr>
      <w:bookmarkStart w:id="10" w:name="_Toc31941"/>
      <w:r>
        <w:rPr>
          <w:rFonts w:hint="eastAsia"/>
          <w:lang w:val="en-US" w:eastAsia="zh-CN"/>
        </w:rPr>
        <w:t>关键字及界定</w:t>
      </w:r>
      <w:bookmarkEnd w:id="10"/>
    </w:p>
    <w:p>
      <w:pPr>
        <w:pStyle w:val="Heading3"/>
        <w:bidi w:val="0"/>
        <w:rPr>
          <w:rFonts w:hint="eastAsia"/>
          <w:lang w:val="en-US" w:eastAsia="zh-CN"/>
        </w:rPr>
      </w:pPr>
      <w:bookmarkStart w:id="11" w:name="_Toc31207"/>
      <w:r>
        <w:rPr>
          <w:rFonts w:hint="eastAsia"/>
          <w:lang w:val="en-US" w:eastAsia="zh-CN"/>
        </w:rPr>
        <w:t>胃癌</w:t>
      </w:r>
      <w:bookmarkEnd w:id="1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胃癌就是指出现于胃组织细胞的肿瘤。临床医学初期70%之上没什么病症，中后期发生上腹痛、上消化道出血、破孔、幽门梗阻、削瘦、困乏、代谢异常及其癌瘤蔓延迁移所引起的相对应病症，一切年纪都可产生，以50－60岁占多数，男人女人患病率比例为3.2－3.6：1。</w:t>
      </w:r>
    </w:p>
    <w:p>
      <w:pPr>
        <w:pStyle w:val="Heading2"/>
        <w:bidi w:val="0"/>
        <w:rPr>
          <w:rFonts w:hint="eastAsia"/>
          <w:lang w:val="en-US" w:eastAsia="zh-CN"/>
        </w:rPr>
      </w:pPr>
      <w:bookmarkStart w:id="12" w:name="_Toc6413"/>
      <w:r>
        <w:rPr>
          <w:rFonts w:hint="eastAsia"/>
          <w:lang w:val="en-US" w:eastAsia="zh-CN"/>
        </w:rPr>
        <w:t>手术后护理</w:t>
      </w:r>
      <w:bookmarkEnd w:id="12"/>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全胃切除者除按胃大部分切除手术后护理对策外，需要注意肺脏并发症预防及营养支持。如经胸全胃切除者，需要注意胸腔引流管的护理。</w:t>
      </w:r>
    </w:p>
    <w:p>
      <w:pPr>
        <w:pStyle w:val="Heading3"/>
        <w:bidi w:val="0"/>
        <w:rPr>
          <w:rFonts w:hint="eastAsia"/>
          <w:lang w:val="en-US" w:eastAsia="zh-CN"/>
        </w:rPr>
      </w:pPr>
      <w:bookmarkStart w:id="13" w:name="_Toc171"/>
      <w:r>
        <w:rPr>
          <w:rFonts w:hint="eastAsia"/>
          <w:lang w:val="en-US" w:eastAsia="zh-CN"/>
        </w:rPr>
        <w:t>身心健康指导</w:t>
      </w:r>
      <w:bookmarkEnd w:id="1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8"/>
          <w:footerReference w:type="default" r:id="rId19"/>
          <w:type w:val="nextPage"/>
          <w:pgSz w:w="11906" w:h="16838"/>
          <w:pgMar w:top="1440" w:right="1800" w:bottom="1440" w:left="1800" w:header="851" w:footer="992" w:gutter="0"/>
          <w:pgNumType w:fmt="decimal"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身心健康指导是由信息传递和行为治疗，协助个人或人群把握卫生保健知识，塑造健康理念，充分利用资源，、采取有益于健康习惯和生活习惯的教学活动与全过程，身心健康指导的目的在于清除或缓解影响身体健康的风险源，预防传染病，保持健康，提升生活质量。</w:t>
      </w:r>
    </w:p>
    <w:p>
      <w:pPr>
        <w:pStyle w:val="Heading3"/>
        <w:bidi w:val="0"/>
        <w:rPr>
          <w:rFonts w:hint="eastAsia"/>
          <w:lang w:val="en-US" w:eastAsia="zh-CN"/>
        </w:rPr>
      </w:pPr>
      <w:bookmarkStart w:id="14" w:name="_Toc8335"/>
      <w:r>
        <w:rPr>
          <w:rFonts w:hint="eastAsia"/>
          <w:lang w:val="en-US" w:eastAsia="zh-CN"/>
        </w:rPr>
        <w:t>文献回顾</w:t>
      </w:r>
      <w:bookmarkEnd w:id="14"/>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焦祁对34例胃癌患者行手术医治，根据提升胃癌绝大多数摘除术后护理品质，对提升胃癌手术成功率，降低并发症和致死率极其重要。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盖凤春对30例胃癌患者行手术医治，胃癌患者长期存在着一些不良内心，护理关键点是让患者塑造击败癌病的自信，健全各类手术前准备，观查手术后痊愈状况，避免并发症。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谢燕对胃癌手术治疗患者12例开展护理工作经验进行整理、剖析。结果显示12例患者无一例发生欠佳护理结论。是强化对胃癌患者做完手术后护理及身心健康指导，是控制术后并发症恢复得重要。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上宫琴于2010年10月迄今对胃大部摘除65例的汇总手术后的护理方法与感受。对胃大部分切除术患者手术后开展细致入微的护理并且对比较常见的并发症搞好尽早防范和紧密临床观察。胃大部切除术后患者通过饮食搭配护理、心理状态护理、提升营养支持治疗后</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肠胃均可以恢复</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还可以控制并发症的产生。胃大部分切除的手术后护理</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对患者的愈后起到重要的功效</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洪黔霞对汇总胃大部切除术的护理工作经验。从宏观护理考虑</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对于胃大部分切除患者的特征</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展开了有目的的健康教育知识</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实际贯彻落实术前宣教、指导;术后恢复护理和出院后的指导。结论手术治疗患者满意率高</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能够取得患者的优良信赖</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有利于患者的恢复。对胃大部分切除患者开展有目的的健康教育知识也是值得临床治疗的。李继梅对20例直肠癌患者开展术前评估、病发症护理、心理状态护理、手术前消化道及肌肤提前准备</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手术后患者回医院病房后紧密观察病况</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手术后活动具体指导</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及其手术后具体指导患者合理干咳吸痰等围术期护理，对于患者的身体状况和心理特征及其术前术后应注意和克服的护理难题</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进而采用不同类型的护理对策</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可以有效地防止病发症的产生</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推动患者恢复。细致的护理</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紧密观察病况转变</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积极主动的手术后营养支持治疗</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能降低直肠癌根治术全胃切除术的病发症及病死率。</w:t>
      </w:r>
    </w:p>
    <w:p>
      <w:pPr>
        <w:pStyle w:val="Heading3"/>
        <w:bidi w:val="0"/>
        <w:rPr>
          <w:rFonts w:hint="eastAsia"/>
          <w:lang w:val="en-US" w:eastAsia="zh-CN"/>
        </w:rPr>
      </w:pPr>
      <w:bookmarkStart w:id="15" w:name="_Toc2779"/>
      <w:r>
        <w:rPr>
          <w:rFonts w:hint="eastAsia"/>
          <w:lang w:val="en-US" w:eastAsia="zh-CN"/>
        </w:rPr>
        <w:t>手术前护理</w:t>
      </w:r>
      <w:bookmarkEnd w:id="1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0"/>
          <w:footerReference w:type="default" r:id="rId21"/>
          <w:type w:val="nextPage"/>
          <w:pgSz w:w="11906" w:h="16838"/>
          <w:pgMar w:top="1440" w:right="1800" w:bottom="1440" w:left="1800" w:header="851" w:footer="992" w:gutter="0"/>
          <w:pgNumType w:fmt="decimal" w:start="3"/>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A心理状态护理因为患者对自身患病的基础知识一知半解</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了解局限性</w:t>
      </w:r>
      <w:r>
        <w:rPr>
          <w:rFonts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特别是在谈“癌”害怕</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进而产生各种各样困惑、焦虑情绪</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因而更易出现崩溃心理状态</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觉得身亡即将到来</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明知自然法则</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但仍然免不了对人生恋恋不舍、对死亡恐惧</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具体表现焦虑情绪、躁动不安、心态变化无常。护理工作人员要以更好的语言表达</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激情、和睦、关注、同情的心态向患者解读相关的病况</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细心回应患者的各类提出问题</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清除紧张情绪</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激励患者传达出自身及其家属的念头和想法</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从这当中恰当评定正确引导患者</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立即疏通</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因时制宜。去满足患者科学合理的规定</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搞好生活中的护理</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使患者造成心理安全感依赖性。邀约心态开朗、修复比较好的类似做完手术后患者详细介绍手术后相互配合医治积累的经验</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使患者击败焦虑不安、害怕的心理状态</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以最好身心状态紧密配合医治。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B消化道提前准备消化道提前准备针对手术成与败有着十分重要意义</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手术前1 d告之患者进流质食物</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健康状况差者</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手术前应予以改正</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可静脉血管补充维生素。可进餐者要具体指导患者进餐高蛋白食物、高热量食物、高纤维素、易于消化饮食搭配。伴幽门梗阻者手术前应忌食</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从而减少胃内容物停留。手术前2～3 d每天晚上运用等渗食盐水洗肠</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缓解胃黏膜水肿</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有益于术后吻合口的痊愈。</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C别的提前准备告之患者术前12 h忌食</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4 h禁饮</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以避免因麻醉剂或手术过程中的恶心呕吐所引起的室息或吸入性肺炎。术晨安装胃管</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如果需要摆放尿管。具体指导患者学好自身放松练习。睡眠质量不好的患者</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具体指导患者促进睡眠的方式</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如温水洗脚</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临睡前不要看刺激高的书本</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电视机;尽可能为患者造就充足的睡眠自然环境</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达到患者过去的作息习惯及入眠方法。</w:t>
      </w:r>
    </w:p>
    <w:p>
      <w:pPr>
        <w:pStyle w:val="Heading3"/>
        <w:bidi w:val="0"/>
        <w:rPr>
          <w:rFonts w:hint="eastAsia"/>
          <w:lang w:val="en-US" w:eastAsia="zh-CN"/>
        </w:rPr>
      </w:pPr>
      <w:bookmarkStart w:id="16" w:name="_Toc17282"/>
      <w:r>
        <w:rPr>
          <w:rFonts w:hint="eastAsia"/>
          <w:lang w:val="en-US" w:eastAsia="zh-CN"/>
        </w:rPr>
        <w:t>手术后护理</w:t>
      </w:r>
      <w:bookmarkEnd w:id="1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A一般手术后护理①手术后平躺6 h</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如果没有忌讳可改侧卧位</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可缓解腹腔切口支撑力</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缓解疼痛</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有益于吸气和循环系统;②严实观察血压值、脉率、人体体温、吸气、神智、吸气、皮肤颜色、排尿量、切口渗出液状况;③提升术后营养适用</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保持水、电解质平衡;④胸腔闭式引流一般使用48～72 h至肛门排气或胃肠蠕动修复</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最初进餐少许流食</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如果没有肚胀可慢慢改成半流食</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两周后改成少渣流食;⑤手术后使用抗菌素防止感染;⑥激励手术后初期下地活动</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降低术后并发症;⑦术后化疗期内</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避免和妥善处理化疗的副作用。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2"/>
          <w:footerReference w:type="default" r:id="rId23"/>
          <w:type w:val="nextPage"/>
          <w:pgSz w:w="11906" w:h="16838"/>
          <w:pgMar w:top="1440" w:right="1800" w:bottom="1440" w:left="1800" w:header="851" w:footer="992" w:gutter="0"/>
          <w:pgNumType w:fmt="decimal" w:start="4"/>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B紧密观察患者有没有肚胀及胃肠蠕动的现象</w:t>
      </w:r>
      <w:r>
        <w:rPr>
          <w:rFonts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待肛门排气后严格遵守三六九饮食搭配</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即手术后3 d内忌食、6d内半量明溪、9d内流食、之后半流质饮食。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C切口的观察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观察切口有没有流血、出血、渗出液或医用敷料掉下来，如医用敷料出血、渗出液比较多，可拆换表层医用敷料或者加软垫。对麻醉剂未保持清醒患者，避免其自主抓撕医用敷料，如果需要用约束带。如发现出血，及时联系医生，便于妥善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D留设胃管的护理①妥当固定不动胸腔闭式引流管</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避免歪曲、受力和滑脱;②维持胃管顺畅</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使其处在负压引流情况</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若下腔静脉阻塞可以用少许盐水(低于20 ml/次)清洗胃管</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避免胃管阻塞;③观察引流液颜色、特性和量</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并精确纪录引流量</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如引流方法出红色液态</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一小时超出200 ml</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应该马上报告医护人员妥善处理;④予口腔内部护理及超声雾化吸入</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每日2次</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缓解患者喉咙疼痛从而使痰容易吐出;⑤手术后3～4 d</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胃肠道引流量降低</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胃肠蠕动修复后能拔出来胃管。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E疼痛的护理由于手术治疗范畴比较大</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麻醉药新陈代谢后患者即开始觉得切口疼痛</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24 h最强烈。2～3 d慢慢缓解</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一切提升创口感染力的姿势</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如干咳</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捆扎太紧</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都会引起疼痛的水平</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所以必须合理消除。可以根据患者的现象</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采用不同类型的护理方法</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如:听听歌</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亲属与其沟通交流</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分离其专注力</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门把放到患者的头顶部或握紧患者的小手</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都是有减轻因紧张又疼痛的优势。还可以依据疼痛的主要原因</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采取相应对策</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如调整束腹带的松紧程度。对疼痛比较敏感的患者</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可以从手术前争求患者同意后</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带止痛泵</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以减轻疼痛。并做好护理</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避免翻盘时拉扯以致管路滑脱。</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F口腔内部护理患者手术后不可以进餐</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唾液分泌量少</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口腔粘膜干躁</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自清洁能力差</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以至口腔感染。维生素缺乏</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也可以引起口疮溃疡。因而手术后口腔内部护理至关重要。护理应该标准护理实际操作</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降低医源性损害。口腔内部护理时充足曝露口腔内部</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便捷观察与实际操作。完全清洁牙齿</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同时要注意观察口腔内部颊侧部</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舌侧部</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舌底及舌头等地方粘膜有没有肿胀、溃烂、溃烂的不正常更改。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G胃肠减压护理高效的胃肠减压能够防止胃肠道内积水、积气</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缓解胃肠内压力</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有益于手术后胃肠吻合口的康复及胃肠道作用的修复</w:t>
      </w:r>
      <w:r>
        <w:rPr>
          <w:rFonts w:cs="Times New Roman" w:hint="eastAsia"/>
          <w:color w:val="000000"/>
          <w:kern w:val="0"/>
          <w:sz w:val="24"/>
          <w:szCs w:val="24"/>
          <w:lang w:val="en-US" w:eastAsia="zh-CN"/>
        </w:rPr>
        <w:t>，</w:t>
      </w:r>
      <w:r>
        <w:rPr>
          <w:rFonts w:ascii="Times New Roman" w:eastAsia="宋体" w:hAnsi="Times New Roman" w:cs="Times New Roman" w:hint="eastAsia"/>
          <w:color w:val="000000"/>
          <w:kern w:val="0"/>
          <w:sz w:val="24"/>
          <w:szCs w:val="24"/>
          <w:lang w:val="en-US" w:eastAsia="zh-CN"/>
        </w:rPr>
        <w:t>胃肠减压期内</w:t>
      </w:r>
      <w:r>
        <w:rPr>
          <w:rFonts w:cs="Times New Roman" w:hint="eastAsia"/>
          <w:color w:val="000000"/>
          <w:kern w:val="0"/>
          <w:sz w:val="24"/>
          <w:szCs w:val="24"/>
          <w:lang w:val="en-US" w:eastAsia="zh-CN"/>
        </w:rPr>
        <w:t>，</w:t>
      </w:r>
      <w:r>
        <w:rPr>
          <w:rFonts w:hint="eastAsia"/>
          <w:color w:val="000000"/>
          <w:kern w:val="0"/>
          <w:sz w:val="24"/>
        </w:rPr>
        <w:br/>
      </w:r>
      <w:r>
        <w:rPr>
          <w:rFonts w:hint="eastAsia"/>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https://d.book118.com/417012152115006046</w:t>
        </w:r>
      </w:hyperlink>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p>
    <w:sectPr>
      <w:headerReference w:type="default" r:id="rId25"/>
      <w:footerReference w:type="default" r:id="rId26"/>
      <w:type w:val="nextPage"/>
      <w:pgSz w:w="11906" w:h="16838"/>
      <w:pgMar w:top="1440" w:right="1800" w:bottom="1440" w:left="1800" w:header="851" w:footer="992" w:gutter="0"/>
      <w:pgNumType w:fmt="decimal" w:start="5"/>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embedRegular r:id="rId1" w:subsetted="1" w:fontKey="{FA9863DF-6641-48E0-8099-67974EAF3D0B}"/>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5283C8DA-3E08-48D9-878C-58989E616EE7}"/>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隶书">
    <w:panose1 w:val="02010509060101010101"/>
    <w:charset w:val="86"/>
    <w:family w:val="modern"/>
    <w:pitch w:val="default"/>
    <w:sig w:usb0="00000001" w:usb1="080E0000" w:usb2="00000000" w:usb3="00000000" w:csb0="00040000" w:csb1="00000000"/>
    <w:embedRegular r:id="rId3" w:subsetted="1" w:fontKey="{6550D491-145C-4F4E-9209-50DCFE5987C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embedRegular r:id="rId4" w:subsetted="1" w:fontKey="{755CBAEC-913E-4842-A145-C5B082B34027}"/>
  </w:font>
  <w:font w:name="Calibri Light">
    <w:charset w:val="00"/>
    <w:family w:val="auto"/>
    <w:pitch w:val="default"/>
  </w:font>
  <w:font w:name="SimSun">
    <w:charset w:val="00"/>
    <w:family w:val="auto"/>
    <w:pitch w:val="default"/>
    <w:sig w:usb0="00000000" w:usb1="00000000" w:usb2="00000000" w:usb3="00000000" w:csb0="00000001" w:csb1="00000000"/>
    <w:embedRegular r:id="rId5" w:subsetted="1" w:fontKey="{D87421E8-0DBA-4B6B-B4A0-5841E3F04C8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5462462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702940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673158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29656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198225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540004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sz w:val="32"/>
        <w:szCs w:val="32"/>
      </w:rPr>
    </w:pPr>
    <w:r>
      <w:rPr>
        <w:rFonts w:ascii="宋体" w:eastAsia="宋体" w:hAnsi="宋体" w:cs="宋体" w:hint="eastAsia"/>
        <w:sz w:val="32"/>
        <w:szCs w:val="32"/>
      </w:rPr>
      <w:t>武汉科技大学成人教育毕业设计(论文)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18DEA98"/>
    <w:multiLevelType w:val="multilevel"/>
    <w:tmpl w:val="F18DEA98"/>
    <w:lvl w:ilvl="0">
      <w:start w:val="1"/>
      <w:numFmt w:val="chineseCounting"/>
      <w:pStyle w:val="Heading1"/>
      <w:suff w:val="nothing"/>
      <w:lvlText w:val="%1、"/>
      <w:lvlJc w:val="left"/>
      <w:pPr>
        <w:tabs>
          <w:tab w:val="left" w:pos="420"/>
        </w:tabs>
        <w:ind w:left="0" w:firstLine="0" w:leftChars="0" w:firstLineChars="0"/>
      </w:pPr>
      <w:rPr>
        <w:rFonts w:ascii="宋体" w:eastAsia="宋体" w:hAnsi="宋体" w:cs="宋体" w:hint="eastAsia"/>
      </w:rPr>
    </w:lvl>
    <w:lvl w:ilvl="1">
      <w:start w:val="1"/>
      <w:numFmt w:val="decimal"/>
      <w:pStyle w:val="Heading2"/>
      <w:isLgl/>
      <w:suff w:val="space"/>
      <w:lvlText w:val="%1.%2"/>
      <w:lvlJc w:val="left"/>
      <w:pPr>
        <w:tabs>
          <w:tab w:val="left" w:pos="0"/>
        </w:tabs>
        <w:ind w:left="0" w:firstLine="0" w:leftChars="0" w:firstLineChars="0"/>
      </w:pPr>
      <w:rPr>
        <w:rFonts w:ascii="宋体" w:eastAsia="宋体" w:hAnsi="宋体" w:cs="宋体" w:hint="eastAsia"/>
      </w:rPr>
    </w:lvl>
    <w:lvl w:ilvl="2">
      <w:start w:val="1"/>
      <w:numFmt w:val="decimal"/>
      <w:pStyle w:val="Heading3"/>
      <w:isLgl/>
      <w:suff w:val="space"/>
      <w:lvlText w:val="%1.%2.%3"/>
      <w:lvlJc w:val="left"/>
      <w:pPr>
        <w:tabs>
          <w:tab w:val="left" w:pos="0"/>
        </w:tabs>
        <w:ind w:left="0" w:firstLine="0" w:leftChars="0" w:firstLineChars="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4365F"/>
    <w:rsid w:val="000A7D19"/>
    <w:rsid w:val="00134106"/>
    <w:rsid w:val="00236688"/>
    <w:rsid w:val="00274EE3"/>
    <w:rsid w:val="002A6957"/>
    <w:rsid w:val="007C75B3"/>
    <w:rsid w:val="008A701E"/>
    <w:rsid w:val="00E47743"/>
    <w:rsid w:val="06BA1052"/>
    <w:rsid w:val="09576EAB"/>
    <w:rsid w:val="0F3B14C9"/>
    <w:rsid w:val="0F470AC2"/>
    <w:rsid w:val="0FDD25BC"/>
    <w:rsid w:val="10C47A6D"/>
    <w:rsid w:val="1104365F"/>
    <w:rsid w:val="111973C6"/>
    <w:rsid w:val="127225CC"/>
    <w:rsid w:val="13AA5959"/>
    <w:rsid w:val="142F3066"/>
    <w:rsid w:val="17FE0021"/>
    <w:rsid w:val="1B632F2B"/>
    <w:rsid w:val="1EE75CB3"/>
    <w:rsid w:val="23D008E8"/>
    <w:rsid w:val="26955276"/>
    <w:rsid w:val="2BEF7445"/>
    <w:rsid w:val="2EA957D5"/>
    <w:rsid w:val="304D711C"/>
    <w:rsid w:val="31391DA3"/>
    <w:rsid w:val="366F0610"/>
    <w:rsid w:val="3810372D"/>
    <w:rsid w:val="388A5BD2"/>
    <w:rsid w:val="38F8063F"/>
    <w:rsid w:val="3B79251F"/>
    <w:rsid w:val="3BE20C2B"/>
    <w:rsid w:val="3D69400B"/>
    <w:rsid w:val="3F591E5E"/>
    <w:rsid w:val="433724B6"/>
    <w:rsid w:val="48594C7C"/>
    <w:rsid w:val="48CE5205"/>
    <w:rsid w:val="50D5189A"/>
    <w:rsid w:val="51FA2862"/>
    <w:rsid w:val="579655A5"/>
    <w:rsid w:val="58C677D5"/>
    <w:rsid w:val="5A6D5F3A"/>
    <w:rsid w:val="5B2B61C3"/>
    <w:rsid w:val="60275934"/>
    <w:rsid w:val="62941398"/>
    <w:rsid w:val="64174448"/>
    <w:rsid w:val="66616D3B"/>
    <w:rsid w:val="670F0ED0"/>
    <w:rsid w:val="69A602BA"/>
    <w:rsid w:val="6D486EEA"/>
    <w:rsid w:val="71B572AA"/>
    <w:rsid w:val="75CB435D"/>
    <w:rsid w:val="77C43CCF"/>
    <w:rsid w:val="77E5624B"/>
    <w:rsid w:val="79722D9A"/>
    <w:rsid w:val="79CD7866"/>
    <w:rsid w:val="7BEC1388"/>
    <w:rsid w:val="7F7038A0"/>
    <w:rsid w:val="7F8E066B"/>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35"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240" w:beforeLines="0" w:beforeAutospacing="0" w:after="60" w:afterLines="0" w:afterAutospacing="0" w:line="360" w:lineRule="auto"/>
      <w:ind w:left="0" w:firstLine="420" w:firstLineChars="200"/>
      <w:outlineLvl w:val="0"/>
    </w:pPr>
    <w:rPr>
      <w:rFonts w:ascii="Times New Roman" w:eastAsia="黑体" w:hAnsi="Times New Roman"/>
      <w:kern w:val="44"/>
      <w:sz w:val="36"/>
      <w:szCs w:val="36"/>
    </w:rPr>
  </w:style>
  <w:style w:type="paragraph" w:styleId="Heading2">
    <w:name w:val="heading 2"/>
    <w:basedOn w:val="Heading1"/>
    <w:next w:val="Normal"/>
    <w:unhideWhenUsed/>
    <w:qFormat/>
    <w:pPr>
      <w:keepNext/>
      <w:keepLines/>
      <w:numPr>
        <w:ilvl w:val="1"/>
        <w:numId w:val="1"/>
      </w:numPr>
      <w:tabs>
        <w:tab w:val="clear" w:pos="0"/>
      </w:tabs>
      <w:spacing w:before="240" w:after="60" w:line="360" w:lineRule="auto"/>
      <w:ind w:left="0" w:firstLine="420" w:firstLineChars="200"/>
      <w:outlineLvl w:val="1"/>
    </w:pPr>
    <w:rPr>
      <w:rFonts w:ascii="Times New Roman" w:eastAsia="黑体" w:hAnsi="Times New Roman"/>
      <w:sz w:val="30"/>
      <w:szCs w:val="30"/>
    </w:rPr>
  </w:style>
  <w:style w:type="paragraph" w:styleId="Heading3">
    <w:name w:val="heading 3"/>
    <w:basedOn w:val="Heading2"/>
    <w:next w:val="Normal"/>
    <w:unhideWhenUsed/>
    <w:qFormat/>
    <w:pPr>
      <w:keepNext/>
      <w:keepLines/>
      <w:numPr>
        <w:ilvl w:val="2"/>
        <w:numId w:val="1"/>
      </w:numPr>
      <w:tabs>
        <w:tab w:val="clear" w:pos="0"/>
      </w:tabs>
      <w:spacing w:before="240" w:after="60" w:line="360" w:lineRule="auto"/>
      <w:ind w:left="0" w:firstLine="420" w:firstLineChars="200"/>
      <w:outlineLvl w:val="2"/>
    </w:pPr>
    <w:rPr>
      <w:rFonts w:ascii="Times New Roman" w:eastAsia="黑体" w:hAnsi="Times New Roman" w:cs="Times New Roman"/>
      <w:sz w:val="28"/>
      <w:szCs w:val="28"/>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Caption">
    <w:name w:val="caption"/>
    <w:basedOn w:val="Normal"/>
    <w:next w:val="Normal"/>
    <w:uiPriority w:val="35"/>
    <w:qFormat/>
    <w:rPr>
      <w:rFonts w:ascii="Cambria" w:eastAsia="黑体" w:hAnsi="Cambria"/>
      <w:sz w:val="20"/>
      <w:szCs w:val="20"/>
    </w:rPr>
  </w:style>
  <w:style w:type="paragraph" w:styleId="BodyText">
    <w:name w:val="Body Text"/>
    <w:basedOn w:val="Normal"/>
    <w:qFormat/>
    <w:pPr>
      <w:spacing w:after="120"/>
    </w:pPr>
  </w:style>
  <w:style w:type="paragraph" w:styleId="BodyTextIndent">
    <w:name w:val="Body Text Indent"/>
    <w:basedOn w:val="Normal"/>
    <w:qFormat/>
    <w:pPr>
      <w:spacing w:after="120"/>
      <w:ind w:left="420" w:leftChars="200"/>
    </w:pPr>
  </w:style>
  <w:style w:type="paragraph" w:styleId="TOC3">
    <w:name w:val="toc 3"/>
    <w:basedOn w:val="Normal"/>
    <w:next w:val="Normal"/>
    <w:qFormat/>
    <w:pPr>
      <w:ind w:left="840" w:firstLine="420" w:leftChars="400" w:firstLineChars="200"/>
    </w:pPr>
    <w:rPr>
      <w:rFonts w:ascii="Times New Roman" w:eastAsia="宋体" w:hAnsi="Times New Roman"/>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pPr>
      <w:ind w:firstLine="420" w:firstLineChars="200"/>
    </w:pPr>
    <w:rPr>
      <w:rFonts w:ascii="Times New Roman" w:eastAsia="宋体" w:hAnsi="Times New Roman"/>
      <w:sz w:val="24"/>
    </w:rPr>
  </w:style>
  <w:style w:type="paragraph" w:styleId="TOC2">
    <w:name w:val="toc 2"/>
    <w:basedOn w:val="Normal"/>
    <w:next w:val="Normal"/>
    <w:qFormat/>
    <w:pPr>
      <w:ind w:left="420" w:firstLine="420" w:leftChars="200" w:firstLineChars="200"/>
    </w:pPr>
    <w:rPr>
      <w:rFonts w:ascii="Times New Roman" w:eastAsia="宋体" w:hAnsi="Times New Roman"/>
      <w:sz w:val="24"/>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paragraph" w:styleId="BodyTextFirstIndent2">
    <w:name w:val="Body Text First Indent 2"/>
    <w:basedOn w:val="BodyTextIndent"/>
    <w:uiPriority w:val="99"/>
    <w:unhideWhenUsed/>
    <w:qFormat/>
    <w:pPr>
      <w:ind w:firstLine="420" w:firstLineChars="200"/>
    </w:pPr>
  </w:style>
  <w:style w:type="table" w:styleId="TableGrid">
    <w:name w:val="Table Grid"/>
    <w:basedOn w:val="TableNormal"/>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2.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header" Target="header7.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header" Target="header9.xml" /><Relationship Id="rId23" Type="http://schemas.openxmlformats.org/officeDocument/2006/relationships/footer" Target="footer8.xml" /><Relationship Id="rId24" Type="http://schemas.openxmlformats.org/officeDocument/2006/relationships/hyperlink" Target="https://d.book118.com/417012152115006046" TargetMode="External" /><Relationship Id="rId25" Type="http://schemas.openxmlformats.org/officeDocument/2006/relationships/header" Target="header10.xml" /><Relationship Id="rId26" Type="http://schemas.openxmlformats.org/officeDocument/2006/relationships/footer" Target="footer9.xml" /><Relationship Id="rId27" Type="http://schemas.microsoft.com/office/2006/relationships/keyMapCustomizations" Target="customizations.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bin"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10127</Words>
  <Characters>11401</Characters>
  <Application>Microsoft Office Word</Application>
  <DocSecurity>0</DocSecurity>
  <Lines>3</Lines>
  <Paragraphs>1</Paragraphs>
  <ScaleCrop>false</ScaleCrop>
  <Company/>
  <LinksUpToDate>false</LinksUpToDate>
  <CharactersWithSpaces>11658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蔡淇</cp:lastModifiedBy>
  <cp:revision>2</cp:revision>
  <dcterms:created xsi:type="dcterms:W3CDTF">2022-09-02T08:33:00Z</dcterms:created>
  <dcterms:modified xsi:type="dcterms:W3CDTF">2023-01-13T06:32:34Z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2925D6960AF9445F80E6E2007580D2E0</vt:lpwstr>
  </property>
  <property fmtid="{D5CDD505-2E9C-101B-9397-08002B2CF9AE}" pid="3" name="KSOProductBuildVer">
    <vt:lpwstr>2052-11.1.0.13703</vt:lpwstr>
  </property>
</Properties>
</file>