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汽车离合器相关行业公司成立方案及可行性研究报告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一、汽车离合器筹建公司基本信息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eastAsia="zh-CN"/>
          </w:rPr>
          <w:t>(一)、汽车离合器项目选址原则</w:t>
        </w:r>
        <w:r>
          <w:tab/>
        </w:r>
        <w:r>
          <w:fldChar w:fldCharType="begin"/>
        </w:r>
        <w:r>
          <w:instrText xml:space="preserve"> PAGEREF _Toc29194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9" w:history="1">
        <w:r>
          <w:rPr>
            <w:rFonts w:ascii="仿宋" w:eastAsia="仿宋" w:hAnsi="仿宋" w:cs="仿宋" w:hint="eastAsia"/>
            <w:lang w:eastAsia="zh-CN"/>
          </w:rPr>
          <w:t>(五)、汽车离合器项目选址综合评价</w:t>
        </w:r>
        <w:r>
          <w:tab/>
        </w:r>
        <w:r>
          <w:fldChar w:fldCharType="begin"/>
        </w:r>
        <w:r>
          <w:instrText xml:space="preserve"> PAGEREF _Toc22079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_Toc4425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(七)、汽车离合器项目建设必要性分析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9" w:history="1">
        <w:r>
          <w:rPr>
            <w:rFonts w:ascii="仿宋" w:eastAsia="仿宋" w:hAnsi="仿宋" w:cs="仿宋" w:hint="eastAsia"/>
            <w:lang w:eastAsia="zh-CN"/>
          </w:rPr>
          <w:t>六、汽车离合器项目经济效益</w:t>
        </w:r>
        <w:r>
          <w:tab/>
        </w:r>
        <w:r>
          <w:fldChar w:fldCharType="begin"/>
        </w:r>
        <w:r>
          <w:instrText xml:space="preserve"> PAGEREF _Toc27599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(三)、汽车离合器项目盈利能力分析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七、汽车离合器项目风险分析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3" w:history="1">
        <w:r>
          <w:rPr>
            <w:rFonts w:ascii="仿宋" w:eastAsia="仿宋" w:hAnsi="仿宋" w:cs="仿宋" w:hint="eastAsia"/>
            <w:lang w:eastAsia="zh-CN"/>
          </w:rPr>
          <w:t>(一)、汽车离合器项目风险分析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(二)、汽车离合器项目风险对策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(一)、汽车离合器项目背景分析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(二)、汽车离合器项目建设必要性分析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_Toc6573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eastAsia="zh-CN"/>
          </w:rPr>
          <w:t>(五)、汽车离合器项目总投资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5"/>
      <w:r>
        <w:rPr>
          <w:rFonts w:ascii="仿宋" w:eastAsia="仿宋" w:hAnsi="仿宋" w:cs="仿宋" w:hint="eastAsia"/>
          <w:sz w:val="28"/>
          <w:lang w:eastAsia="zh-CN"/>
        </w:rPr>
        <w:t>一、汽车离合器筹建公司基本信息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9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29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33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29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27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经营范围：从事XXX相关业务(企业依法自主选择经营汽车离合器项目，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开展经营活动；依法须经批准的汽车离合器项目，经相关部门批准后依批准的内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容开展经营活动；不得从事本市产业政策禁止和限制类汽车离合器项目的经营活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63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https://d.book118.com/417124031161006032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汽车离合器相关行业公司成立方案及可行性研究报告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汽车离合器相关行业公司成立方案及可行性研究报告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汽车离合器相关行业公司成立方案及可行性研究报告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汽车离合器相关行业公司成立方案及可行性研究报告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汽车离合器相关行业公司成立方案及可行性研究报告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7124031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2024-01-09T14:13:00Z</dcterms:created>
  <dcterms:modified xsi:type="dcterms:W3CDTF">2024-01-09T14:14:00Z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59C377EB03224925A5D035D33C099EB6_11</vt:lpwstr>
  </property>
  <property fmtid="{D5CDD505-2E9C-101B-9397-08002B2CF9AE}" pid="3" name="KSOProductBuildVer">
    <vt:lpwstr>2052-12.1.0.16120</vt:lpwstr>
  </property>
</Properties>
</file>