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神经耳病动物模型的构建与应用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7503249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神经耳病的病理机制概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动物模型选择与评估标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基因编辑技术构建模型方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药物诱导法建立模型流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行为学测试在模型中的应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电生理技术在模型中的应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分子生物学技术在模型中的应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模型在药物筛选中的作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神</w:t>
      </w:r>
      <w:r>
        <w:t>经</w:t>
      </w:r>
      <w:r>
        <w:t>耳</w:t>
      </w:r>
      <w:r>
        <w:t>病</w:t>
      </w:r>
      <w:r>
        <w:t>的</w:t>
      </w:r>
      <w:r>
        <w:t>病</w:t>
      </w:r>
      <w:r>
        <w:t>理</w:t>
      </w:r>
      <w:r>
        <w:t>机</w:t>
      </w:r>
      <w:r>
        <w:t>制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神经耳病的病理机制概述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内耳毛细胞的损伤与再生：神经耳病通常起始于内耳毛</w:t>
            </w:r>
            <w:r>
              <w:rPr>
                <w:spacing w:val="-2"/>
                <w:sz w:val="21"/>
              </w:rPr>
              <w:t>细胞的损伤，这些细胞负责将声音和头部运动转换为电信号。损伤可能由噪音暴露、老化、遗传因素或某些药物引起。研究正在探索如何通过促进毛细胞的自然再生过程来</w:t>
            </w:r>
            <w:r>
              <w:rPr>
                <w:spacing w:val="-2"/>
                <w:sz w:val="21"/>
              </w:rPr>
              <w:t>治疗神经耳病。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螺旋神经节的神经元变性：螺旋神经节是位于内耳中的</w:t>
            </w:r>
            <w:r>
              <w:rPr>
                <w:spacing w:val="-2"/>
                <w:sz w:val="21"/>
              </w:rPr>
              <w:t>神经元集合，它们将电信号从毛细胞传递到大脑。在神经耳病中，这些神经元可能会发生退行性变化，导致听力损失。研究正试图了解这一过程的分子机制，并寻找阻止神</w:t>
            </w:r>
            <w:r>
              <w:rPr>
                <w:spacing w:val="-2"/>
                <w:sz w:val="21"/>
              </w:rPr>
              <w:t>经元变性的方法。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内耳血流减少：内耳的血液供应对于维持其正常功能至</w:t>
            </w:r>
            <w:r>
              <w:rPr>
                <w:spacing w:val="-2"/>
                <w:sz w:val="21"/>
              </w:rPr>
              <w:t>关重要。在神经耳病中，内耳血流减少可能导致组织缺氧和毛细胞损伤。研究正在探讨改善内耳血流的策略，例如</w:t>
            </w:r>
            <w:r>
              <w:rPr>
                <w:spacing w:val="-2"/>
                <w:sz w:val="21"/>
              </w:rPr>
              <w:t>通过药物治疗或物理疗法。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炎症反应：神经耳病可能与内耳的炎症反应有关，这种</w:t>
            </w:r>
            <w:r>
              <w:rPr>
                <w:spacing w:val="-2"/>
                <w:sz w:val="21"/>
              </w:rPr>
              <w:t>反应可能由感染、自身免疫性疾病或其他刺激触发。炎症可以进一步损害毛细胞和神经元，加剧听力损失。研究人</w:t>
            </w:r>
            <w:r>
              <w:rPr>
                <w:spacing w:val="-2"/>
                <w:sz w:val="21"/>
              </w:rPr>
              <w:t>员正在研究抗炎药物和其他策略来减轻内耳炎症。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氧化应激增加：氧化应激是指体内自由基的产生与清除</w:t>
            </w:r>
            <w:r>
              <w:rPr>
                <w:spacing w:val="-2"/>
                <w:sz w:val="21"/>
              </w:rPr>
              <w:t>之间的不平衡状态，可能导致细胞损伤。在神经耳病中，氧化应激的增加可能与毛细胞和神经元的损伤有关。抗氧</w:t>
            </w:r>
            <w:r>
              <w:rPr>
                <w:spacing w:val="-2"/>
                <w:sz w:val="21"/>
              </w:rPr>
              <w:t>化剂和其他降低氧化应激的方法可能是未来的治疗方向。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细胞凋亡：细胞凋亡是一种程序化的细胞死亡过程，可</w:t>
            </w:r>
            <w:r>
              <w:rPr>
                <w:spacing w:val="-2"/>
                <w:sz w:val="21"/>
              </w:rPr>
              <w:t>能在神经耳病中发挥重要作用。研究正在调查哪些分子通路参与了内耳细胞的凋亡，以及如何干预这些通路以保护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毛细胞和神经元。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5" w:line="417" w:lineRule="auto"/>
        <w:ind w:right="518" w:firstLine="560"/>
        <w:jc w:val="both"/>
      </w:pPr>
      <w:r>
        <w:rPr>
          <w:spacing w:val="-7"/>
        </w:rPr>
        <w:t>神经耳病是一组影响听觉和平衡功能的疾病，其病理机制复杂多</w:t>
      </w:r>
      <w:r>
        <w:rPr>
          <w:spacing w:val="-4"/>
        </w:rPr>
        <w:t>样。本文将简要概述神经耳病的病理机制，包括内耳损伤、离子通道</w:t>
      </w:r>
      <w:r>
        <w:rPr>
          <w:spacing w:val="-2"/>
        </w:rPr>
        <w:t>异常、炎症反应以及神经变性等。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首先，内耳损伤是神经耳病的主要病理基础之一。内耳由耳蜗和前庭</w:t>
      </w:r>
      <w:r>
        <w:rPr>
          <w:spacing w:val="-4"/>
        </w:rPr>
        <w:t>系统组成，负责听觉和平衡功能。耳蜗内的毛细胞对声音信号进行转</w:t>
      </w:r>
      <w:r>
        <w:rPr>
          <w:spacing w:val="-5"/>
        </w:rPr>
        <w:t>换，而前庭系统的毛细胞则感知头部运动。当这些结构受到物理性损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伤时，如噪音暴露、老化或药物毒性，会导致毛细胞死亡，进而影响</w:t>
      </w:r>
      <w:r>
        <w:rPr>
          <w:spacing w:val="-2"/>
        </w:rPr>
        <w:t>听觉和平衡功能。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其次，离子通道异常也是神经耳病的重要病理机制。离子通道是细胞</w:t>
      </w:r>
      <w:r>
        <w:rPr>
          <w:spacing w:val="-2"/>
        </w:rPr>
        <w:t xml:space="preserve"> </w:t>
      </w:r>
      <w:r>
        <w:rPr>
          <w:spacing w:val="-2"/>
        </w:rPr>
        <w:t>膜上的蛋白质，负责调节离子的进出，从而维持细胞的电生理活动。</w:t>
      </w:r>
      <w:r>
        <w:rPr>
          <w:spacing w:val="-2"/>
        </w:rPr>
        <w:t>在内耳中，钾离子（K+）和钙离子（Ca2+）的转运对于维持毛细胞的</w:t>
      </w:r>
      <w:r>
        <w:rPr>
          <w:spacing w:val="-2"/>
        </w:rPr>
        <w:t xml:space="preserve"> </w:t>
      </w:r>
      <w:r>
        <w:rPr>
          <w:spacing w:val="-2"/>
        </w:rPr>
        <w:t>正常功能至关重要。当这些离子通道发生突变或功能障碍时，可能导</w:t>
      </w:r>
      <w:r>
        <w:rPr>
          <w:spacing w:val="-2"/>
        </w:rPr>
        <w:t xml:space="preserve"> </w:t>
      </w:r>
      <w:r>
        <w:rPr>
          <w:spacing w:val="-2"/>
        </w:rPr>
        <w:t>致内耳的电生理环境失衡，引发神经耳病。例如，遗传性耳聋中的线</w:t>
      </w:r>
      <w:r>
        <w:rPr>
          <w:spacing w:val="-2"/>
        </w:rPr>
        <w:t xml:space="preserve"> </w:t>
      </w:r>
      <w:r>
        <w:rPr>
          <w:spacing w:val="-15"/>
        </w:rPr>
        <w:t xml:space="preserve">粒体 </w:t>
      </w:r>
      <w:r>
        <w:t>12S rRNA A1555G</w:t>
      </w:r>
      <w:r>
        <w:rPr>
          <w:spacing w:val="-12"/>
        </w:rPr>
        <w:t xml:space="preserve"> 突变可导致氨基糖苷类药物敏感性增加，从而</w:t>
      </w:r>
      <w:r>
        <w:t xml:space="preserve"> </w:t>
      </w:r>
      <w:r>
        <w:rPr>
          <w:spacing w:val="-2"/>
        </w:rPr>
        <w:t>引起听力损失。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此外，炎症反应在神经耳病的发病过程中也起着重要作用。内耳的免</w:t>
      </w:r>
      <w:r>
        <w:rPr>
          <w:spacing w:val="-4"/>
        </w:rPr>
        <w:t>疫反应通常是由感染、外伤或其他刺激引起的。炎症细胞浸润、细胞</w:t>
      </w:r>
      <w:r>
        <w:rPr>
          <w:spacing w:val="-5"/>
        </w:rPr>
        <w:t>因子释放和氧化应激的增加均可导致内耳组织损伤。例如，突发性聋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（突聋）患者常伴有内耳血管炎，这可能是由于病毒感染或自身免疫</w:t>
      </w:r>
      <w:r>
        <w:rPr>
          <w:spacing w:val="-2"/>
        </w:rPr>
        <w:t>反应导致的。</w:t>
      </w:r>
    </w:p>
    <w:p>
      <w:pPr>
        <w:pStyle w:val="BodyText"/>
        <w:spacing w:line="417" w:lineRule="auto"/>
        <w:ind w:right="378"/>
      </w:pPr>
      <w:r>
        <w:rPr>
          <w:spacing w:val="-19"/>
        </w:rPr>
        <w:t>最后，神经变性也是神经耳病的一种重要病理过程。随着年龄的增长，</w:t>
      </w:r>
      <w:r>
        <w:rPr>
          <w:spacing w:val="-7"/>
        </w:rPr>
        <w:t>内耳的神经元和支持细胞可能会发生退行性改变，从而导致听力下降</w:t>
      </w:r>
      <w:r>
        <w:rPr>
          <w:spacing w:val="-19"/>
        </w:rPr>
        <w:t>和平衡障碍。例如，老年性聋与耳蜗螺旋神经节细胞的逐渐减少有关。</w:t>
      </w:r>
      <w:r>
        <w:rPr>
          <w:spacing w:val="-2"/>
        </w:rPr>
        <w:t xml:space="preserve">此外，一些遗传性疾病，如 </w:t>
      </w:r>
      <w:r>
        <w:t>Friedreich</w:t>
      </w:r>
      <w:r>
        <w:rPr>
          <w:spacing w:val="-5"/>
        </w:rPr>
        <w:t xml:space="preserve"> 共济失调，也会导致内耳神</w:t>
      </w:r>
      <w:r>
        <w:rPr>
          <w:spacing w:val="-2"/>
        </w:rPr>
        <w:t>经元的退行性变。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总之，神经耳病的病理机制涉及多个层面，包括内耳损伤、离子通道</w:t>
      </w:r>
      <w:r>
        <w:rPr>
          <w:spacing w:val="-4"/>
        </w:rPr>
        <w:t>异常、炎症反应和神经变性等。了解这些机制有助于开发新的治疗策</w:t>
      </w:r>
      <w:r>
        <w:rPr>
          <w:spacing w:val="-2"/>
        </w:rPr>
        <w:t>略，以改善神经耳病患者的症状和生活质量。</w:t>
      </w:r>
    </w:p>
    <w:p>
      <w:pPr>
        <w:spacing w:after="0" w:line="417" w:lineRule="auto"/>
        <w:jc w:val="both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  <w:jc w:val="lef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动</w:t>
      </w:r>
      <w:r>
        <w:t>物</w:t>
      </w:r>
      <w:r>
        <w:t>模</w:t>
      </w:r>
      <w:r>
        <w:t>型</w:t>
      </w:r>
      <w:r>
        <w:t>选</w:t>
      </w:r>
      <w:r>
        <w:t>择</w:t>
      </w:r>
      <w:r>
        <w:t>与</w:t>
      </w:r>
      <w:r>
        <w:t>评</w:t>
      </w:r>
      <w:r>
        <w:t>估</w:t>
      </w:r>
      <w:r>
        <w:t>标</w:t>
      </w:r>
      <w:bookmarkEnd w:id="1"/>
      <w:r>
        <w:rPr>
          <w:spacing w:val="-10"/>
        </w:rPr>
        <w:t>准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动物模型的选择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物种适应性：在选择动物模型时，需要考虑实验目的和</w:t>
            </w:r>
            <w:r>
              <w:rPr>
                <w:spacing w:val="-2"/>
                <w:sz w:val="21"/>
              </w:rPr>
              <w:t>疾病特性。例如，小鼠和大鼠因其遗传背景清晰、繁殖能力强、成本较低而常被用于构建神经耳病模型。豚鼠则由</w:t>
            </w:r>
            <w:r>
              <w:rPr>
                <w:spacing w:val="-2"/>
                <w:sz w:val="21"/>
              </w:rPr>
              <w:t>于其听觉系统与人相似，常用于听力损失的研究。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基因背景：选择具有特定遗传背景的动物，如转基因或</w:t>
            </w:r>
            <w:r>
              <w:rPr>
                <w:spacing w:val="-2"/>
                <w:sz w:val="21"/>
              </w:rPr>
              <w:t>基因敲除动物，可以更好地模拟人类疾病的遗传特征。这</w:t>
            </w:r>
            <w:r>
              <w:rPr>
                <w:spacing w:val="-2"/>
                <w:sz w:val="21"/>
              </w:rPr>
              <w:t>些动物模型有助于研究特定基因在神经耳病中的作用。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病理生理学相似性：选择的动物模型应尽可能模拟人类</w:t>
            </w:r>
            <w:r>
              <w:rPr>
                <w:spacing w:val="-2"/>
                <w:sz w:val="21"/>
              </w:rPr>
              <w:t>的病理生理过程。例如，通过药物诱导、噪声暴露或手术</w:t>
            </w:r>
            <w:r>
              <w:rPr>
                <w:spacing w:val="-2"/>
                <w:sz w:val="21"/>
              </w:rPr>
              <w:t>方法来诱发类似人类的神经耳病症状。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9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动物模型的评估标准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行为学评估：观察动物的行为变化，如听力测试（如听</w:t>
            </w:r>
            <w:r>
              <w:rPr>
                <w:spacing w:val="-7"/>
                <w:sz w:val="21"/>
              </w:rPr>
              <w:t xml:space="preserve">性脑干反应 </w:t>
            </w:r>
            <w:r>
              <w:rPr>
                <w:rFonts w:ascii="Times New Roman" w:eastAsia="Times New Roman"/>
                <w:spacing w:val="-6"/>
                <w:sz w:val="21"/>
              </w:rPr>
              <w:t>ABR</w:t>
            </w:r>
            <w:r>
              <w:rPr>
                <w:spacing w:val="-6"/>
                <w:sz w:val="21"/>
              </w:rPr>
              <w:t>）和行为反应测试（如避声反应</w:t>
            </w:r>
            <w:r>
              <w:rPr>
                <w:spacing w:val="-70"/>
                <w:sz w:val="21"/>
              </w:rPr>
              <w:t>）</w:t>
            </w:r>
            <w:r>
              <w:rPr>
                <w:spacing w:val="-23"/>
                <w:sz w:val="21"/>
              </w:rPr>
              <w:t>，以评估</w:t>
            </w:r>
            <w:r>
              <w:rPr>
                <w:spacing w:val="-2"/>
                <w:sz w:val="21"/>
              </w:rPr>
              <w:t>动物模型的听力损失程度和听力恢复能力。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组织病理学检查：通过对动物内耳组织的切片染色和显</w:t>
            </w:r>
            <w:r>
              <w:rPr>
                <w:spacing w:val="1"/>
                <w:sz w:val="21"/>
              </w:rPr>
              <w:t>微镜检查，观察毛细胞、螺旋神经节细胞的损伤情况以及</w:t>
            </w:r>
            <w:r>
              <w:rPr>
                <w:spacing w:val="-7"/>
                <w:sz w:val="21"/>
              </w:rPr>
              <w:t>炎症反应等，以评估模型的病理改变是否与人类疾病相符。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分子生物学分析：通过 </w:t>
            </w:r>
            <w:r>
              <w:rPr>
                <w:rFonts w:ascii="Times New Roman" w:eastAsia="Times New Roman"/>
                <w:spacing w:val="-2"/>
                <w:sz w:val="21"/>
              </w:rPr>
              <w:t>PCR</w:t>
            </w:r>
            <w:r>
              <w:rPr>
                <w:spacing w:val="-2"/>
                <w:sz w:val="21"/>
              </w:rPr>
              <w:t>、</w:t>
            </w:r>
            <w:r>
              <w:rPr>
                <w:rFonts w:ascii="Times New Roman" w:eastAsia="Times New Roman"/>
                <w:spacing w:val="-2"/>
                <w:sz w:val="21"/>
              </w:rPr>
              <w:t>Western</w:t>
            </w:r>
            <w:r>
              <w:rPr>
                <w:rFonts w:ascii="Times New Roman" w:eastAsia="Times New Roman"/>
                <w:spacing w:val="6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2"/>
                <w:sz w:val="21"/>
              </w:rPr>
              <w:t>blot</w:t>
            </w:r>
            <w:r>
              <w:rPr>
                <w:spacing w:val="-4"/>
                <w:sz w:val="21"/>
              </w:rPr>
              <w:t>、免疫组化等</w:t>
            </w:r>
          </w:p>
          <w:p>
            <w:pPr>
              <w:pStyle w:val="TableParagraph"/>
              <w:spacing w:before="1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技术检测相关基因表达和蛋白水平的改变，以揭示模型中</w:t>
            </w:r>
            <w:r>
              <w:rPr>
                <w:spacing w:val="-2"/>
                <w:sz w:val="21"/>
              </w:rPr>
              <w:t>的分子机制和信号通路变化。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7"/>
        </w:rPr>
        <w:t>神经耳病是一类影响听觉和平衡功能的疾病，其动物模型的构建</w:t>
      </w:r>
      <w:r>
        <w:rPr>
          <w:spacing w:val="-2"/>
        </w:rPr>
        <w:t>和应用对于研究疾病的病理生理机制以及开发新的治疗方法至关重</w:t>
      </w:r>
      <w:r>
        <w:rPr>
          <w:spacing w:val="-4"/>
        </w:rPr>
        <w:t>要。在选择和评估动物模型时，需要考虑多种因素以确保模型的有效</w:t>
      </w:r>
      <w:r>
        <w:rPr>
          <w:spacing w:val="-2"/>
        </w:rPr>
        <w:t>性和可靠性。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首先，动物模型的选择应基于疾病特征的相似性。理想的动物模型应</w:t>
      </w:r>
      <w:r>
        <w:rPr>
          <w:spacing w:val="-4"/>
        </w:rPr>
        <w:t>该能够模拟人类神经耳病的核心症状和病理变化。例如，对于突发性</w:t>
      </w:r>
      <w:r>
        <w:t>聋（sudden</w:t>
      </w:r>
      <w:r>
        <w:rPr>
          <w:spacing w:val="-18"/>
        </w:rPr>
        <w:t xml:space="preserve"> </w:t>
      </w:r>
      <w:r>
        <w:t>sensorineural</w:t>
      </w:r>
      <w:r>
        <w:rPr>
          <w:spacing w:val="-17"/>
        </w:rPr>
        <w:t xml:space="preserve"> </w:t>
      </w:r>
      <w:r>
        <w:t>hearing</w:t>
      </w:r>
      <w:r>
        <w:rPr>
          <w:spacing w:val="-17"/>
        </w:rPr>
        <w:t xml:space="preserve"> </w:t>
      </w:r>
      <w:r>
        <w:t>loss）</w:t>
      </w:r>
      <w:r>
        <w:rPr>
          <w:spacing w:val="7"/>
        </w:rPr>
        <w:t>的动物模型，研究者可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9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103"/>
      </w:pPr>
      <w:r>
        <w:rPr>
          <w:spacing w:val="-8"/>
        </w:rPr>
        <w:t>能会选择具有内耳毛细胞损伤和听力下降特征的动物，如豚鼠或小鼠。</w:t>
      </w:r>
      <w:r>
        <w:rPr>
          <w:spacing w:val="-2"/>
        </w:rPr>
        <w:t>其次，动物模型的评估标准包括：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形态学评估：通过组织病理学检查，观察动物内耳结构的变化，</w:t>
      </w:r>
      <w:r>
        <w:rPr>
          <w:spacing w:val="-12"/>
          <w:sz w:val="28"/>
        </w:rPr>
        <w:t>如毛细胞的损伤程度、螺旋神经节的神经元丢失情况以及血管纹的完</w:t>
      </w:r>
      <w:r>
        <w:rPr>
          <w:spacing w:val="-4"/>
          <w:sz w:val="28"/>
        </w:rPr>
        <w:t>整性等。</w:t>
      </w:r>
    </w:p>
    <w:p>
      <w:pPr>
        <w:pStyle w:val="ListParagraph"/>
        <w:numPr>
          <w:ilvl w:val="0"/>
          <w:numId w:val="11"/>
        </w:numPr>
        <w:tabs>
          <w:tab w:val="left" w:pos="553"/>
        </w:tabs>
        <w:spacing w:before="0" w:after="0" w:line="358" w:lineRule="exact"/>
        <w:ind w:left="552" w:right="0" w:hanging="433"/>
        <w:jc w:val="both"/>
        <w:rPr>
          <w:sz w:val="28"/>
        </w:rPr>
      </w:pPr>
      <w:r>
        <w:rPr>
          <w:spacing w:val="6"/>
          <w:sz w:val="28"/>
        </w:rPr>
        <w:t>功能评估：采用听力测试，如听性脑干反应</w:t>
      </w:r>
      <w:r>
        <w:rPr>
          <w:spacing w:val="35"/>
          <w:sz w:val="28"/>
        </w:rPr>
        <w:t>（</w:t>
      </w:r>
      <w:r>
        <w:rPr>
          <w:spacing w:val="23"/>
          <w:sz w:val="28"/>
        </w:rPr>
        <w:t>ABR</w:t>
      </w:r>
      <w:r>
        <w:rPr>
          <w:spacing w:val="-105"/>
          <w:sz w:val="28"/>
        </w:rPr>
        <w:t>）</w:t>
      </w:r>
      <w:r>
        <w:rPr>
          <w:spacing w:val="2"/>
          <w:sz w:val="28"/>
        </w:rPr>
        <w:t>、耳蜗电图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2"/>
        </w:rPr>
        <w:t>（ECochG）和畸变产物耳声发射（DPOAE）等，来定量评估动物的听</w:t>
      </w:r>
      <w:r>
        <w:rPr>
          <w:spacing w:val="-2"/>
        </w:rPr>
        <w:t>力损失程度和频率特异性。</w:t>
      </w:r>
    </w:p>
    <w:p>
      <w:pPr>
        <w:pStyle w:val="ListParagraph"/>
        <w:numPr>
          <w:ilvl w:val="0"/>
          <w:numId w:val="11"/>
        </w:numPr>
        <w:tabs>
          <w:tab w:val="left" w:pos="547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行为学评估：通过前庭功能测试，如旋转试验、眼震电图（ENG）</w:t>
      </w:r>
      <w:r>
        <w:rPr>
          <w:spacing w:val="-2"/>
          <w:sz w:val="28"/>
        </w:rPr>
        <w:t>和前庭诱发肌源性电位（VEMP）等，来评价动物的平衡功能障碍。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分子生物学评估：检测相关基因的表达水平、蛋白质的合成和代</w:t>
      </w:r>
      <w:r>
        <w:rPr>
          <w:spacing w:val="-2"/>
          <w:sz w:val="28"/>
        </w:rPr>
        <w:t>谢状态，以及炎症因子的浓度等，以揭示潜在的病理生理机制。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治疗响应评估：应用药物治疗后，通过上述各项指标的改善情况</w:t>
      </w:r>
      <w:r>
        <w:rPr>
          <w:spacing w:val="-2"/>
          <w:sz w:val="28"/>
        </w:rPr>
        <w:t>来评估药物的效果和安全性。</w:t>
      </w: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可重复性评估：在不同实验条件下，如不同种系、年龄和性别动</w:t>
      </w:r>
      <w:r>
        <w:rPr>
          <w:spacing w:val="-2"/>
          <w:sz w:val="28"/>
        </w:rPr>
        <w:t>物间的模型复制能力，是衡量模型稳定性的重要指标。</w:t>
      </w: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9"/>
          <w:sz w:val="28"/>
        </w:rPr>
        <w:t xml:space="preserve">伦理考量：确保动物福利，遵循 </w:t>
      </w:r>
      <w:r>
        <w:rPr>
          <w:spacing w:val="-4"/>
          <w:sz w:val="28"/>
        </w:rPr>
        <w:t>3R</w:t>
      </w:r>
      <w:r>
        <w:rPr>
          <w:spacing w:val="-26"/>
          <w:sz w:val="28"/>
        </w:rPr>
        <w:t xml:space="preserve"> 原则</w:t>
      </w:r>
      <w:r>
        <w:rPr>
          <w:spacing w:val="-4"/>
          <w:sz w:val="28"/>
        </w:rPr>
        <w:t>（减少、替代、优化）</w:t>
      </w:r>
      <w:r>
        <w:rPr>
          <w:spacing w:val="-4"/>
          <w:sz w:val="28"/>
        </w:rPr>
        <w:t>进</w:t>
      </w:r>
      <w:r>
        <w:rPr>
          <w:spacing w:val="-2"/>
          <w:sz w:val="28"/>
        </w:rPr>
        <w:t>行实验设计，以减少动物痛苦并提高科学道德。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此外，还需注意模型的可操作性，包括手术难度、所需时间、成本效</w:t>
      </w:r>
      <w:r>
        <w:rPr>
          <w:spacing w:val="-2"/>
        </w:rPr>
        <w:t>益比以及对实验环境的特殊要求等。</w:t>
      </w:r>
    </w:p>
    <w:p>
      <w:pPr>
        <w:pStyle w:val="BodyText"/>
        <w:spacing w:line="417" w:lineRule="auto"/>
        <w:ind w:right="518"/>
      </w:pPr>
      <w:r>
        <w:rPr>
          <w:spacing w:val="-12"/>
        </w:rPr>
        <w:t>综上所述，构建一个有效的神经耳病动物模型需要综合考虑多个方面</w:t>
      </w:r>
      <w:r>
        <w:rPr>
          <w:spacing w:val="-5"/>
        </w:rPr>
        <w:t>的因素，并通过严格的评估标准来验证模型的可靠性和适用性。只有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这样，才能确保研究成果的科学性和临床转化的可能性。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  <w:jc w:val="lef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基</w:t>
      </w:r>
      <w:r>
        <w:t>因</w:t>
      </w:r>
      <w:r>
        <w:t>编</w:t>
      </w:r>
      <w:r>
        <w:t>辑</w:t>
      </w:r>
      <w:r>
        <w:t>技</w:t>
      </w:r>
      <w:r>
        <w:t>术</w:t>
      </w:r>
      <w:r>
        <w:t>构</w:t>
      </w:r>
      <w:r>
        <w:t>建</w:t>
      </w:r>
      <w:r>
        <w:t>模</w:t>
      </w:r>
      <w:r>
        <w:t>型</w:t>
      </w:r>
      <w:r>
        <w:t>方</w:t>
      </w:r>
      <w:bookmarkEnd w:id="2"/>
      <w:r>
        <w:rPr>
          <w:spacing w:val="-10"/>
        </w:rPr>
        <w:t>法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6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【基因编辑技术在神经耳病</w:t>
            </w:r>
          </w:p>
        </w:tc>
        <w:tc>
          <w:tcPr>
            <w:tcW w:w="5530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1"/>
                <w:sz w:val="21"/>
              </w:rPr>
              <w:t>动物模型构建中的应用】：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29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CRISPR/Cas9</w:t>
            </w:r>
            <w:r>
              <w:rPr>
                <w:rFonts w:ascii="Times New Roman" w:eastAsia="Times New Roman"/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技术的应用：</w:t>
            </w:r>
            <w:r>
              <w:rPr>
                <w:rFonts w:ascii="Times New Roman" w:eastAsia="Times New Roman"/>
                <w:sz w:val="21"/>
              </w:rPr>
              <w:t>CRISPR/Cas9</w:t>
            </w:r>
            <w:r>
              <w:rPr>
                <w:rFonts w:ascii="Times New Roman" w:eastAsia="Times New Roman"/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是一种革命性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的基因编辑技术，它允许科学家精确地添加、删除或更改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基因组中的特定序列。在神经耳病的研究中，这种技术被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用于创建具有特定遗传突变的动物模型，以研究这些突变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9"/>
                <w:sz w:val="21"/>
              </w:rPr>
              <w:t>如何影响听力或平衡功能。例如， 研究人员可以使用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3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 w:line="278" w:lineRule="auto"/>
              <w:ind w:right="14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CRISPR/Cas9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来引入与人类神经耳病相关的基因突变，如 </w:t>
            </w:r>
            <w:r>
              <w:rPr>
                <w:rFonts w:ascii="Times New Roman" w:eastAsia="Times New Roman"/>
                <w:sz w:val="21"/>
              </w:rPr>
              <w:t xml:space="preserve">Usher </w:t>
            </w:r>
            <w:r>
              <w:rPr>
                <w:spacing w:val="-3"/>
                <w:sz w:val="21"/>
              </w:rPr>
              <w:t xml:space="preserve">综合征或 </w:t>
            </w:r>
            <w:r>
              <w:rPr>
                <w:rFonts w:ascii="Times New Roman" w:eastAsia="Times New Roman"/>
                <w:sz w:val="21"/>
              </w:rPr>
              <w:t xml:space="preserve">Waardenburg </w:t>
            </w:r>
            <w:r>
              <w:rPr>
                <w:sz w:val="21"/>
              </w:rPr>
              <w:t>综合征。</w:t>
            </w:r>
          </w:p>
          <w:p>
            <w:pPr>
              <w:pStyle w:val="TableParagraph"/>
              <w:spacing w:line="278" w:lineRule="auto"/>
              <w:ind w:right="9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基因敲除和敲入模型的建立：通过使用基因编辑技术，</w:t>
            </w:r>
            <w:r>
              <w:rPr>
                <w:spacing w:val="-2"/>
                <w:sz w:val="21"/>
              </w:rPr>
              <w:t>研究者可以创建基因敲除（</w:t>
            </w:r>
            <w:r>
              <w:rPr>
                <w:rFonts w:ascii="Times New Roman" w:eastAsia="Times New Roman"/>
                <w:spacing w:val="-2"/>
                <w:sz w:val="21"/>
              </w:rPr>
              <w:t>KO</w:t>
            </w:r>
            <w:r>
              <w:rPr>
                <w:spacing w:val="-2"/>
                <w:sz w:val="21"/>
              </w:rPr>
              <w:t>）或敲入（</w:t>
            </w:r>
            <w:r>
              <w:rPr>
                <w:rFonts w:ascii="Times New Roman" w:eastAsia="Times New Roman"/>
                <w:spacing w:val="-2"/>
                <w:sz w:val="21"/>
              </w:rPr>
              <w:t>KI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4"/>
                <w:sz w:val="21"/>
              </w:rPr>
              <w:t>模型，这些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模型缺乏或替换了特定的基因。例如，研究者可能已经确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定了某个基因与神经耳病有关，他们可以通过基因编辑技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术创建一个缺乏该基因的动物模型，以研究其在听力或平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衡中的作用。同样，研究者也可以将一个功能性的基因插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入到动物的基因组中，以研究其对疾病表型的潜在影响。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条件性基因编辑的应用：条件性基因编辑允许科学家在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特定细胞类型或发育阶段中激活基因编辑。这在神经耳病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的研究中尤为重要，因为许多疾病是由特定类型的神经元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受损引起的。通过条件性基因编辑，研究者可以在内耳的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特定细胞类型中引入或消除基因，从而更精确地模拟人类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的疾病状况。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基因编辑技术的安全性评估：虽然基因编辑技术为神经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耳病的研究提供了强大的工具，但其安全性仍然是一个重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z w:val="21"/>
              </w:rPr>
              <w:t>要的考虑因素。研究表明，</w:t>
            </w:r>
            <w:r>
              <w:rPr>
                <w:rFonts w:ascii="Times New Roman" w:eastAsia="Times New Roman"/>
                <w:sz w:val="21"/>
              </w:rPr>
              <w:t>CRISPR/Cas9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系统可能会引起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非特异性效应，如基因编辑过程中的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“</w:t>
            </w:r>
            <w:r>
              <w:rPr>
                <w:spacing w:val="-2"/>
                <w:sz w:val="21"/>
              </w:rPr>
              <w:t>脱靶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”</w:t>
            </w:r>
            <w:r>
              <w:rPr>
                <w:spacing w:val="-2"/>
                <w:sz w:val="21"/>
              </w:rPr>
              <w:t>事件。因此，</w:t>
            </w:r>
            <w:r>
              <w:rPr>
                <w:spacing w:val="-1"/>
                <w:sz w:val="21"/>
              </w:rPr>
              <w:t>在使用基因编辑技术构建动物模型时，研究者需要仔细评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估其安全性，并采取措施减少潜在的副作用。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基因编辑技术的优化和改进：随着研究的深入，科学家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们正在不断改进基因编辑技术，以提高其效率和准确性。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例如，研究人员正在开发新的 </w:t>
            </w:r>
            <w:r>
              <w:rPr>
                <w:rFonts w:ascii="Times New Roman" w:eastAsia="Times New Roman"/>
                <w:sz w:val="21"/>
              </w:rPr>
              <w:t xml:space="preserve">Cas </w:t>
            </w:r>
            <w:r>
              <w:rPr>
                <w:spacing w:val="-7"/>
                <w:sz w:val="21"/>
              </w:rPr>
              <w:t xml:space="preserve">蛋白变体和向导 </w:t>
            </w:r>
            <w:r>
              <w:rPr>
                <w:rFonts w:ascii="Times New Roman" w:eastAsia="Times New Roman"/>
                <w:sz w:val="21"/>
              </w:rPr>
              <w:t>RNA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设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计，以减少脱靶效应和提高基因编辑的特异性。此外，研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究者还在探索其他基因编辑技术，如 </w:t>
            </w:r>
            <w:r>
              <w:rPr>
                <w:rFonts w:ascii="Times New Roman" w:eastAsia="Times New Roman"/>
                <w:sz w:val="21"/>
              </w:rPr>
              <w:t>RNA</w:t>
            </w:r>
            <w:r>
              <w:rPr>
                <w:rFonts w:ascii="Times New Roman" w:eastAsia="Times New Roman"/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干扰</w:t>
            </w: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RNAi</w:t>
            </w:r>
            <w:r>
              <w:rPr>
                <w:spacing w:val="-2"/>
                <w:sz w:val="21"/>
              </w:rPr>
              <w:t>）</w:t>
            </w:r>
          </w:p>
          <w:p>
            <w:pPr>
              <w:pStyle w:val="TableParagraph"/>
              <w:spacing w:before="2" w:line="310" w:lineRule="atLeast"/>
              <w:ind w:right="95"/>
              <w:rPr>
                <w:sz w:val="21"/>
              </w:rPr>
            </w:pPr>
            <w:r>
              <w:rPr>
                <w:spacing w:val="-6"/>
                <w:sz w:val="21"/>
              </w:rPr>
              <w:t>和转录激活效应子</w:t>
            </w:r>
            <w:r>
              <w:rPr>
                <w:spacing w:val="9"/>
                <w:sz w:val="21"/>
              </w:rPr>
              <w:t>（</w:t>
            </w:r>
            <w:r>
              <w:rPr>
                <w:rFonts w:ascii="Times New Roman" w:eastAsia="Times New Roman"/>
                <w:spacing w:val="9"/>
                <w:sz w:val="21"/>
              </w:rPr>
              <w:t>TALEs</w:t>
            </w:r>
            <w:r>
              <w:rPr>
                <w:spacing w:val="-96"/>
                <w:sz w:val="21"/>
              </w:rPr>
              <w:t>）</w:t>
            </w:r>
            <w:r>
              <w:rPr>
                <w:spacing w:val="-6"/>
                <w:sz w:val="21"/>
              </w:rPr>
              <w:t>，这些技术可能为神经耳病的</w:t>
            </w:r>
            <w:r>
              <w:rPr>
                <w:spacing w:val="-2"/>
                <w:sz w:val="21"/>
              </w:rPr>
              <w:t>动物模型构建提供更多选择。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276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基因编辑技术在药物筛选和个性化治疗中的应用：除了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用于基础研究外，基因编辑技术还可以应用于药物的筛选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30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和个性化治疗。通过创建具有特定遗传突变的动物模型，</w:t>
            </w:r>
            <w:r>
              <w:rPr>
                <w:spacing w:val="-2"/>
                <w:sz w:val="21"/>
              </w:rPr>
              <w:t>研究者可以测试各种化合物或药物对疾病表型的影响，从</w:t>
            </w:r>
            <w:r>
              <w:rPr>
                <w:spacing w:val="-2"/>
                <w:sz w:val="21"/>
              </w:rPr>
              <w:t>而发现新的治疗靶点。此外，基因编辑技术还可以用于开</w:t>
            </w:r>
            <w:r>
              <w:rPr>
                <w:spacing w:val="-1"/>
                <w:sz w:val="21"/>
              </w:rPr>
              <w:t>发个体化的治疗方法，例如修复患者的遗传突变或增强内</w:t>
            </w:r>
          </w:p>
          <w:p>
            <w:pPr>
              <w:pStyle w:val="TableParagraph"/>
              <w:spacing w:line="26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耳细胞的再生能力。</w:t>
            </w: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9"/>
        </w:rPr>
        <w:t xml:space="preserve">基因编辑技术，尤其是 </w:t>
      </w:r>
      <w:r>
        <w:rPr>
          <w:spacing w:val="-6"/>
        </w:rPr>
        <w:t>CRISPR-Cas9</w:t>
      </w:r>
      <w:r>
        <w:rPr>
          <w:spacing w:val="-11"/>
        </w:rPr>
        <w:t xml:space="preserve"> 系统，已成为构建神经耳病</w:t>
      </w:r>
      <w:r>
        <w:rPr>
          <w:spacing w:val="-4"/>
        </w:rPr>
        <w:t>动物模型的重要工具。该技术允许研究者精确地修改特定基因，从而</w:t>
      </w:r>
      <w:r>
        <w:rPr>
          <w:spacing w:val="-8"/>
        </w:rPr>
        <w:t>模拟人类遗传性神经耳病的病理特征。以下是几种使用基因编辑技术</w:t>
      </w:r>
      <w:r>
        <w:rPr>
          <w:spacing w:val="-2"/>
        </w:rPr>
        <w:t>构建神经耳病动物模型的方法：</w:t>
      </w:r>
    </w:p>
    <w:p>
      <w:pPr>
        <w:pStyle w:val="ListParagraph"/>
        <w:numPr>
          <w:ilvl w:val="0"/>
          <w:numId w:val="10"/>
        </w:numPr>
        <w:tabs>
          <w:tab w:val="left" w:pos="546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 xml:space="preserve">基因敲除模型：通过基因编辑技术，如 </w:t>
      </w:r>
      <w:r>
        <w:rPr>
          <w:sz w:val="28"/>
        </w:rPr>
        <w:t>CRISPR-Cas9，可以创建</w:t>
      </w:r>
      <w:r>
        <w:rPr>
          <w:spacing w:val="-12"/>
          <w:sz w:val="28"/>
        </w:rPr>
        <w:t>特定基因的敲除</w:t>
      </w:r>
      <w:r>
        <w:rPr>
          <w:spacing w:val="-4"/>
          <w:sz w:val="28"/>
        </w:rPr>
        <w:t>（KO）</w:t>
      </w:r>
      <w:r>
        <w:rPr>
          <w:spacing w:val="-16"/>
          <w:sz w:val="28"/>
        </w:rPr>
        <w:t>模型。例如，为了研究内耳毛细胞发育和功能，</w:t>
      </w:r>
      <w:r>
        <w:rPr>
          <w:spacing w:val="-2"/>
          <w:sz w:val="28"/>
        </w:rPr>
        <w:t xml:space="preserve">研究者可以使用基因编辑技术敲除 </w:t>
      </w:r>
      <w:r>
        <w:rPr>
          <w:sz w:val="28"/>
        </w:rPr>
        <w:t>Pou4f3</w:t>
      </w:r>
      <w:r>
        <w:rPr>
          <w:spacing w:val="-22"/>
          <w:sz w:val="28"/>
        </w:rPr>
        <w:t xml:space="preserve"> 或 </w:t>
      </w:r>
      <w:r>
        <w:rPr>
          <w:sz w:val="28"/>
        </w:rPr>
        <w:t>Myo7a</w:t>
      </w:r>
      <w:r>
        <w:rPr>
          <w:spacing w:val="-6"/>
          <w:sz w:val="28"/>
        </w:rPr>
        <w:t xml:space="preserve"> 等关键基因，这</w:t>
      </w:r>
      <w:r>
        <w:rPr>
          <w:spacing w:val="-2"/>
          <w:sz w:val="28"/>
        </w:rPr>
        <w:t>些基因在内耳发育过程中起着至关重要的作用。敲除这些基因后，动</w:t>
      </w:r>
      <w:r>
        <w:rPr>
          <w:spacing w:val="-2"/>
          <w:sz w:val="28"/>
        </w:rPr>
        <w:t>物会出现听力损失和平衡障碍，类似于人类遗传性聋病。</w:t>
      </w: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条件性基因敲除模型：在某些情况下，研究者可能希望仅在特定</w:t>
      </w:r>
      <w:r>
        <w:rPr>
          <w:spacing w:val="10"/>
          <w:sz w:val="28"/>
        </w:rPr>
        <w:t xml:space="preserve">时间或组织中敲除基因。为此， 他们可以利用 </w:t>
      </w:r>
      <w:r>
        <w:rPr>
          <w:sz w:val="28"/>
        </w:rPr>
        <w:t xml:space="preserve">Cre-loxP 系统与 </w:t>
      </w:r>
      <w:r>
        <w:rPr>
          <w:spacing w:val="-6"/>
          <w:sz w:val="28"/>
        </w:rPr>
        <w:t>CRISPR-Cas9</w:t>
      </w:r>
      <w:r>
        <w:rPr>
          <w:spacing w:val="-10"/>
          <w:sz w:val="28"/>
        </w:rPr>
        <w:t xml:space="preserve"> 结合，实现条件性基因敲除。例如，将 </w:t>
      </w:r>
      <w:r>
        <w:rPr>
          <w:spacing w:val="-6"/>
          <w:sz w:val="28"/>
        </w:rPr>
        <w:t>Cre</w:t>
      </w:r>
      <w:r>
        <w:rPr>
          <w:spacing w:val="-9"/>
          <w:sz w:val="28"/>
        </w:rPr>
        <w:t xml:space="preserve"> 重组酶特异</w:t>
      </w:r>
      <w:r>
        <w:rPr>
          <w:spacing w:val="-7"/>
          <w:sz w:val="28"/>
        </w:rPr>
        <w:t xml:space="preserve">性启动子与 </w:t>
      </w:r>
      <w:r>
        <w:rPr>
          <w:spacing w:val="-4"/>
          <w:sz w:val="28"/>
        </w:rPr>
        <w:t>CRISPR-Cas9</w:t>
      </w:r>
      <w:r>
        <w:rPr>
          <w:spacing w:val="-15"/>
          <w:sz w:val="28"/>
        </w:rPr>
        <w:t xml:space="preserve"> 系统一起使用，可以在内耳毛细胞分化时激</w:t>
      </w:r>
      <w:r>
        <w:rPr>
          <w:spacing w:val="-4"/>
          <w:sz w:val="28"/>
        </w:rPr>
        <w:t>活基因编辑，从而产生条件性基因敲除模型。这种模型有助于揭示基</w:t>
      </w:r>
      <w:r>
        <w:rPr>
          <w:spacing w:val="-2"/>
          <w:sz w:val="28"/>
        </w:rPr>
        <w:t>因在特定发育阶段的作用。</w:t>
      </w: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  <w:r>
        <w:rPr>
          <w:spacing w:val="-2"/>
          <w:sz w:val="28"/>
        </w:rPr>
        <w:t>基因敲入模型：除了敲除基因外，研究者还可以使用基因编辑技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术将特定突变引入动物模型。例如，为了研究某些已知与神经耳病相</w:t>
      </w:r>
      <w:r>
        <w:rPr>
          <w:spacing w:val="-2"/>
          <w:sz w:val="28"/>
        </w:rPr>
        <w:t xml:space="preserve"> 关的突变如何影响内耳功能，研究者可以将这些突变引入动物模型。</w:t>
      </w:r>
      <w:r>
        <w:rPr>
          <w:spacing w:val="-2"/>
          <w:sz w:val="28"/>
        </w:rPr>
        <w:t>这可以通过向目标基因中插入点突变、缺失或插入序列来实现。这种</w:t>
      </w:r>
    </w:p>
    <w:p>
      <w:pPr>
        <w:pStyle w:val="BodyText"/>
        <w:spacing w:line="358" w:lineRule="exact"/>
      </w:pPr>
      <w:r>
        <w:rPr>
          <w:spacing w:val="-1"/>
        </w:rPr>
        <w:t>方法对于研究单个氨基酸变化如何影响蛋白质功能和疾病表型特别</w:t>
      </w:r>
    </w:p>
    <w:p>
      <w:pPr>
        <w:spacing w:after="0" w:line="358" w:lineRule="exact"/>
        <w:sectPr>
          <w:footerReference w:type="default" r:id="rId12"/>
          <w:type w:val="nextPage"/>
          <w:pgSz w:w="11910" w:h="16840"/>
          <w:pgMar w:top="1400" w:right="1280" w:bottom="1380" w:left="1680" w:header="0" w:footer="1198"/>
          <w:pgNumType w:start="8"/>
          <w:cols w:space="708"/>
          <w:titlePg w:val="0"/>
        </w:sectPr>
      </w:pPr>
    </w:p>
    <w:p>
      <w:pPr>
        <w:pStyle w:val="BodyText"/>
        <w:spacing w:before="37"/>
      </w:pPr>
      <w:r>
        <w:rPr>
          <w:spacing w:val="-4"/>
        </w:rPr>
        <w:t>有用。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基因编辑诱导模型：在某些研究中，研究者可能希望在成年动物</w:t>
      </w:r>
      <w:r>
        <w:rPr>
          <w:spacing w:val="-4"/>
          <w:sz w:val="28"/>
        </w:rPr>
        <w:t>中诱导基因编辑，以研究基因突变对成熟内耳的影响。为此，他们可</w:t>
      </w:r>
      <w:r>
        <w:rPr>
          <w:sz w:val="28"/>
        </w:rPr>
        <w:t>以利用诱导多能干细胞（iPSCs）技术和 CRISPR-Cas9。首先，从成</w:t>
      </w:r>
      <w:r>
        <w:rPr>
          <w:spacing w:val="-4"/>
          <w:sz w:val="28"/>
        </w:rPr>
        <w:t>年动物中提取体细胞，将其转化为 iPSCs，然后在这些细胞中使用基</w:t>
      </w:r>
      <w:r>
        <w:rPr>
          <w:spacing w:val="-8"/>
          <w:sz w:val="28"/>
        </w:rPr>
        <w:t xml:space="preserve">因编辑技术引入突变。最后，将这些经过编辑的 </w:t>
      </w:r>
      <w:r>
        <w:rPr>
          <w:spacing w:val="-6"/>
          <w:sz w:val="28"/>
        </w:rPr>
        <w:t>iPSCs</w:t>
      </w:r>
      <w:r>
        <w:rPr>
          <w:spacing w:val="-11"/>
          <w:sz w:val="28"/>
        </w:rPr>
        <w:t xml:space="preserve"> 分化为内耳毛</w:t>
      </w:r>
      <w:r>
        <w:rPr>
          <w:spacing w:val="-11"/>
          <w:sz w:val="28"/>
        </w:rPr>
        <w:t>细胞并移植回动物体内。这种方法允许研究者在成熟的内耳环境中观</w:t>
      </w:r>
      <w:r>
        <w:rPr>
          <w:spacing w:val="-2"/>
          <w:sz w:val="28"/>
        </w:rPr>
        <w:t>察基因突变的影响。</w:t>
      </w: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基因编辑与药物筛选相结合：基因编辑技术不仅可以用于构建疾</w:t>
      </w:r>
      <w:r>
        <w:rPr>
          <w:spacing w:val="-4"/>
          <w:sz w:val="28"/>
        </w:rPr>
        <w:t>病模型，还可以与其他技术结合，如高通量药物筛选。例如，研究者</w:t>
      </w:r>
      <w:r>
        <w:rPr>
          <w:spacing w:val="-6"/>
          <w:sz w:val="28"/>
        </w:rPr>
        <w:t>可以使用基因编辑技术创建具有不同突变的内耳毛细胞模型，然后将</w:t>
      </w:r>
      <w:r>
        <w:rPr>
          <w:spacing w:val="-8"/>
          <w:sz w:val="28"/>
        </w:rPr>
        <w:t>这些细胞用于筛选潜在的治疗药物。这种方法可以帮助研究者快速识</w:t>
      </w:r>
      <w:r>
        <w:rPr>
          <w:spacing w:val="-2"/>
          <w:sz w:val="28"/>
        </w:rPr>
        <w:t>别针对特定基因突变的有效治疗策略。</w:t>
      </w:r>
    </w:p>
    <w:p>
      <w:pPr>
        <w:pStyle w:val="BodyText"/>
        <w:spacing w:line="417" w:lineRule="auto"/>
        <w:ind w:right="518"/>
        <w:jc w:val="both"/>
      </w:pPr>
      <w:r>
        <w:rPr>
          <w:spacing w:val="-13"/>
        </w:rPr>
        <w:t>总之，基因编辑技术为构建和研究神经耳病动物模型提供了强大的工</w:t>
      </w:r>
      <w:r>
        <w:rPr>
          <w:spacing w:val="-4"/>
        </w:rPr>
        <w:t>具。通过这些模型，研究者可以更好地理解遗传性神经耳病的分子机</w:t>
      </w:r>
      <w:r>
        <w:rPr>
          <w:spacing w:val="-2"/>
        </w:rPr>
        <w:t>制，并为开发新的治疗方法奠定基础。</w:t>
      </w:r>
    </w:p>
    <w:p>
      <w:pPr>
        <w:pStyle w:val="BodyText"/>
        <w:ind w:left="0"/>
      </w:pPr>
    </w:p>
    <w:p>
      <w:pPr>
        <w:pStyle w:val="Heading1"/>
        <w:spacing w:before="234"/>
      </w:pPr>
      <w:bookmarkStart w:id="3" w:name="_TOC_250004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药物诱导法建立模型流程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553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2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4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药物诱导法建立神经耳病动</w:t>
            </w:r>
            <w:r>
              <w:rPr>
                <w:spacing w:val="-4"/>
                <w:sz w:val="21"/>
              </w:rPr>
              <w:t>物模型</w:t>
            </w:r>
          </w:p>
        </w:tc>
        <w:tc>
          <w:tcPr>
            <w:tcW w:w="5532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0" w:lineRule="atLeast"/>
              <w:ind w:left="107"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1. </w:t>
            </w:r>
            <w:r>
              <w:rPr>
                <w:sz w:val="21"/>
              </w:rPr>
              <w:t>选择合适药物：首先，需要选择能够引起类似人类神经</w:t>
            </w:r>
            <w:r>
              <w:rPr>
                <w:spacing w:val="-2"/>
                <w:sz w:val="21"/>
              </w:rPr>
              <w:t>耳病的药物。例如，氨基糖苷类抗生素（如庆大霉素）可以损害内耳毛细胞，导致听力损失和平衡障碍。这类药物的选择应基于其在内耳中的浓度分布、毒性作用机制以及</w:t>
            </w:r>
            <w:r>
              <w:rPr>
                <w:spacing w:val="-2"/>
                <w:sz w:val="21"/>
              </w:rPr>
              <w:t>对听觉和前庭系统的具体影响。</w:t>
            </w:r>
          </w:p>
        </w:tc>
      </w:tr>
    </w:tbl>
    <w:p>
      <w:pPr>
        <w:spacing w:after="0" w:line="310" w:lineRule="atLeast"/>
        <w:jc w:val="both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553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87"/>
          <w:jc w:val="left"/>
        </w:trPr>
        <w:tc>
          <w:tcPr>
            <w:tcW w:w="27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确定给药途径与剂量：药物的给药途径和剂量是建立有</w:t>
            </w:r>
            <w:r>
              <w:rPr>
                <w:spacing w:val="-2"/>
                <w:sz w:val="21"/>
              </w:rPr>
              <w:t>效模型的关键因素。通常，可以通过腹腔注射、口服或耳蜗内注射等方式给予药物。剂量则需通过预实验来确定，以确保既能引发预期的病理变化，又不至于导致动物死亡</w:t>
            </w:r>
            <w:r>
              <w:rPr>
                <w:spacing w:val="-2"/>
                <w:sz w:val="21"/>
              </w:rPr>
              <w:t>或其他非特异性反应。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0" w:after="0" w:line="278" w:lineRule="auto"/>
              <w:ind w:left="107" w:right="-44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监测与评估：在药物诱导过程中，需要定期监测动物的</w:t>
            </w:r>
            <w:r>
              <w:rPr>
                <w:spacing w:val="-2"/>
                <w:sz w:val="21"/>
              </w:rPr>
              <w:t>体征和行为变化，以评估药物的效果及可能产生的副作用。</w:t>
            </w:r>
            <w:r>
              <w:rPr>
                <w:spacing w:val="-13"/>
                <w:sz w:val="21"/>
              </w:rPr>
              <w:t>常用的评估方法包括听力阈值测试</w:t>
            </w:r>
            <w:r>
              <w:rPr>
                <w:spacing w:val="-6"/>
                <w:sz w:val="21"/>
              </w:rPr>
              <w:t>（如听性脑干反应</w:t>
            </w:r>
            <w:r>
              <w:rPr>
                <w:rFonts w:ascii="Times New Roman" w:eastAsia="Times New Roman"/>
                <w:spacing w:val="33"/>
                <w:sz w:val="21"/>
              </w:rPr>
              <w:t>ABR</w:t>
            </w:r>
            <w:r>
              <w:rPr>
                <w:spacing w:val="-124"/>
                <w:sz w:val="21"/>
              </w:rPr>
              <w:t>）</w:t>
            </w:r>
            <w:r>
              <w:rPr>
                <w:spacing w:val="-6"/>
                <w:sz w:val="21"/>
              </w:rPr>
              <w:t>、</w:t>
            </w:r>
            <w:r>
              <w:rPr>
                <w:spacing w:val="-12"/>
                <w:sz w:val="21"/>
              </w:rPr>
              <w:t>平衡功能测试</w:t>
            </w:r>
            <w:r>
              <w:rPr>
                <w:spacing w:val="-2"/>
                <w:sz w:val="21"/>
              </w:rPr>
              <w:t>（</w:t>
            </w:r>
            <w:r>
              <w:rPr>
                <w:spacing w:val="-10"/>
                <w:sz w:val="21"/>
              </w:rPr>
              <w:t xml:space="preserve">如前庭眼反射 </w:t>
            </w:r>
            <w:r>
              <w:rPr>
                <w:rFonts w:ascii="Times New Roman" w:eastAsia="Times New Roman"/>
                <w:spacing w:val="-2"/>
                <w:sz w:val="21"/>
              </w:rPr>
              <w:t>VOR</w:t>
            </w:r>
            <w:r>
              <w:rPr>
                <w:spacing w:val="-2"/>
                <w:sz w:val="21"/>
              </w:rPr>
              <w:t>）以及组织病理学检查。</w:t>
            </w:r>
            <w:r>
              <w:rPr>
                <w:spacing w:val="-2"/>
                <w:sz w:val="21"/>
              </w:rPr>
              <w:t>这些评估有助于验证模型的有效性和可靠性。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模型的标准化与优化：为了获得可重复且具有代表性的</w:t>
            </w:r>
            <w:r>
              <w:rPr>
                <w:spacing w:val="-2"/>
                <w:sz w:val="21"/>
              </w:rPr>
              <w:t>结果，需要对药物诱导法的各个步骤进行标准化。这包括药物剂量的精确控制、给药时间的严格规定以及评估方法的统一标准。此外，不断优化模型参数（如药物种类、剂</w:t>
            </w:r>
            <w:r>
              <w:rPr>
                <w:spacing w:val="-2"/>
                <w:sz w:val="21"/>
              </w:rPr>
              <w:t>量、给药频率等）以提高模型的预测能力和临床相关性。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模型的应用：成功建立的神经耳病动物模型可用于研究</w:t>
            </w:r>
            <w:r>
              <w:rPr>
                <w:spacing w:val="1"/>
                <w:sz w:val="21"/>
              </w:rPr>
              <w:t>疾病的发病机制、探索新的治疗策略以及评价潜在药物的安全性和有效性。例如，可以利用该模型来研究药物对内</w:t>
            </w:r>
            <w:r>
              <w:rPr>
                <w:spacing w:val="-5"/>
                <w:sz w:val="21"/>
              </w:rPr>
              <w:t>耳的保护作用，或者观察基因编辑技术对疾病进程的影响。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伦理考量：在进行药物诱导法建立神经耳病动物模型时，</w:t>
            </w:r>
            <w:r>
              <w:rPr>
                <w:spacing w:val="1"/>
                <w:sz w:val="21"/>
              </w:rPr>
              <w:t>必须遵循严格的伦理规范，确保实验动物的福利。这包括提供适宜的生活环境、实施无痛操作以及合理地限制实验数量。同时，研究者应对实验结果进行审慎分析，避免不</w:t>
            </w:r>
          </w:p>
          <w:p>
            <w:pPr>
              <w:pStyle w:val="TableParagraph"/>
              <w:spacing w:line="268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必要的重复实验。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285" w:firstLine="560"/>
      </w:pPr>
      <w:r>
        <w:rPr>
          <w:spacing w:val="-5"/>
        </w:rPr>
        <w:t>神经耳病是一类影响听觉和平衡功能的疾病，其研究通常依赖于</w:t>
      </w:r>
      <w:r>
        <w:rPr>
          <w:spacing w:val="-15"/>
        </w:rPr>
        <w:t>动物模型。药物诱导法是一种常用的方法来建立神经耳病的动物模型。</w:t>
      </w:r>
      <w:r>
        <w:t>以下是该方法的简要概述：</w:t>
      </w:r>
    </w:p>
    <w:p>
      <w:pPr>
        <w:pStyle w:val="BodyText"/>
        <w:spacing w:line="358" w:lineRule="exact"/>
      </w:pPr>
      <w:r>
        <w:rPr>
          <w:spacing w:val="-1"/>
        </w:rPr>
        <w:t>一、选择动物种类与品系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  <w:r>
        <w:rPr>
          <w:spacing w:val="-2"/>
        </w:rPr>
        <w:t>在选择用于建立神经耳病模型的动物时，需要考虑动物的遗传背景、</w:t>
      </w:r>
      <w:r>
        <w:rPr>
          <w:spacing w:val="-2"/>
        </w:rPr>
        <w:t>生理特性以及实验的可行性。常见的实验动物有大鼠、小鼠、豚鼠和</w:t>
      </w:r>
      <w:r>
        <w:rPr>
          <w:spacing w:val="-2"/>
        </w:rPr>
        <w:t xml:space="preserve"> </w:t>
      </w:r>
      <w:r>
        <w:rPr>
          <w:spacing w:val="-2"/>
        </w:rPr>
        <w:t>沙鼠等。例如，大鼠和小鼠因其易于饲养、繁殖快和成本较低而被广</w:t>
      </w:r>
      <w:r>
        <w:rPr>
          <w:spacing w:val="-2"/>
        </w:rPr>
        <w:t xml:space="preserve"> </w:t>
      </w:r>
      <w:r>
        <w:rPr>
          <w:spacing w:val="-2"/>
        </w:rPr>
        <w:t>泛使用。豚鼠则由于其较大的内耳结构和良好的听力，常用于听力损</w:t>
      </w:r>
      <w:r>
        <w:rPr>
          <w:spacing w:val="-2"/>
        </w:rPr>
        <w:t xml:space="preserve"> </w:t>
      </w:r>
      <w:r>
        <w:rPr>
          <w:spacing w:val="-2"/>
        </w:rPr>
        <w:t>失的研究。</w:t>
      </w:r>
    </w:p>
    <w:p>
      <w:pPr>
        <w:pStyle w:val="BodyText"/>
        <w:spacing w:line="358" w:lineRule="exact"/>
      </w:pPr>
      <w:r>
        <w:rPr>
          <w:spacing w:val="-1"/>
        </w:rPr>
        <w:t>二、确定药物及其剂量</w:t>
      </w:r>
    </w:p>
    <w:p>
      <w:pPr>
        <w:spacing w:after="0" w:line="358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https://d.book118.com/417130064104006050</w:t>
        </w:r>
      </w:hyperlink>
    </w:p>
    <w:p>
      <w:pPr>
        <w:spacing w:after="0" w:line="358" w:lineRule="exact"/>
      </w:pPr>
    </w:p>
    <w:sectPr>
      <w:footerReference w:type="default" r:id="rId16"/>
      <w:type w:val="nextPage"/>
      <w:pgSz w:w="11910" w:h="16840"/>
      <w:pgMar w:top="1400" w:right="1280" w:bottom="1380" w:left="1680" w:header="0" w:footer="1198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E5D5CA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A5CB9C2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2">
    <w:nsid w:val="1713A0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279C0A9B"/>
    <w:multiLevelType w:val="hybridMultilevel"/>
    <w:tmpl w:val="00000000"/>
    <w:lvl w:ilvl="0">
      <w:start w:val="5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4">
    <w:nsid w:val="2C7FB994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5">
    <w:nsid w:val="35DA92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3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6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9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3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6" w:hanging="264"/>
      </w:pPr>
      <w:rPr>
        <w:rFonts w:hint="default"/>
        <w:lang w:val="en-US" w:eastAsia="zh-CN" w:bidi="ar-SA"/>
      </w:rPr>
    </w:lvl>
  </w:abstractNum>
  <w:abstractNum w:abstractNumId="6">
    <w:nsid w:val="425ADA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7">
    <w:nsid w:val="476B18D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8">
    <w:nsid w:val="47FB41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3"/>
      </w:pPr>
      <w:rPr>
        <w:rFonts w:hint="default"/>
        <w:lang w:val="en-US" w:eastAsia="zh-CN" w:bidi="ar-SA"/>
      </w:rPr>
    </w:lvl>
  </w:abstractNum>
  <w:abstractNum w:abstractNumId="9">
    <w:nsid w:val="5332E3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0">
    <w:nsid w:val="5E5D788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6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6"/>
      </w:pPr>
      <w:rPr>
        <w:rFonts w:hint="default"/>
        <w:lang w:val="en-US" w:eastAsia="zh-CN" w:bidi="ar-SA"/>
      </w:rPr>
    </w:lvl>
  </w:abstractNum>
  <w:abstractNum w:abstractNumId="11">
    <w:nsid w:val="68BE1FBE"/>
    <w:multiLevelType w:val="hybridMultilevel"/>
    <w:tmpl w:val="00000000"/>
    <w:lvl w:ilvl="0">
      <w:start w:val="4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6" w:hanging="263"/>
      </w:pPr>
      <w:rPr>
        <w:rFonts w:hint="default"/>
        <w:lang w:val="en-US" w:eastAsia="zh-CN" w:bidi="ar-SA"/>
      </w:rPr>
    </w:lvl>
  </w:abstractNum>
  <w:abstractNum w:abstractNumId="12">
    <w:nsid w:val="6FD74B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3">
    <w:nsid w:val="7F39ABE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2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1"/>
  </w:num>
  <w:num w:numId="10">
    <w:abstractNumId w:val="10"/>
  </w:num>
  <w:num w:numId="11">
    <w:abstractNumId w:val="13"/>
  </w:num>
  <w:num w:numId="12">
    <w:abstractNumId w:val="6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742" w:right="214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41713006410400605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2024-03-05T04:29:29Z</dcterms:created>
  <dcterms:modified xsi:type="dcterms:W3CDTF">2024-03-05T04:29:29Z</dcterms:modified>
</cp:coreProperties>
</file>