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教育相关行业公司成立方案及可行性研究报告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246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_Toc6246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12" w:history="1">
        <w:r>
          <w:rPr>
            <w:rFonts w:ascii="仿宋" w:eastAsia="仿宋" w:hAnsi="仿宋" w:cs="仿宋" w:hint="eastAsia"/>
            <w:lang w:eastAsia="zh-CN"/>
          </w:rPr>
          <w:t>一、选址分析</w:t>
        </w:r>
        <w:r>
          <w:tab/>
        </w:r>
        <w:r>
          <w:fldChar w:fldCharType="begin"/>
        </w:r>
        <w:r>
          <w:instrText xml:space="preserve"> PAGEREF _Toc12312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89" w:history="1">
        <w:r>
          <w:rPr>
            <w:rFonts w:ascii="仿宋" w:eastAsia="仿宋" w:hAnsi="仿宋" w:cs="仿宋" w:hint="eastAsia"/>
            <w:lang w:eastAsia="zh-CN"/>
          </w:rPr>
          <w:t>(一)、教育项目选址原则</w:t>
        </w:r>
        <w:r>
          <w:tab/>
        </w:r>
        <w:r>
          <w:fldChar w:fldCharType="begin"/>
        </w:r>
        <w:r>
          <w:instrText xml:space="preserve"> PAGEREF _Toc27789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88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_Toc12288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13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_Toc12513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17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_Toc27517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98" w:history="1">
        <w:r>
          <w:rPr>
            <w:rFonts w:ascii="仿宋" w:eastAsia="仿宋" w:hAnsi="仿宋" w:cs="仿宋" w:hint="eastAsia"/>
            <w:lang w:eastAsia="zh-CN"/>
          </w:rPr>
          <w:t>(五)、教育项目选址综合评价</w:t>
        </w:r>
        <w:r>
          <w:tab/>
        </w:r>
        <w:r>
          <w:fldChar w:fldCharType="begin"/>
        </w:r>
        <w:r>
          <w:instrText xml:space="preserve"> PAGEREF _Toc26398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9" w:history="1">
        <w:r>
          <w:rPr>
            <w:rFonts w:ascii="仿宋" w:eastAsia="仿宋" w:hAnsi="仿宋" w:cs="仿宋" w:hint="eastAsia"/>
            <w:lang w:eastAsia="zh-CN"/>
          </w:rPr>
          <w:t>二、教育筹建公司基本信息</w:t>
        </w:r>
        <w:r>
          <w:tab/>
        </w:r>
        <w:r>
          <w:fldChar w:fldCharType="begin"/>
        </w:r>
        <w:r>
          <w:instrText xml:space="preserve"> PAGEREF _Toc2129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89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_Toc25889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72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_Toc22372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12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_Toc18612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0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_Toc13805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98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_Toc7798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38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_Toc14638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63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_Toc32063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_Toc209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6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_Toc8566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2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_Toc11623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29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_Toc12329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08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_Toc9108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17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_Toc18417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26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_Toc18926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82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_Toc30182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44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_Toc7844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28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_Toc5928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94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_Toc11094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61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_Toc13261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90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_Toc20690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3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_Toc1593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69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_Toc29069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86" w:history="1">
        <w:r>
          <w:rPr>
            <w:rFonts w:ascii="仿宋" w:eastAsia="仿宋" w:hAnsi="仿宋" w:cs="仿宋" w:hint="eastAsia"/>
            <w:lang w:eastAsia="zh-CN"/>
          </w:rPr>
          <w:t>(七)、教育项目建设必要性分析</w:t>
        </w:r>
        <w:r>
          <w:tab/>
        </w:r>
        <w:r>
          <w:fldChar w:fldCharType="begin"/>
        </w:r>
        <w:r>
          <w:instrText xml:space="preserve"> PAGEREF _Toc14886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93" w:history="1">
        <w:r>
          <w:rPr>
            <w:rFonts w:ascii="仿宋" w:eastAsia="仿宋" w:hAnsi="仿宋" w:cs="仿宋" w:hint="eastAsia"/>
            <w:lang w:eastAsia="zh-CN"/>
          </w:rPr>
          <w:t>六、教育项目风险分析</w:t>
        </w:r>
        <w:r>
          <w:tab/>
        </w:r>
        <w:r>
          <w:fldChar w:fldCharType="begin"/>
        </w:r>
        <w:r>
          <w:instrText xml:space="preserve"> PAGEREF _Toc30993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0" w:history="1">
        <w:r>
          <w:rPr>
            <w:rFonts w:ascii="仿宋" w:eastAsia="仿宋" w:hAnsi="仿宋" w:cs="仿宋" w:hint="eastAsia"/>
            <w:lang w:eastAsia="zh-CN"/>
          </w:rPr>
          <w:t>(一)、教育项目风险分析</w:t>
        </w:r>
        <w:r>
          <w:tab/>
        </w:r>
        <w:r>
          <w:fldChar w:fldCharType="begin"/>
        </w:r>
        <w:r>
          <w:instrText xml:space="preserve"> PAGEREF _Toc2270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03" w:history="1">
        <w:r>
          <w:rPr>
            <w:rFonts w:ascii="仿宋" w:eastAsia="仿宋" w:hAnsi="仿宋" w:cs="仿宋" w:hint="eastAsia"/>
            <w:lang w:eastAsia="zh-CN"/>
          </w:rPr>
          <w:t>(二)、教育项目风险对策</w:t>
        </w:r>
        <w:r>
          <w:tab/>
        </w:r>
        <w:r>
          <w:fldChar w:fldCharType="begin"/>
        </w:r>
        <w:r>
          <w:instrText xml:space="preserve"> PAGEREF _Toc28603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40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_Toc17540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_Toc1402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87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_Toc12887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7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_Toc4973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89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_Toc21589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96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_Toc21396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9" w:history="1">
        <w:r>
          <w:rPr>
            <w:rFonts w:ascii="仿宋" w:eastAsia="仿宋" w:hAnsi="仿宋" w:cs="仿宋" w:hint="eastAsia"/>
            <w:lang w:eastAsia="zh-CN"/>
          </w:rPr>
          <w:t>(一)、教育项目进度安排</w:t>
        </w:r>
        <w:r>
          <w:tab/>
        </w:r>
        <w:r>
          <w:fldChar w:fldCharType="begin"/>
        </w:r>
        <w:r>
          <w:instrText xml:space="preserve"> PAGEREF _Toc1189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163" w:history="1">
        <w:r>
          <w:rPr>
            <w:rFonts w:ascii="仿宋" w:eastAsia="仿宋" w:hAnsi="仿宋" w:cs="仿宋" w:hint="eastAsia"/>
            <w:lang w:eastAsia="zh-CN"/>
          </w:rPr>
          <w:t>(二)、教育项目实施保障措施</w:t>
        </w:r>
        <w:r>
          <w:tab/>
        </w:r>
        <w:r>
          <w:fldChar w:fldCharType="begin"/>
        </w:r>
        <w:r>
          <w:instrText xml:space="preserve"> PAGEREF _Toc18163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83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_Toc6583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5" w:history="1">
        <w:r>
          <w:rPr>
            <w:rFonts w:ascii="仿宋" w:eastAsia="仿宋" w:hAnsi="仿宋" w:cs="仿宋" w:hint="eastAsia"/>
            <w:lang w:eastAsia="zh-CN"/>
          </w:rPr>
          <w:t>(一)、教育项目背景分析</w:t>
        </w:r>
        <w:r>
          <w:tab/>
        </w:r>
        <w:r>
          <w:fldChar w:fldCharType="begin"/>
        </w:r>
        <w:r>
          <w:instrText xml:space="preserve"> PAGEREF _Toc17875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77" w:history="1">
        <w:r>
          <w:rPr>
            <w:rFonts w:ascii="仿宋" w:eastAsia="仿宋" w:hAnsi="仿宋" w:cs="仿宋" w:hint="eastAsia"/>
            <w:lang w:eastAsia="zh-CN"/>
          </w:rPr>
          <w:t>(二)、教育项目建设必要性分析</w:t>
        </w:r>
        <w:r>
          <w:tab/>
        </w:r>
        <w:r>
          <w:fldChar w:fldCharType="begin"/>
        </w:r>
        <w:r>
          <w:instrText xml:space="preserve"> PAGEREF _Toc16377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54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_Toc21254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05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_Toc24205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86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_Toc21086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28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_Toc18028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3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_Toc943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94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_Toc10194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3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_Toc28437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08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_Toc26608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20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_Toc5220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_Toc302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67" w:history="1">
        <w:r>
          <w:rPr>
            <w:rFonts w:ascii="仿宋" w:eastAsia="仿宋" w:hAnsi="仿宋" w:cs="仿宋" w:hint="eastAsia"/>
            <w:lang w:eastAsia="zh-CN"/>
          </w:rPr>
          <w:t>十二、教育项目总结分析</w:t>
        </w:r>
        <w:r>
          <w:tab/>
        </w:r>
        <w:r>
          <w:fldChar w:fldCharType="begin"/>
        </w:r>
        <w:r>
          <w:instrText xml:space="preserve"> PAGEREF _Toc32467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87" w:history="1">
        <w:r>
          <w:rPr>
            <w:rFonts w:ascii="仿宋" w:eastAsia="仿宋" w:hAnsi="仿宋" w:cs="仿宋" w:hint="eastAsia"/>
            <w:lang w:eastAsia="zh-CN"/>
          </w:rPr>
          <w:t>十三、推进公司成立的必要性分析</w:t>
        </w:r>
        <w:r>
          <w:tab/>
        </w:r>
        <w:r>
          <w:fldChar w:fldCharType="begin"/>
        </w:r>
        <w:r>
          <w:instrText xml:space="preserve"> PAGEREF _Toc10887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99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_Toc10099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27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_Toc9927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00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_Toc9200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67" w:history="1">
        <w:r>
          <w:rPr>
            <w:rFonts w:ascii="仿宋" w:eastAsia="仿宋" w:hAnsi="仿宋" w:cs="仿宋" w:hint="eastAsia"/>
            <w:lang w:eastAsia="zh-CN"/>
          </w:rPr>
          <w:t>十四、市场营销策略</w:t>
        </w:r>
        <w:r>
          <w:tab/>
        </w:r>
        <w:r>
          <w:fldChar w:fldCharType="begin"/>
        </w:r>
        <w:r>
          <w:instrText xml:space="preserve"> PAGEREF _Toc25267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20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_Toc19620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6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_Toc346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79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_Toc7179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33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_Toc12333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21" w:history="1">
        <w:r>
          <w:rPr>
            <w:rFonts w:ascii="仿宋" w:eastAsia="仿宋" w:hAnsi="仿宋" w:cs="仿宋" w:hint="eastAsia"/>
            <w:lang w:eastAsia="zh-CN"/>
          </w:rPr>
          <w:t>十五、风险分析</w:t>
        </w:r>
        <w:r>
          <w:tab/>
        </w:r>
        <w:r>
          <w:fldChar w:fldCharType="begin"/>
        </w:r>
        <w:r>
          <w:instrText xml:space="preserve"> PAGEREF _Toc23321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78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_Toc10378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0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_Toc2310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17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_Toc13017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6246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312"/>
      <w:r>
        <w:rPr>
          <w:rFonts w:ascii="仿宋" w:eastAsia="仿宋" w:hAnsi="仿宋" w:cs="仿宋" w:hint="eastAsia"/>
          <w:sz w:val="28"/>
          <w:lang w:eastAsia="zh-CN"/>
        </w:rPr>
        <w:t>一、选址分析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7789"/>
      <w:r>
        <w:rPr>
          <w:rFonts w:ascii="仿宋" w:eastAsia="仿宋" w:hAnsi="仿宋" w:cs="仿宋" w:hint="eastAsia"/>
          <w:lang w:eastAsia="zh-CN"/>
        </w:rPr>
        <w:t>(一)、教育项目选址原则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教育项目选址是决定工业教育项目成败的关键因素之一。根据现行政策，教育项目选址必须符合一系列要求，以确保城乡建设、环境保护和资源利用的协调。以下是一些关于教育项目选址的原则和要求，以满足政策的要求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符合总体规划： 教育项目选址必须与当地城乡建设总体规划相一致。它应该符合工业教育项目占地使用规划的要求，并与大气污染防治、水资源和自然生态保护政策相协调。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避开特殊区域： 教育项目选址应避开自然保护区、风景名胜区、生活饮用水源地和其他特别需要保护的敏感性目标。这有助于维护自然环境的完整性和生态系统的稳定。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节约土地资源： 教育项目选址应充分考虑土地资源的节约。最好选择空闲地、非耕地或荒地，以减少对良田或耕地的占用。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满足建设需求： 教育项目选址应提供足够的场地，以满足工艺和辅助生产设施的建设需要。这有助于确保生产流程的高效运行。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具备基础设施： 教育项目选址应具备良好的生产基础条件，包括充足的水源、电力、运输和可靠的能源供应。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交通便捷： 最好选址靠近交通主干道，以确保便捷的交通条件，有利于原材料和产成品的运输。此外，通讯也应便捷，以确保及时的市场信息反馈。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排水条件： 教育项目选址应地势平缓，便于排除雨水和处理生产、生活废水。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安全距离： 教育项目选址应与居民区及环境污染敏感点保持足够的防护距离，以确保生产活动不会对人民健康和环境造成危害。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教育项目选址是教育项目成功的第一步，符合政策要求的选址将有助于确保教育项目的可持续发展，并避免对环境和社会造成不利影响。因此，在教育项目规划和选址阶段，应认真考虑这些原则和要求。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2288"/>
      <w:r>
        <w:rPr>
          <w:rFonts w:ascii="仿宋" w:eastAsia="仿宋" w:hAnsi="仿宋" w:cs="仿宋" w:hint="eastAsia"/>
          <w:sz w:val="28"/>
          <w:lang w:eastAsia="zh-CN"/>
        </w:rPr>
        <w:t>(二)、建设区基本情况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教育项目，坐落于中国东南沿海地带，占地面积约为XX平方公里。其地理位置堪称优越，距离市中心仅有短短的XX公里，具备出色的交通便捷性。在过去几十年的快速发展中，教育项目已经崭露头角，逐渐崭露头角，成为国内重要的经济和人口中心之一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https://d.book118.com/417201116060006032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教育相关行业公司成立方案及可行性研究报告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教育相关行业公司成立方案及可行性研究报告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教育相关行业公司成立方案及可行性研究报告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教育相关行业公司成立方案及可行性研究报告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教育相关行业公司成立方案及可行性研究报告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1720111606000603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2023-12-30T06:10:00Z</dcterms:created>
  <dcterms:modified xsi:type="dcterms:W3CDTF">2023-12-30T06:10:43Z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335A7C0327924CFA84751B6BE62F97CF_11</vt:lpwstr>
  </property>
  <property fmtid="{D5CDD505-2E9C-101B-9397-08002B2CF9AE}" pid="3" name="KSOProductBuildVer">
    <vt:lpwstr>2052-12.1.0.16120</vt:lpwstr>
  </property>
</Properties>
</file>