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沸腾干燥机行业相关公司设立可行性研究报告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(七)、沸腾干燥机项目建设必要性分析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五、沸腾干燥机筹建公司基本信息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(一)、沸腾干燥机项目背景分析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(二)、沸腾干燥机项目建设必要性分析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_Toc18779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eastAsia="zh-CN"/>
          </w:rPr>
          <w:t>(五)、沸腾干燥机项目总投资</w:t>
        </w:r>
        <w:r>
          <w:tab/>
        </w:r>
        <w:r>
          <w:fldChar w:fldCharType="begin"/>
        </w:r>
        <w:r>
          <w:instrText xml:space="preserve"> PAGEREF _Toc13979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(一)、沸腾干燥机项目进度安排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(二)、沸腾干燥机项目实施保障措施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_Toc31892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(二)、合作沸腾干燥机项目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1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4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https://d.book118.com/418022021133006027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沸腾干燥机行业相关公司设立可行性研究报告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沸腾干燥机行业相关公司设立可行性研究报告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沸腾干燥机行业相关公司设立可行性研究报告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沸腾干燥机行业相关公司设立可行性研究报告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沸腾干燥机行业相关公司设立可行性研究报告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02202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2024-01-14T14:48:00Z</dcterms:created>
  <dcterms:modified xsi:type="dcterms:W3CDTF">2024-01-14T14:49:18Z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210C3F7139E340A89E117E194A066644_11</vt:lpwstr>
  </property>
  <property fmtid="{D5CDD505-2E9C-101B-9397-08002B2CF9AE}" pid="3" name="KSOProductBuildVer">
    <vt:lpwstr>2052-12.1.0.16120</vt:lpwstr>
  </property>
</Properties>
</file>