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B24DA8" w:rsidP="00B24DA8" w14:paraId="6A52F394" w14:textId="77777777">
      <w:pPr>
        <w:spacing w:before="48" w:beforeLines="20" w:after="360" w:afterLines="150" w:line="360" w:lineRule="auto"/>
        <w:jc w:val="center"/>
        <w:rPr>
          <w:rFonts w:ascii="华文中宋" w:eastAsia="华文中宋" w:hAnsi="华文中宋"/>
          <w:b/>
          <w:sz w:val="30"/>
        </w:rPr>
      </w:pPr>
      <w:r w:rsidRPr="00B24DA8">
        <w:rPr>
          <w:rFonts w:ascii="华文中宋" w:eastAsia="华文中宋" w:hAnsi="华文中宋"/>
          <w:b/>
          <w:sz w:val="30"/>
        </w:rPr>
        <w:t>2024</w:t>
      </w:r>
      <w:r w:rsidRPr="00B24DA8">
        <w:rPr>
          <w:rFonts w:ascii="华文中宋" w:eastAsia="华文中宋" w:hAnsi="华文中宋"/>
          <w:b/>
          <w:sz w:val="30"/>
        </w:rPr>
        <w:t>年中国邮政集团有限公司山东省分公司人员招聘模拟考试试题及答案解析</w:t>
      </w:r>
    </w:p>
    <w:p w:rsidR="00A77B3E" w14:paraId="0B57635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28B9E29" w14:textId="77777777">
      <w:pPr>
        <w:spacing w:after="260" w:line="360" w:lineRule="auto"/>
      </w:pPr>
      <w:r>
        <w:rPr>
          <w:rFonts w:eastAsia="微软雅黑" w:cs="宋体"/>
          <w:b/>
        </w:rPr>
        <w:t>一、言语理解与表达</w:t>
      </w:r>
    </w:p>
    <w:p w:rsidR="00E0697D" w14:paraId="313F474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近年来，众多电商长期耕耘数字阅读市场，造就了全民阅读热潮。政府的支持，数字出版产业经济的迅速发展</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手机网民网络文学服务使用率的提高，以及针对多媒体信息的科技的进步，都为移动阅读提供了良好的环境支持。据第十二次全国国民阅读调查成果显示，近三年我国成年国民数字化阅读方式的接触率逐年提高，数字化阅读率首次超过传统图书阅读率。</w:t>
      </w:r>
    </w:p>
    <w:p w:rsidR="00E0697D" w14:paraId="639EA4C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这段文字意在强调</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824E17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、全民阅读热潮方兴未艾</w:t>
      </w:r>
    </w:p>
    <w:p w:rsidR="00E0697D" w14:paraId="19E9F39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、数字出版产业大规模兴起</w:t>
      </w:r>
    </w:p>
    <w:p w:rsidR="00E0697D" w14:paraId="3F32902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、电商造就了数字化阅读热潮</w:t>
      </w:r>
    </w:p>
    <w:p w:rsidR="00E0697D" w14:paraId="11D190D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、国民数字阅读已超越传统阅读</w:t>
      </w:r>
    </w:p>
    <w:p w:rsidR="00E0697D" w14:paraId="2FADA1E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3328FE0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文段为观点</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解释说明结构，开篇指出重点意思，即电商使数字阅读火热发展，随后指出政府、出版产业等多方面对这一现状给予了良好支持，之后通过调查结果进一步详细说明，结合选项可知，</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项为首句中心句的同义替换。故选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46A6F81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随着文化“走出去”步伐加快，中国优秀传统文化越来越被世界</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，然而目前中华文化占世界文化市场的份额较低，经济“走出去”和文化“走出去”并不</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w:t>
      </w:r>
    </w:p>
    <w:p w:rsidR="00E0697D" w14:paraId="0E893DA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依次填入画横线部分最恰当的一项是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20E6C8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、认可</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相称</w:t>
      </w:r>
    </w:p>
    <w:p w:rsidR="00E0697D" w14:paraId="3E6680D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、认识</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协调</w:t>
      </w:r>
    </w:p>
    <w:p w:rsidR="00E0697D" w14:paraId="7D696D0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、认同</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一致</w:t>
      </w:r>
    </w:p>
    <w:p w:rsidR="00E0697D" w14:paraId="5087A25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、承认</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相等</w:t>
      </w:r>
    </w:p>
    <w:p w:rsidR="00E0697D" w14:paraId="7E6BE1D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0BC4913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先从第二空入手，文段说的是经济“走出去”和文化“走出去”并没有齐头并进，存在差距。“一致”强调没有分歧，用在此处不妥</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经济“走出去”和文化“走出去”并没有一个衡量多少的标准，无法说是否“相等”，排除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两项。再看第一空，“认识”指知道、了解，中国优秀传统文化并非是在“文化”走出去之后才被世界了解，而应是越来越被世界“认可”，排除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0F047C3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做好食品安全工作，必须坚持预防为主、关口前移。各地、各部门要继续加强食品安全风险监测，全面排查食品安全隐患。要及时发现和解决食品安全的苗头性、倾向性问题，切实把好食品安全的源头关、生产关、流通关和入口关，加强食品安全舆情管理，强化社会监督，健全长效机制，确保食品质量安全可靠，让广大人民群众吃得放心、吃得健康。</w:t>
      </w:r>
    </w:p>
    <w:p w:rsidR="00E0697D" w14:paraId="3A1F415F"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根据文意，指出不属于“预防措施”的一项是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C1BB41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、加强食品安全舆情管理，强化社会监督，健全长效机制</w:t>
      </w:r>
    </w:p>
    <w:p w:rsidR="00E0697D" w14:paraId="2DD9141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、加强食品安全风险监测，全面排查食品安全隐患</w:t>
      </w:r>
    </w:p>
    <w:p w:rsidR="00E0697D" w14:paraId="7BE3F37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、及时发现和解决食品安全的苗头性、倾向性问题</w:t>
      </w:r>
    </w:p>
    <w:p w:rsidR="00E0697D" w14:paraId="72FF2E6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、把好食品安全的源头关、生产关、流通关和入口关</w:t>
      </w:r>
    </w:p>
    <w:p w:rsidR="00E0697D" w14:paraId="42A35B0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0FE77435"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第一步，定位原文，关于“预防措施”</w:t>
      </w:r>
      <w:r w:rsidRPr="00E0697D">
        <w:rPr>
          <w:rFonts w:ascii="Times New Roman" w:eastAsia="微软雅黑" w:hAnsi="微软雅黑" w:cs="宋体" w:hint="eastAsia"/>
          <w:szCs w:val="18"/>
        </w:rPr>
        <w:t>的相关内容，全文均有涉及，故将选项与原文一一对应。第二步，辨析选项。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项对应“加强食品安全舆情管理，强化社会监督，健全长效机制”，“舆情管理”是对已发生的食品安全事件的报告，属于事后行为，不属于“预防措施”。</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项对应“各地、各部门要继续加强食品安全风险监测，全面排查食品安全隐患”</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项对应“要及时发现和解决食品安全的苗头性、倾向性问题”</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项对应“切实把好食品安全的源头关、生产关、流通关和入口关”。</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项和</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项均属于“预防措施”，排除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项和</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3D61E13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解决中国对外部世界的过度依赖问题，需要战略上的“综合治理”。《十一五规划纲要》提出以内需拉动经济增长，强调增强自主创新能力，这是一个良好的开端。中国已经是世界贸易组织的成员，应该真正按照市场经济和企业的、社会责任的要求建立中国与跨国公司的新型关系，那种“急功近利”式的、为引进外资不惜牺牲环境、牺牲民族工业的“发展观”可以休矣。</w:t>
      </w:r>
    </w:p>
    <w:p w:rsidR="00E0697D" w14:paraId="6F0A755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下列手段中，不属于战略上“综合治理”的是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F4378F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、促进内需，拉动国内经济增长</w:t>
      </w:r>
    </w:p>
    <w:p w:rsidR="00E0697D" w14:paraId="5A83B18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、增强自主创新能力，减少对外部世界的依赖</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https://d.book118.com/418070142135006025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DA8" w:rsidP="00D07274" w14:paraId="69118E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4DA8" w14:paraId="793313A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DA8" w:rsidP="00D07274" w14:paraId="61A0EA99" w14:textId="19789B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24DA8" w14:paraId="0CF3CD7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DA8" w14:paraId="5F89F9A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DA8"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4DA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DA8" w:rsidP="00D07274" w14:textId="19789B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24DA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DA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DA8"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4DA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DA8" w:rsidP="00D07274" w14:textId="19789B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24DA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DA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DA8" w14:paraId="39ED4D9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DA8" w14:paraId="2F53000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DA8" w14:paraId="72497A2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DA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DA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DA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DA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DA8"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DA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7675BD"/>
    <w:rsid w:val="009C641C"/>
    <w:rsid w:val="00A77B3E"/>
    <w:rsid w:val="00A95C3D"/>
    <w:rsid w:val="00B24DA8"/>
    <w:rsid w:val="00CA2A55"/>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452E745"/>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B24DA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B24DA8"/>
    <w:rPr>
      <w:sz w:val="18"/>
      <w:szCs w:val="18"/>
    </w:rPr>
  </w:style>
  <w:style w:type="paragraph" w:styleId="Footer">
    <w:name w:val="footer"/>
    <w:basedOn w:val="Normal"/>
    <w:link w:val="a0"/>
    <w:rsid w:val="00B24DA8"/>
    <w:pPr>
      <w:tabs>
        <w:tab w:val="center" w:pos="4153"/>
        <w:tab w:val="right" w:pos="8306"/>
      </w:tabs>
      <w:snapToGrid w:val="0"/>
    </w:pPr>
    <w:rPr>
      <w:sz w:val="18"/>
      <w:szCs w:val="18"/>
    </w:rPr>
  </w:style>
  <w:style w:type="character" w:customStyle="1" w:styleId="a0">
    <w:name w:val="页脚 字符"/>
    <w:basedOn w:val="DefaultParagraphFont"/>
    <w:link w:val="Footer"/>
    <w:rsid w:val="00B24DA8"/>
    <w:rPr>
      <w:sz w:val="18"/>
      <w:szCs w:val="18"/>
    </w:rPr>
  </w:style>
  <w:style w:type="character" w:styleId="PageNumber">
    <w:name w:val="page number"/>
    <w:basedOn w:val="DefaultParagraphFont"/>
    <w:rsid w:val="00B24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18070142135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3979</Words>
  <Characters>22682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2024-01-12T15:18:00Z</dcterms:created>
  <dcterms:modified xsi:type="dcterms:W3CDTF">2024-01-12T15:18:00Z</dcterms:modified>
</cp:coreProperties>
</file>