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保定定州市2023-2024学年九年级上学期期末物理综合检测卷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（2010秋•开县期末）下列事例中，不可以用静电知识解释的是（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.干燥的季节，夜晚脱毛衣时会冒“火花”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.电工用的钢丝钳柄上套有橡胶套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.电视机屏幕上经常吸附有很多灰尘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.油罐车尾部有一条拖到地面上的铁链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（2020年秋•天津期末）如图是滑动变阻器阿迪结构和连入电路的示意图，当滑片P向右滑动时，连入电路的电阻变大的是（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pt;height:2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58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1pt;height:25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57pt;height:27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（西藏）甲、乙、丙三幅图中，能形象地描述气态物质分子排列方式的是（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253pt;height:71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 xml:space="preserve">甲．分子排列规则，就像坐在座位上的学生．       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乙．分子可以移动，像课间教室中的学生．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丙．分子几乎不受力的作用，就像操场上乱跑的学生．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.乙和丙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（孝南区校级模拟）如图，两个质量相等的小铁球A、B从两个高度相同的光滑斜面和光滑圆弧面的顶点滑到底部，如果它们都是从静止开始下滑忽略各种阻力，则下列说法中不正确的是（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224pt;height:78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.下滑到底部时，两球动能相等；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.下滑过程中重力对两球做的功不相等；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.到达底部时，两球速度相等；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.下滑过程中两球的机械能总量不变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（2021•宝应县二模）如图所示，电源电压恒为</w:t>
      </w:r>
      <w:r>
        <w:pict>
          <v:shape id="_x0000_i1031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​，定值电阻</w:t>
      </w:r>
      <w:r>
        <w:pict>
          <v:shape id="_x0000_i1032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​的阻值为</w:t>
      </w:r>
      <w:r>
        <w:pict>
          <v:shape id="_x0000_i1033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​，闭合开关后，使变阻器的阻值减小</w:t>
      </w:r>
      <w:r>
        <w:pict>
          <v:shape id="_x0000_i1034" type="#_x0000_t75" style="width:1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​，电流表的示数变化了</w:t>
      </w:r>
      <w:r>
        <w:pict>
          <v:shape id="_x0000_i1035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1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​，则下列说法正确的是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67pt;height:57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.电流表示数减小了</w:t>
      </w:r>
      <w:r>
        <w:pict>
          <v:shape id="_x0000_i1039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1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.电压表示数减小了</w:t>
      </w:r>
      <w:r>
        <w:pict>
          <v:shape id="_x0000_i1040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5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.变阻器的电功率减小了</w:t>
      </w:r>
      <w:r>
        <w:pict>
          <v:shape id="_x0000_i1041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5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.定值电阻的电功率增加了</w:t>
      </w:r>
      <w:r>
        <w:pict>
          <v:shape id="_x0000_i1042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7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（2021•遂宁）“醉美遂宁，宜居之城”。观音湖湿地公园阳光明媚、草长莺飞、亭台倒影、鱼翔浅底，令游人神清气爽。对此情景下列分析正确的是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　　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.小鸟的飞翔利用了流体压强与流速关系的原理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.亭台在水中的倒影是光的折射形成的等大实像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.岸边看到的水中“游鱼”是光的反射形成的虚像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.午后阳光下，湖水清凉而砂石发烫，是因为砂石的比热容比水的大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https://d.book118.com/418077057022006031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7"/>
      <w:headerReference w:type="default" r:id="rId28"/>
      <w:footerReference w:type="even" r:id="rId29"/>
      <w:footerReference w:type="default" r:id="rId3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hyperlink" Target="https://d.book118.com/418077057022006031" TargetMode="External" /><Relationship Id="rId27" Type="http://schemas.openxmlformats.org/officeDocument/2006/relationships/header" Target="header3.xml" /><Relationship Id="rId28" Type="http://schemas.openxmlformats.org/officeDocument/2006/relationships/header" Target="header4.xml" /><Relationship Id="rId29" Type="http://schemas.openxmlformats.org/officeDocument/2006/relationships/footer" Target="footer3.xml" /><Relationship Id="rId3" Type="http://schemas.openxmlformats.org/officeDocument/2006/relationships/fontTable" Target="fontTable.xml" /><Relationship Id="rId30" Type="http://schemas.openxmlformats.org/officeDocument/2006/relationships/footer" Target="footer4.xml" /><Relationship Id="rId31" Type="http://schemas.openxmlformats.org/officeDocument/2006/relationships/theme" Target="theme/theme1.xml" /><Relationship Id="rId32" Type="http://schemas.openxmlformats.org/officeDocument/2006/relationships/numbering" Target="numbering.xml" /><Relationship Id="rId33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