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3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89" w:header="0" w:footer="0" w:gutter="0"/>
          <w:cols w:num="3" w:space="708" w:equalWidth="0">
            <w:col w:w="750" w:space="100"/>
            <w:col w:w="6542" w:space="100"/>
            <w:col w:w="1936" w:space="0"/>
          </w:cols>
        </w:sectPr>
      </w:pPr>
    </w:p>
    <w:p>
      <w:pPr>
        <w:spacing w:before="100" w:line="224" w:lineRule="auto"/>
        <w:ind w:left="1219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4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52" w:line="224" w:lineRule="auto"/>
        <w:ind w:left="64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2"/>
          <w:sz w:val="16"/>
          <w:szCs w:val="16"/>
        </w:rPr>
        <w:t xml:space="preserve">             </w:t>
      </w:r>
      <w:r>
        <w:rPr>
          <w:rFonts w:ascii="SimSun" w:eastAsia="SimSun" w:hAnsi="SimSun" w:cs="SimSun"/>
          <w:spacing w:val="-2"/>
          <w:sz w:val="16"/>
          <w:szCs w:val="16"/>
        </w:rPr>
        <w:t>1571.10—2024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6" w:line="221" w:lineRule="auto"/>
        <w:ind w:left="63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动物药材生产及产地加工技术规程蛤蚧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67" w:line="406" w:lineRule="exact"/>
        <w:ind w:left="590"/>
      </w:pPr>
      <w:r>
        <w:rPr>
          <w:position w:val="16"/>
        </w:rPr>
        <w:t>Technical</w:t>
      </w:r>
      <w:r>
        <w:rPr>
          <w:spacing w:val="17"/>
          <w:w w:val="101"/>
          <w:position w:val="16"/>
        </w:rPr>
        <w:t xml:space="preserve">  </w:t>
      </w:r>
      <w:r>
        <w:rPr>
          <w:position w:val="16"/>
        </w:rPr>
        <w:t>code</w:t>
      </w:r>
      <w:r>
        <w:rPr>
          <w:spacing w:val="16"/>
          <w:w w:val="101"/>
          <w:position w:val="16"/>
        </w:rPr>
        <w:t xml:space="preserve">  </w:t>
      </w:r>
      <w:r>
        <w:rPr>
          <w:position w:val="16"/>
        </w:rPr>
        <w:t>of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practie</w:t>
      </w:r>
      <w:r>
        <w:rPr>
          <w:spacing w:val="17"/>
          <w:position w:val="16"/>
        </w:rPr>
        <w:t xml:space="preserve">  </w:t>
      </w:r>
      <w:r>
        <w:rPr>
          <w:position w:val="16"/>
        </w:rPr>
        <w:t>for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production</w:t>
      </w:r>
      <w:r>
        <w:rPr>
          <w:spacing w:val="16"/>
          <w:w w:val="101"/>
          <w:position w:val="16"/>
        </w:rPr>
        <w:t xml:space="preserve">  </w:t>
      </w:r>
      <w:r>
        <w:rPr>
          <w:position w:val="16"/>
        </w:rPr>
        <w:t>and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processing</w:t>
      </w:r>
      <w:r>
        <w:rPr>
          <w:spacing w:val="2"/>
          <w:position w:val="16"/>
        </w:rPr>
        <w:t xml:space="preserve">   </w:t>
      </w:r>
      <w:r>
        <w:rPr>
          <w:position w:val="16"/>
        </w:rPr>
        <w:t>of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medicinal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materials</w:t>
      </w:r>
      <w:r>
        <w:rPr>
          <w:spacing w:val="2"/>
          <w:position w:val="16"/>
        </w:rPr>
        <w:t xml:space="preserve">   </w:t>
      </w:r>
      <w:r>
        <w:rPr>
          <w:position w:val="16"/>
        </w:rPr>
        <w:t>of</w:t>
      </w:r>
    </w:p>
    <w:p>
      <w:pPr>
        <w:pStyle w:val="BodyText"/>
        <w:spacing w:before="1" w:line="191" w:lineRule="auto"/>
        <w:ind w:left="2770"/>
      </w:pPr>
      <w:r>
        <w:t>animal-derivative     —TOKAY</w:t>
      </w:r>
      <w:r>
        <w:rPr>
          <w:spacing w:val="5"/>
        </w:rPr>
        <w:t xml:space="preserve">     </w:t>
      </w:r>
      <w:r>
        <w:t>GECKO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596" w:right="1785" w:bottom="0" w:left="689" w:header="0" w:footer="0" w:gutter="0"/>
          <w:pgNumType w:start="2"/>
          <w:cols w:num="1" w:space="708" w:equalWidth="0">
            <w:col w:w="9426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96" w:right="1785" w:bottom="0" w:left="689" w:header="0" w:footer="0" w:gutter="0"/>
          <w:pgNumType w:start="3"/>
          <w:cols w:num="1" w:space="708" w:equalWidth="0">
            <w:col w:w="9426" w:space="0"/>
          </w:cols>
          <w:titlePg w:val="0"/>
        </w:sectPr>
      </w:pPr>
    </w:p>
    <w:p>
      <w:pPr>
        <w:spacing w:before="47" w:line="188" w:lineRule="auto"/>
        <w:ind w:left="3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89" w:header="0" w:footer="0" w:gutter="0"/>
          <w:pgNumType w:start="4"/>
          <w:cols w:num="2" w:space="708" w:equalWidth="0">
            <w:col w:w="699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8" w:line="206" w:lineRule="exact"/>
        <w:ind w:left="210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6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89" w:header="0" w:footer="0" w:gutter="0"/>
          <w:pgNumType w:start="5"/>
          <w:cols w:num="1" w:space="708" w:equalWidth="0">
            <w:col w:w="9426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1571.10—2024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99999926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15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2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III</w:t>
          </w:r>
        </w:p>
        <w:p>
          <w:pPr>
            <w:pStyle w:val="BodyText"/>
            <w:tabs>
              <w:tab w:val="right" w:leader="dot" w:pos="8525"/>
            </w:tabs>
            <w:spacing w:before="112" w:line="221" w:lineRule="auto"/>
            <w:ind w:left="99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33"/>
              <w:w w:val="96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9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场址选择与功能区规划</w:t>
          </w:r>
          <w:r>
            <w:rPr>
              <w:rFonts w:ascii="SimSun" w:eastAsia="SimSun" w:hAnsi="SimSun" w:cs="SimSun"/>
              <w:spacing w:val="-7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14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91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场地布局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07" w:line="221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122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饲料种类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6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5.2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6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6.1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9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 xml:space="preserve">6.2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饲养条件</w:t>
          </w:r>
          <w:r>
            <w:rPr>
              <w:rFonts w:ascii="SimSun" w:eastAsia="SimSun" w:hAnsi="SimSun" w:cs="SimSun"/>
              <w:spacing w:val="4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小蛤蚧的管理</w:t>
          </w:r>
          <w:r>
            <w:rPr>
              <w:rFonts w:ascii="SimSun" w:eastAsia="SimSun" w:hAnsi="SimSun" w:cs="SimSun"/>
              <w:spacing w:val="-7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1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6.4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成年蛤蚧的管理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25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6.5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蛤蚧的冬眠管理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85" w:line="220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疾病防治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23" w:line="220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药物选择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口腔炎症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94" w:line="219" w:lineRule="auto"/>
            <w:ind w:left="20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7.3</w:t>
          </w:r>
          <w:r>
            <w:rPr>
              <w:spacing w:val="3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脚</w:t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趾</w:t>
          </w:r>
          <w:r>
            <w:rPr>
              <w:rFonts w:ascii="SimSun" w:eastAsia="SimSun" w:hAnsi="SimSun" w:cs="SimSun"/>
              <w:spacing w:val="-2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脓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肿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179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>7.4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 xml:space="preserve">眼 睛 脓 肿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97" w:line="220" w:lineRule="auto"/>
            <w:ind w:left="200"/>
            <w:rPr>
              <w:sz w:val="19"/>
              <w:szCs w:val="19"/>
            </w:rPr>
          </w:pPr>
          <w:r>
            <w:rPr>
              <w:spacing w:val="-4"/>
              <w:sz w:val="19"/>
              <w:szCs w:val="19"/>
            </w:rPr>
            <w:t xml:space="preserve">7.5 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肺</w:t>
          </w:r>
          <w:r>
            <w:rPr>
              <w:rFonts w:ascii="SimSun" w:eastAsia="SimSun" w:hAnsi="SimSun" w:cs="SimSun"/>
              <w:spacing w:val="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炎</w:t>
          </w:r>
          <w:r>
            <w:rPr>
              <w:rFonts w:ascii="SimSun" w:eastAsia="SimSun" w:hAnsi="SimSun" w:cs="SimSun"/>
              <w:spacing w:val="7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22" w:line="219" w:lineRule="auto"/>
            <w:ind w:left="200"/>
            <w:rPr>
              <w:sz w:val="19"/>
              <w:szCs w:val="19"/>
            </w:rPr>
          </w:pPr>
          <w:r>
            <w:rPr>
              <w:spacing w:val="13"/>
              <w:sz w:val="19"/>
              <w:szCs w:val="19"/>
            </w:rPr>
            <w:t>7.6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3"/>
              <w:sz w:val="19"/>
              <w:szCs w:val="19"/>
            </w:rPr>
            <w:t>胃肠道疾病</w:t>
          </w:r>
          <w:r>
            <w:rPr>
              <w:rFonts w:ascii="SimSun" w:eastAsia="SimSun" w:hAnsi="SimSun" w:cs="SimSun"/>
              <w:spacing w:val="-7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0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6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7.7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软骨病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spacing w:val="1"/>
                <w:sz w:val="19"/>
                <w:szCs w:val="19"/>
              </w:rPr>
              <w:t>6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https://d.book118.com/418114137123006040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6" w:line="219" w:lineRule="auto"/>
            <w:ind w:left="20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418114137123006040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65dda4ed9d8010001fa76ccbwl</vt:lpwstr>
  </property>
</Properties>
</file>