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12369800</wp:posOffset>
            </wp:positionH>
            <wp:positionV relativeFrom="topMargin">
              <wp:posOffset>12496800</wp:posOffset>
            </wp:positionV>
            <wp:extent cx="304800" cy="368300"/>
            <wp:effectExtent l="0" t="0" r="0" b="0"/>
            <wp:wrapNone/>
            <wp:docPr id="100048" name="图片 1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8" name="图片 10004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12573000</wp:posOffset>
            </wp:positionH>
            <wp:positionV relativeFrom="topMargin">
              <wp:posOffset>11544300</wp:posOffset>
            </wp:positionV>
            <wp:extent cx="368300" cy="393700"/>
            <wp:effectExtent l="0" t="0" r="12700" b="6350"/>
            <wp:wrapNone/>
            <wp:docPr id="100259" name="图片 100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59" name="图片 1002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五</w:t>
      </w:r>
      <w:r>
        <w:rPr>
          <w:rFonts w:ascii="Times New Roman" w:eastAsia="宋体" w:hAnsi="Times New Roman" w:cs="Times New Roman"/>
          <w:b/>
          <w:sz w:val="32"/>
          <w:szCs w:val="32"/>
        </w:rPr>
        <w:t>年（201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9</w:t>
      </w:r>
      <w:r>
        <w:rPr>
          <w:rFonts w:ascii="Times New Roman" w:eastAsia="宋体" w:hAnsi="Times New Roman" w:cs="Times New Roman"/>
          <w:b/>
          <w:sz w:val="32"/>
          <w:szCs w:val="32"/>
        </w:rPr>
        <w:t>-202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3</w:t>
      </w:r>
      <w:r>
        <w:rPr>
          <w:rFonts w:ascii="Times New Roman" w:eastAsia="宋体" w:hAnsi="Times New Roman" w:cs="Times New Roman"/>
          <w:b/>
          <w:sz w:val="32"/>
          <w:szCs w:val="32"/>
        </w:rPr>
        <w:t>）年高考真题分项汇编</w:t>
      </w:r>
    </w:p>
    <w:p>
      <w:pPr>
        <w:spacing w:line="360" w:lineRule="auto"/>
        <w:jc w:val="center"/>
        <w:rPr>
          <w:rFonts w:ascii="Times New Roman" w:eastAsia="华文行楷" w:hAnsi="Times New Roman" w:cs="Times New Roman"/>
          <w:b/>
          <w:sz w:val="44"/>
          <w:szCs w:val="44"/>
        </w:rPr>
      </w:pPr>
      <w:r>
        <w:rPr>
          <w:rFonts w:ascii="Times New Roman" w:eastAsia="华文行楷" w:hAnsi="Times New Roman" w:cs="Times New Roman" w:hint="eastAsia"/>
          <w:b/>
          <w:sz w:val="44"/>
          <w:szCs w:val="44"/>
        </w:rPr>
        <w:t>专题04  地球上的水及其运动</w:t>
      </w:r>
    </w:p>
    <w:p>
      <w:pPr>
        <w:spacing w:line="360" w:lineRule="auto"/>
        <w:jc w:val="center"/>
        <w:rPr>
          <w:rFonts w:ascii="Times New Roman" w:eastAsia="宋体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华文行楷" w:hAnsi="Times New Roman" w:cs="Times New Roman" w:hint="eastAsia"/>
          <w:b/>
          <w:color w:val="00B050"/>
          <w:sz w:val="44"/>
          <w:szCs w:val="44"/>
        </w:rPr>
        <w:t>命题规律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4968"/>
        <w:gridCol w:w="2550"/>
        <w:gridCol w:w="172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/>
        </w:trPr>
        <w:tc>
          <w:tcPr>
            <w:tcW w:w="7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szCs w:val="21"/>
              </w:rPr>
              <w:t>考点</w:t>
            </w:r>
          </w:p>
        </w:tc>
        <w:tc>
          <w:tcPr>
            <w:tcW w:w="496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szCs w:val="21"/>
              </w:rPr>
              <w:t>5年考情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考察点</w:t>
            </w:r>
          </w:p>
        </w:tc>
        <w:tc>
          <w:tcPr>
            <w:tcW w:w="25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核心素养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命题趋势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/>
        </w:trPr>
        <w:tc>
          <w:tcPr>
            <w:tcW w:w="7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szCs w:val="21"/>
              </w:rPr>
              <w:t>考点1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水循环及水资源的合理利用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4968" w:type="dxa"/>
          </w:tcPr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2023海南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卷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、2023全国甲卷、2022河北卷、2022上海卷、2022辽宁卷、2022湖南卷、2021北京卷、2021湖南卷、2021广东卷、2020天津卷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：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水循环的过程和意义；</w:t>
            </w:r>
          </w:p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2023海南卷、2023全国甲卷、2022北京卷、2022辽宁卷、2022全国乙卷、2022浙江1月、2021浙江6月、2020海南卷、2020全国新课标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Ⅰ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、2019天津卷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：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水资源的合理利用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；</w:t>
            </w:r>
          </w:p>
        </w:tc>
        <w:tc>
          <w:tcPr>
            <w:tcW w:w="2550" w:type="dxa"/>
          </w:tcPr>
          <w:p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1.人地协调观：</w:t>
            </w:r>
            <w:r>
              <w:rPr>
                <w:rFonts w:ascii="宋体" w:hAnsi="宋体"/>
              </w:rPr>
              <w:t>能够运用</w:t>
            </w:r>
            <w:r>
              <w:rPr>
                <w:rFonts w:ascii="宋体" w:hAnsi="宋体" w:hint="eastAsia"/>
              </w:rPr>
              <w:t>水资源的分布、陆地上水体之间的补给关系以及海水运动</w:t>
            </w:r>
            <w:r>
              <w:rPr>
                <w:rFonts w:ascii="宋体" w:hAnsi="宋体"/>
              </w:rPr>
              <w:t>等知识，说明自然环境与人类活动之间的关系，以及尊重自然规律的重要性</w:t>
            </w:r>
            <w:r>
              <w:rPr>
                <w:rFonts w:ascii="宋体" w:hAnsi="宋体" w:hint="eastAsia"/>
              </w:rPr>
              <w:t>，实现对水资源的合理利用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  <w:p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2.综合思维：</w:t>
            </w:r>
            <w:r>
              <w:rPr>
                <w:rFonts w:ascii="宋体" w:hAnsi="宋体"/>
              </w:rPr>
              <w:t>结合</w:t>
            </w:r>
            <w:r>
              <w:rPr>
                <w:rFonts w:ascii="宋体" w:hAnsi="宋体" w:hint="eastAsia"/>
              </w:rPr>
              <w:t>水循环的各环节</w:t>
            </w:r>
            <w:r>
              <w:rPr>
                <w:rFonts w:ascii="宋体" w:hAnsi="宋体"/>
              </w:rPr>
              <w:t>、</w:t>
            </w:r>
            <w:r>
              <w:rPr>
                <w:rFonts w:ascii="宋体" w:hAnsi="宋体" w:hint="eastAsia"/>
              </w:rPr>
              <w:t>水体之间的补给关系、洋流的形成和分布</w:t>
            </w:r>
            <w:r>
              <w:rPr>
                <w:rFonts w:ascii="宋体" w:hAnsi="宋体"/>
              </w:rPr>
              <w:t>，</w:t>
            </w:r>
            <w:r>
              <w:rPr>
                <w:rFonts w:ascii="宋体" w:hAnsi="宋体" w:hint="eastAsia"/>
              </w:rPr>
              <w:t>以及海气的相互作用</w:t>
            </w:r>
            <w:r>
              <w:rPr>
                <w:rFonts w:ascii="宋体" w:hAnsi="宋体"/>
              </w:rPr>
              <w:t>，分析</w:t>
            </w:r>
            <w:r>
              <w:rPr>
                <w:rFonts w:ascii="宋体" w:hAnsi="宋体" w:hint="eastAsia"/>
              </w:rPr>
              <w:t>水循环的过程、河流、湖泊的水文水系特征以及海水运动对人类的影响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。</w:t>
            </w:r>
          </w:p>
          <w:p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3.区域认知：</w:t>
            </w:r>
            <w:r>
              <w:rPr>
                <w:rFonts w:ascii="宋体" w:hAnsi="宋体"/>
              </w:rPr>
              <w:t>能够运用</w:t>
            </w:r>
            <w:r>
              <w:rPr>
                <w:rFonts w:ascii="宋体" w:hAnsi="宋体" w:hint="eastAsia"/>
              </w:rPr>
              <w:t>水体运动的基本规律</w:t>
            </w:r>
            <w:r>
              <w:rPr>
                <w:rFonts w:ascii="宋体" w:hAnsi="宋体"/>
              </w:rPr>
              <w:t>，认识区域的自然环境，掌握因地制宜等基本地理思想方法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。</w:t>
            </w:r>
          </w:p>
          <w:p>
            <w:pPr>
              <w:spacing w:after="0"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4.地理实践：</w:t>
            </w:r>
            <w:r>
              <w:rPr>
                <w:rFonts w:ascii="宋体" w:hAnsi="宋体"/>
              </w:rPr>
              <w:t>学生能够运用地理信息技术或其他地理工具，结合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1.水循环以及水资源的合理利用在近5年的高考中考查频率较高，尤其在新高考后即2021年考查频率明显上升。</w:t>
            </w:r>
          </w:p>
          <w:p>
            <w:pPr>
              <w:spacing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2.陆地上水体之间的联系以及河流、湖泊的水文、水系特征，一直是高考的热点，无论在选择题还是综合题中都是考查的中点，且该部分知识的综合性较强，常与其他考点结合考查。</w:t>
            </w:r>
          </w:p>
          <w:p>
            <w:pPr>
              <w:spacing w:after="0"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</w:tr>
    </w:tbl>
    <w:p>
      <w:pPr>
        <w:sectPr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077" w:bottom="1417" w:left="1077" w:header="708" w:footer="708" w:gutter="0"/>
          <w:cols w:num="1" w:space="708"/>
        </w:sectPr>
      </w:pPr>
    </w:p>
    <w:tbl>
      <w:tblPr>
        <w:tblStyle w:val="TableGrid0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4968"/>
        <w:gridCol w:w="2550"/>
        <w:gridCol w:w="1725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/>
        </w:trPr>
        <w:tc>
          <w:tcPr>
            <w:tcW w:w="722" w:type="dxa"/>
            <w:vAlign w:val="center"/>
          </w:tcPr>
          <w:p/>
        </w:tc>
        <w:tc>
          <w:tcPr>
            <w:tcW w:w="4968" w:type="dxa"/>
          </w:tcPr>
          <w:p/>
        </w:tc>
        <w:tc>
          <w:tcPr>
            <w:tcW w:w="2550" w:type="dxa"/>
            <w:vMerge w:val="restart"/>
          </w:tcPr>
          <w:p>
            <w:pPr>
              <w:spacing w:before="0"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宋体" w:hAnsi="宋体" w:hint="eastAsia"/>
              </w:rPr>
              <w:t>水体运动的一般规律</w:t>
            </w:r>
            <w:r>
              <w:rPr>
                <w:rFonts w:ascii="宋体" w:hAnsi="宋体"/>
              </w:rPr>
              <w:t>，分析现实世界的一些</w:t>
            </w:r>
            <w:r>
              <w:rPr>
                <w:rFonts w:ascii="宋体" w:hAnsi="宋体" w:hint="eastAsia"/>
              </w:rPr>
              <w:t>河流水文特征以及水资源对人类活动的影响</w:t>
            </w:r>
            <w:r>
              <w:rPr>
                <w:rFonts w:ascii="宋体" w:hAnsi="宋体"/>
              </w:rPr>
              <w:t>。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spacing w:before="0" w:line="360" w:lineRule="auto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3.海水的性质和海水的运动中，洋流的分布与影响5年来考查频繁，尤其是洋流对自然环境的影响，考查比重不断提高。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/>
        </w:trPr>
        <w:tc>
          <w:tcPr>
            <w:tcW w:w="72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szCs w:val="21"/>
              </w:rPr>
              <w:t xml:space="preserve">考点2 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相互联系的水体</w:t>
            </w:r>
          </w:p>
        </w:tc>
        <w:tc>
          <w:tcPr>
            <w:tcW w:w="4968" w:type="dxa"/>
          </w:tcPr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全国甲卷、2023浙江卷、2023河北卷、2023新课标、2023山东卷、2023浙江1月、2022辽宁卷、2022江苏卷、2022山东卷、2022湖南卷、2022广东卷、2022浙江6月、2021福建卷、2021湖北卷、2021湖南卷、2021浙江6月、2021广东卷、2021浙江1月、2020天津卷、2020山东卷、2020浙江7月、2020浙江1月、2019海南卷、2019江苏卷：陆地水体之间的补给关系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；</w:t>
            </w:r>
          </w:p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2023浙江卷、2023新课标、2023北京卷、2023山东卷、2023福建卷、2022河北卷、2022北京卷、2022辽宁卷、2022全国乙卷、2021浙江1月、2020山东卷、2019北京卷：河流湖泊的水文、水系特征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；</w:t>
            </w:r>
          </w:p>
        </w:tc>
        <w:tc>
          <w:tcPr>
            <w:tcW w:w="2550" w:type="dxa"/>
            <w:vMerge/>
            <w:vAlign w:val="center"/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725" w:type="dxa"/>
            <w:vMerge/>
            <w:vAlign w:val="center"/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/>
        </w:trPr>
        <w:tc>
          <w:tcPr>
            <w:tcW w:w="722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szCs w:val="21"/>
              </w:rPr>
              <w:t>考点</w:t>
            </w: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3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 xml:space="preserve"> </w:t>
            </w:r>
          </w:p>
        </w:tc>
        <w:tc>
          <w:tcPr>
            <w:tcW w:w="4968" w:type="dxa"/>
          </w:tcPr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2023海南卷、2023浙江卷、2023浙江1月、2022山东卷：海水的温度、盐度和密度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；</w:t>
            </w:r>
          </w:p>
        </w:tc>
        <w:tc>
          <w:tcPr>
            <w:tcW w:w="2550" w:type="dxa"/>
            <w:vMerge/>
            <w:vAlign w:val="center"/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1725" w:type="dxa"/>
            <w:vMerge/>
            <w:vAlign w:val="center"/>
          </w:tcPr>
          <w:p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/>
        </w:trPr>
        <w:tc>
          <w:tcPr>
            <w:tcW w:w="722" w:type="dxa"/>
            <w:vAlign w:val="center"/>
          </w:tcPr>
          <w:p>
            <w:pPr>
              <w:spacing w:before="0" w:line="360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海水性质及海水运动</w:t>
            </w:r>
          </w:p>
        </w:tc>
        <w:tc>
          <w:tcPr>
            <w:tcW w:w="4968" w:type="dxa"/>
          </w:tcPr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海南卷、2023北京卷、2023浙江卷、2023浙江1月、2022河北卷、2022上海卷、2022天津卷、2022北京卷、2022山东卷、2022广东卷、2022浙江6月、2022浙江1月、2021福建卷、2021北京卷、2021浙江6月、2021广东卷、2020浙江7月、2020浙江1月、2019北京卷：洋流的分布及影响</w:t>
            </w:r>
            <w:r>
              <w:rPr>
                <w:rFonts w:ascii="Times New Roman" w:eastAsia="楷体" w:hAnsi="Times New Roman" w:cs="Times New Roman"/>
                <w:b/>
                <w:szCs w:val="21"/>
              </w:rPr>
              <w:t>；</w:t>
            </w:r>
          </w:p>
          <w:p>
            <w:pPr>
              <w:spacing w:line="360" w:lineRule="auto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szCs w:val="21"/>
              </w:rPr>
              <w:t>2023北京卷、2022福建卷：海—气相互作用；</w:t>
            </w:r>
          </w:p>
        </w:tc>
        <w:tc>
          <w:tcPr>
            <w:tcW w:w="2550" w:type="dxa"/>
            <w:vMerge/>
            <w:vAlign w:val="center"/>
          </w:tcPr>
          <w:p/>
        </w:tc>
        <w:tc>
          <w:tcPr>
            <w:tcW w:w="1725" w:type="dxa"/>
            <w:vMerge/>
            <w:vAlign w:val="center"/>
          </w:tcPr>
          <w:p/>
        </w:tc>
      </w:tr>
    </w:tbl>
    <w:p>
      <w:pPr>
        <w:spacing w:line="360" w:lineRule="auto"/>
        <w:jc w:val="center"/>
        <w:rPr>
          <w:rFonts w:ascii="Times New Roman" w:eastAsia="华文行楷" w:hAnsi="Times New Roman" w:cs="Times New Roman"/>
          <w:b/>
          <w:color w:val="00B050"/>
          <w:sz w:val="44"/>
          <w:szCs w:val="44"/>
        </w:rPr>
      </w:pPr>
      <w:r>
        <w:rPr>
          <w:rFonts w:ascii="Times New Roman" w:eastAsia="华文行楷" w:hAnsi="Times New Roman" w:cs="Times New Roman" w:hint="eastAsia"/>
          <w:b/>
          <w:color w:val="00B050"/>
          <w:sz w:val="44"/>
          <w:szCs w:val="44"/>
        </w:rPr>
        <w:t>考点分布</w:t>
      </w:r>
    </w:p>
    <w:p>
      <w:pPr>
        <w:spacing w:line="360" w:lineRule="auto"/>
        <w:jc w:val="center"/>
        <w:rPr>
          <w:rFonts w:ascii="Times New Roman" w:eastAsia="华文行楷" w:hAnsi="Times New Roman" w:cs="Times New Roman"/>
          <w:b/>
          <w:color w:val="00B050"/>
          <w:sz w:val="44"/>
          <w:szCs w:val="44"/>
        </w:rPr>
      </w:pPr>
      <w:r>
        <w:rPr>
          <w:rFonts w:ascii="Times New Roman" w:eastAsia="华文行楷" w:hAnsi="Times New Roman" w:cs="Times New Roman" w:hint="eastAsia"/>
          <w:b/>
          <w:color w:val="00B050"/>
          <w:sz w:val="44"/>
          <w:szCs w:val="44"/>
        </w:rPr>
        <w:drawing>
          <wp:inline distT="0" distB="0" distL="114300" distR="114300">
            <wp:extent cx="6191885" cy="4260850"/>
            <wp:effectExtent l="0" t="0" r="0" b="0"/>
            <wp:docPr id="2" name="图片 2" descr="地球上的水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球上的水体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Times New Roman" w:eastAsia="宋体" w:hAnsi="Times New Roman" w:cs="Times New Roman"/>
          <w:b/>
          <w:color w:val="548235" w:themeColor="accent6" w:themeShade="BF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color w:val="548235" w:themeColor="accent6" w:themeShade="BF"/>
          <w:sz w:val="28"/>
          <w:szCs w:val="28"/>
        </w:rPr>
        <w:t>考点01 水循环与水资源的合理利用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  <w:sectPr>
          <w:headerReference w:type="default" r:id="rId12"/>
          <w:footerReference w:type="even" r:id="rId13"/>
          <w:footerReference w:type="default" r:id="rId14"/>
          <w:footerReference w:type="first" r:id="rId15"/>
          <w:type w:val="nextPage"/>
          <w:pgSz w:w="11906" w:h="16838"/>
          <w:pgMar w:top="1417" w:right="1077" w:bottom="1417" w:left="1077" w:header="708" w:footer="708" w:gutter="0"/>
          <w:pgNumType w:start="2"/>
          <w:cols w:num="1" w:space="708"/>
          <w:titlePg w:val="0"/>
        </w:sectPr>
      </w:pPr>
      <w:r>
        <w:rPr>
          <w:rFonts w:ascii="Times New Roman" w:eastAsia="黑体" w:hAnsi="Times New Roman" w:cs="Times New Roman"/>
          <w:color w:val="C00000"/>
        </w:rPr>
        <w:t>（2023·海南·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水源涵养是指生态系统通过其特有结构与水相互作用，将水分保持在生态系统的过程与功能。海南岛降水量呈现东部多、西部少的特点。图示意1996-2020年海南岛降水量、蒸散量、水源涵养量的年际变化。据此完成下面</w:t>
      </w:r>
      <w:r>
        <w:rPr>
          <w:rFonts w:ascii="Times New Roman" w:eastAsia="楷体" w:hAnsi="Times New Roman" w:cs="Times New Roman" w:hint="eastAsia"/>
          <w:szCs w:val="21"/>
        </w:rPr>
        <w:t>1-2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5276215" cy="1950085"/>
            <wp:effectExtent l="0" t="0" r="635" b="12065"/>
            <wp:docPr id="100003" name="图片 100003" descr="@@@d9cb9c2e-3ae7-4e99-bf55-ecf2f1ad34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d9cb9c2e-3ae7-4e99-bf55-ecf2f1ad34d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95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1．据图分析，下列说法正确的是（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A．水源涵养量与蒸散量的变化趋势相反</w:t>
      </w:r>
      <w:r>
        <w:rPr>
          <w:rFonts w:ascii="Times New Roman" w:eastAsia="宋体" w:hAnsi="Times New Roman" w:cs="Times New Roman"/>
          <w:szCs w:val="21"/>
        </w:rPr>
        <w:tab/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B．水源涵养量与降水量的变化趋势相反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C．水源涵养量与蒸散量的变化趋势大致相同</w:t>
      </w:r>
      <w:r>
        <w:rPr>
          <w:rFonts w:ascii="Times New Roman" w:eastAsia="宋体" w:hAnsi="Times New Roman" w:cs="Times New Roman"/>
          <w:szCs w:val="21"/>
        </w:rPr>
        <w:tab/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D．水源涵养量与降水量的变化趋势大致相同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2．据材料推测，海南岛水源涵养量的分布特征是（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A．东部低西部高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B．东部高西部低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C．自北向南递减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D．自南向北递减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（2023·全国·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技术进步对人口分布有重要影响。研究表明，1790～1870年，随着蒸汽机等技术的应用，美国人口更加趋向临河分布;1870年后随着电力、机械等技术进步，美国的用水来源结构随之变化，河流对人口分布的重要性相对减弱。据此完成下面</w:t>
      </w:r>
      <w:r>
        <w:rPr>
          <w:rFonts w:ascii="Times New Roman" w:eastAsia="楷体" w:hAnsi="Times New Roman" w:cs="Times New Roman" w:hint="eastAsia"/>
          <w:szCs w:val="21"/>
        </w:rPr>
        <w:t>3-4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3．影响1790~1870年美国人口分布变化趋势的主要因素是（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①工业②农业③内河运输④公路运输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A．①③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B．①④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C．②③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D．②④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4．1870年后，美国用水来源结构发生变化，主要表现为（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A．河流水比例上升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B．河流水用量减少</w:t>
      </w:r>
      <w:r>
        <w:rPr>
          <w:rFonts w:ascii="Times New Roman" w:eastAsia="宋体" w:hAnsi="Times New Roman" w:cs="Times New Roman"/>
          <w:szCs w:val="21"/>
        </w:rPr>
        <w:tab/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C．地下水比例上升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D．地下水用量最多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5．</w:t>
      </w:r>
      <w:r>
        <w:rPr>
          <w:rFonts w:ascii="Times New Roman" w:eastAsia="黑体" w:hAnsi="Times New Roman" w:cs="Times New Roman"/>
          <w:color w:val="C00000"/>
        </w:rPr>
        <w:t>（2022·上海·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宋体" w:hAnsi="Times New Roman" w:cs="Times New Roman"/>
          <w:szCs w:val="21"/>
        </w:rPr>
        <w:t>人类活动可以改变地表径流，下列措施直接改变地表径流的是（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  <w:sectPr>
          <w:headerReference w:type="default" r:id="rId17"/>
          <w:footerReference w:type="even" r:id="rId18"/>
          <w:footerReference w:type="default" r:id="rId19"/>
          <w:footerReference w:type="first" r:id="rId20"/>
          <w:type w:val="nextPage"/>
          <w:pgSz w:w="11906" w:h="16838"/>
          <w:pgMar w:top="1417" w:right="1077" w:bottom="1417" w:left="1077" w:header="708" w:footer="708" w:gutter="0"/>
          <w:pgNumType w:start="3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1"/>
        </w:rPr>
        <w:t>①引水灌渠②人工消云③填海造陆④裁弯取直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A．①②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B．②③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C．①④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D．③④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（2022·全国·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蒙古族将靠近山林的优质草原称为杭盖草原。杭盖草原地形和缓，多由缓丘和河谷组成。缓丘上牧草葱郁，河谷中的牧草更加繁茂。通常鼠类打洞、啃食等对草原多有破坏，而杭盖草原的河谷中鼠害却很轻。杭盖草原是古时游牧民族最喜爱的牧场。据此完成下面</w:t>
      </w:r>
      <w:r>
        <w:rPr>
          <w:rFonts w:ascii="Times New Roman" w:eastAsia="楷体" w:hAnsi="Times New Roman" w:cs="Times New Roman" w:hint="eastAsia"/>
          <w:szCs w:val="21"/>
        </w:rPr>
        <w:t>6-8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6．杭盖草原附近山地对古时游牧民族越冬的重要性在于（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A．提供水源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B．挡风保暖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C．食物丰富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D．围猎场所大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7．相对于周边坡度较大的草原，杭盖草原的缓丘牧草生长更好，是因为缓丘上（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A．降水较多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B．蒸发较弱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C．温度较高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D．径流较少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8．杭盖草原的河谷鼠害很轻，是因为河谷（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A．缺乏鼠类食物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B．冷空气易集聚</w:t>
      </w:r>
    </w:p>
    <w:p>
      <w:pPr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C．地下水位高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D．鼠类天敌多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（2020·天津·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中新天津生态城是在盐碱荒滩上建设起来的一座新城，下图为四幅能反映生态城发展特色的景观照片，读图文材料，完成下面</w:t>
      </w:r>
      <w:r>
        <w:rPr>
          <w:rFonts w:ascii="Times New Roman" w:eastAsia="楷体" w:hAnsi="Times New Roman" w:cs="Times New Roman" w:hint="eastAsia"/>
          <w:szCs w:val="21"/>
        </w:rPr>
        <w:t>9-11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drawing>
          <wp:inline distT="0" distB="0" distL="114300" distR="114300">
            <wp:extent cx="5278120" cy="1208405"/>
            <wp:effectExtent l="0" t="0" r="17780" b="10795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9．在中新天津生态城发展特色的描述中，与图1中的景观依次对应的是（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A．智慧城市、低碳环保、高新产业、生态宜居</w:t>
      </w:r>
    </w:p>
    <w:p>
      <w:pPr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B．生态宜居、高新产业、低碳环保、智慧城市</w:t>
      </w:r>
    </w:p>
    <w:p>
      <w:pPr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C．高新产业、智慧城市、生态宜居、低碳环保</w:t>
      </w:r>
    </w:p>
    <w:p>
      <w:pPr>
        <w:spacing w:line="360" w:lineRule="auto"/>
        <w:ind w:left="30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D．低碳环保、生态宜居、智慧城市、高新产业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10．南堤滨海步道公园紧邻永定新河，园内湖泊对当地水循环的影响是（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  <w:sectPr>
          <w:headerReference w:type="default" r:id="rId22"/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top="1417" w:right="1077" w:bottom="1417" w:left="1077" w:header="708" w:footer="708" w:gutter="0"/>
          <w:pgNumType w:start="4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1"/>
        </w:rPr>
        <w:t>A．调节地表径流量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B．减少地下径流量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C．减少水的下渗量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D．减少地表水蒸发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11．中新天津生态城的林地大多分布在堆土形成的高地上，主要是因为高地（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A．受风沙影响小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B．盐碱化程度低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C．受干旱影响小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D．热量条件较好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（2020·全国·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利用大型挖泥船将海底岩石搅碎，并将碎石和泥沙一起吹填造地，成为在海中建设人工岛的主要方式。下图示意人工岛地下淡水分布。据此完成下面</w:t>
      </w:r>
      <w:r>
        <w:rPr>
          <w:rFonts w:ascii="Times New Roman" w:eastAsia="楷体" w:hAnsi="Times New Roman" w:cs="Times New Roman" w:hint="eastAsia"/>
          <w:szCs w:val="21"/>
        </w:rPr>
        <w:t>12-13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2162175" cy="1228725"/>
            <wp:effectExtent l="0" t="0" r="9525" b="9525"/>
            <wp:docPr id="100007" name="图片 100007" descr="@@@ed7a98df28d04e3abd6d0adf893a6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ed7a98df28d04e3abd6d0adf893a60b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12．参照上图，在造岛物质满足水渗透的前提下，人工岛形成并保持相对稳定的地下淡水区的条件是（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①降水充沛且季节分配均匀</w:t>
      </w:r>
      <w:r>
        <w:rPr>
          <w:rFonts w:ascii="Times New Roman" w:eastAsia="宋体" w:hAnsi="Times New Roman" w:cs="Times New Roman"/>
          <w:kern w:val="0"/>
          <w:szCs w:val="21"/>
        </w:rPr>
        <w:t>  </w:t>
      </w:r>
      <w:r>
        <w:rPr>
          <w:rFonts w:ascii="Times New Roman" w:eastAsia="宋体" w:hAnsi="Times New Roman" w:cs="Times New Roman"/>
          <w:szCs w:val="21"/>
        </w:rPr>
        <w:t>②降水充沛且季节集中</w:t>
      </w:r>
      <w:r>
        <w:rPr>
          <w:rFonts w:ascii="Times New Roman" w:eastAsia="宋体" w:hAnsi="Times New Roman" w:cs="Times New Roman"/>
          <w:kern w:val="0"/>
          <w:szCs w:val="21"/>
        </w:rPr>
        <w:t>  </w:t>
      </w:r>
      <w:r>
        <w:rPr>
          <w:rFonts w:ascii="Times New Roman" w:eastAsia="宋体" w:hAnsi="Times New Roman" w:cs="Times New Roman"/>
          <w:szCs w:val="21"/>
        </w:rPr>
        <w:t>③人工岛足够长</w:t>
      </w:r>
      <w:r>
        <w:rPr>
          <w:rFonts w:ascii="Times New Roman" w:eastAsia="宋体" w:hAnsi="Times New Roman" w:cs="Times New Roman"/>
          <w:kern w:val="0"/>
          <w:szCs w:val="21"/>
        </w:rPr>
        <w:t>  </w:t>
      </w:r>
      <w:r>
        <w:rPr>
          <w:rFonts w:ascii="Times New Roman" w:eastAsia="宋体" w:hAnsi="Times New Roman" w:cs="Times New Roman"/>
          <w:szCs w:val="21"/>
        </w:rPr>
        <w:t>④人工岛足够宽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A．①③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B．①④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C．②③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D．②④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13．人工岛的地下淡水一般不作为日常生产生活水源，主要因为其（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A．取水难度大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B．开采周期长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C．水质较差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D．储量较少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（2019·江苏·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城市不透水面是指阻止水分下渗到土壤的城市人工地面。下图为“某城市不同年份不透水面比例分布图”。读图完成下面</w:t>
      </w:r>
      <w:r>
        <w:rPr>
          <w:rFonts w:ascii="Times New Roman" w:eastAsia="楷体" w:hAnsi="Times New Roman" w:cs="Times New Roman" w:hint="eastAsia"/>
          <w:szCs w:val="21"/>
        </w:rPr>
        <w:t>14-15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2712085" cy="2134235"/>
            <wp:effectExtent l="0" t="0" r="12065" b="18415"/>
            <wp:docPr id="100009" name="图片 100009" descr="@@@7c4ea444-5f00-4ee5-a399-687ea6375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7c4ea444-5f00-4ee5-a399-687ea637508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14．1989年到2015年间，该城市不透水面比例变化最大的区域距市中心（</w:t>
      </w:r>
      <w:r>
        <w:rPr>
          <w:rFonts w:ascii="Times New Roman" w:eastAsia="宋体" w:hAnsi="Times New Roman" w:cs="Times New Roman"/>
          <w:kern w:val="0"/>
          <w:szCs w:val="21"/>
        </w:rPr>
        <w:t> 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  <w:sectPr>
          <w:headerReference w:type="default" r:id="rId28"/>
          <w:footerReference w:type="even" r:id="rId29"/>
          <w:footerReference w:type="default" r:id="rId30"/>
          <w:footerReference w:type="first" r:id="rId31"/>
          <w:type w:val="nextPage"/>
          <w:pgSz w:w="11906" w:h="16838"/>
          <w:pgMar w:top="1417" w:right="1077" w:bottom="1417" w:left="1077" w:header="708" w:footer="708" w:gutter="0"/>
          <w:pgNumType w:start="5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1"/>
        </w:rPr>
        <w:t>A．10-15千米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B．15-20千米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C．20-25千米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D．25-30千米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15．不透水面的增加可能导致该城市（</w:t>
      </w:r>
      <w:r>
        <w:rPr>
          <w:rFonts w:ascii="Times New Roman" w:eastAsia="宋体" w:hAnsi="Times New Roman" w:cs="Times New Roman"/>
          <w:kern w:val="0"/>
          <w:szCs w:val="21"/>
        </w:rPr>
        <w:t> 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①地下水位上升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②地表气温升高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③生物多样性增加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④地表径流增多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A．①②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B．①③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C．②④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D．③④</w:t>
      </w:r>
    </w:p>
    <w:p>
      <w:pPr>
        <w:spacing w:line="360" w:lineRule="auto"/>
        <w:jc w:val="center"/>
        <w:rPr>
          <w:rFonts w:ascii="Times New Roman" w:eastAsia="宋体" w:hAnsi="Times New Roman" w:cs="Times New Roman"/>
          <w:b/>
          <w:color w:val="548235" w:themeColor="accent6" w:themeShade="BF"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color w:val="548235" w:themeColor="accent6" w:themeShade="BF"/>
          <w:sz w:val="32"/>
          <w:szCs w:val="32"/>
        </w:rPr>
        <w:t>考点02 相互联系的水体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（2023·全国·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）下</w:t>
      </w:r>
      <w:r>
        <w:rPr>
          <w:rFonts w:ascii="Times New Roman" w:eastAsia="楷体" w:hAnsi="Times New Roman" w:cs="Times New Roman"/>
          <w:szCs w:val="21"/>
        </w:rPr>
        <w:t>图显示地中海北岸某地水系分布，①②③④为湖泊，其中①②③分别与入湖河流构成独立水系。研究者在野外考察中发现，①②③南侧高地上均存在谷地，谷底卵石堆积，研究表明该地曾发生过水系重组。据此完成下面</w:t>
      </w:r>
      <w:r>
        <w:rPr>
          <w:rFonts w:ascii="Times New Roman" w:eastAsia="楷体" w:hAnsi="Times New Roman" w:cs="Times New Roman" w:hint="eastAsia"/>
          <w:szCs w:val="21"/>
        </w:rPr>
        <w:t>16-18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5238750" cy="2286000"/>
            <wp:effectExtent l="0" t="0" r="0" b="0"/>
            <wp:docPr id="100011" name="图片 100011" descr="@@@e412cd53-def2-4108-a3dd-c6e0e7cec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e412cd53-def2-4108-a3dd-c6e0e7cec8c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16．推测①②③的湖泊类型、湖水主要输出方式分别为（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A．淡水湖、下渗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B．淡水湖、蒸发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C．咸水湖，下渗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D．咸水湖、蒸发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17．判断①②③南侧谷地是（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A．狭长湖盆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B．断流河道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C．古冰川槽谷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D．泥石流通道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18．据水系变化推测，MN一线（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  <w:sectPr>
          <w:headerReference w:type="default" r:id="rId33"/>
          <w:footerReference w:type="even" r:id="rId34"/>
          <w:footerReference w:type="default" r:id="rId35"/>
          <w:footerReference w:type="first" r:id="rId36"/>
          <w:type w:val="nextPage"/>
          <w:pgSz w:w="11906" w:h="16838"/>
          <w:pgMar w:top="1417" w:right="1077" w:bottom="1417" w:left="1077" w:header="708" w:footer="708" w:gutter="0"/>
          <w:pgNumType w:start="6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1"/>
        </w:rPr>
        <w:t>A．南部抬升，北部沉降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B．南部沉降，北部抬升</w:t>
      </w:r>
      <w:r>
        <w:rPr>
          <w:rFonts w:ascii="Times New Roman" w:eastAsia="宋体" w:hAnsi="Times New Roman" w:cs="Times New Roman"/>
          <w:szCs w:val="21"/>
        </w:rPr>
        <w:tab/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C．褶皱隆起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cs="Times New Roman" w:hint="eastAsia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D．褶皱凹陷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19．</w:t>
      </w:r>
      <w:r>
        <w:rPr>
          <w:rFonts w:ascii="Times New Roman" w:eastAsia="黑体" w:hAnsi="Times New Roman" w:cs="Times New Roman"/>
          <w:color w:val="C00000"/>
        </w:rPr>
        <w:t>（2023·浙江·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宋体" w:hAnsi="Times New Roman" w:cs="Times New Roman"/>
          <w:szCs w:val="21"/>
        </w:rPr>
        <w:t>麦兹巴赫湖是典型的冰川堰塞湖。2022年6月，湖泊不断接纳上游冰川融水，并于7月中旬发生溃决。6-7月期间，能反映湖泊冰水沉积物总量变化过程的曲线是（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</w:t>
      </w: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1390650" cy="1543050"/>
            <wp:effectExtent l="0" t="0" r="0" b="0"/>
            <wp:docPr id="100013" name="图片 100013" descr="@@@4afca216-b8f5-4073-a844-97de785288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4afca216-b8f5-4073-a844-97de7852885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  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</w:t>
      </w: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1457325" cy="1619250"/>
            <wp:effectExtent l="0" t="0" r="0" b="0"/>
            <wp:docPr id="100015" name="图片 100015" descr="@@@97393ee5-8f16-4115-a345-718ab478b1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97393ee5-8f16-4115-a345-718ab478b1c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  </w:t>
      </w:r>
      <w:r>
        <w:rPr>
          <w:rFonts w:ascii="Times New Roman" w:eastAsia="宋体" w:hAnsi="Times New Roman" w:cs="Times New Roman"/>
          <w:szCs w:val="21"/>
        </w:rPr>
        <w:tab/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</w:t>
      </w: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1457325" cy="1628775"/>
            <wp:effectExtent l="0" t="0" r="0" b="0"/>
            <wp:docPr id="100017" name="图片 100017" descr="@@@3f22a13c-a4b3-441c-858e-9338afc46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3f22a13c-a4b3-441c-858e-9338afc46d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  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</w:t>
      </w: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1457325" cy="1619250"/>
            <wp:effectExtent l="0" t="0" r="0" b="0"/>
            <wp:docPr id="100019" name="图片 100019" descr="@@@a45f24ad-5c87-4702-89a8-b0f2b2d79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a45f24ad-5c87-4702-89a8-b0f2b2d7910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kern w:val="0"/>
          <w:szCs w:val="21"/>
        </w:rPr>
        <w:t>  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（2023·山东·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楷体" w:hAnsi="Times New Roman" w:cs="Times New Roman"/>
          <w:szCs w:val="21"/>
        </w:rPr>
        <w:t>马德雷湖位于墨西哥湾沿岸（图），水体较浅，湖水盐度通常维持在50‰以上。完成下面</w:t>
      </w:r>
      <w:r>
        <w:rPr>
          <w:rFonts w:ascii="Times New Roman" w:eastAsia="楷体" w:hAnsi="Times New Roman" w:cs="Times New Roman" w:hint="eastAsia"/>
          <w:szCs w:val="21"/>
        </w:rPr>
        <w:t>20-21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2495550" cy="2676525"/>
            <wp:effectExtent l="0" t="0" r="0" b="9525"/>
            <wp:docPr id="100021" name="图片 100021" descr="@@@d4243aba-88a0-4859-96cf-8b416f77e0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d4243aba-88a0-4859-96cf-8b416f77e0a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20．该湖湖水盐度通常维持在50‰以上的主要原因是（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  <w:sectPr>
          <w:headerReference w:type="default" r:id="rId42"/>
          <w:footerReference w:type="even" r:id="rId43"/>
          <w:footerReference w:type="default" r:id="rId44"/>
          <w:footerReference w:type="first" r:id="rId45"/>
          <w:type w:val="nextPage"/>
          <w:pgSz w:w="11906" w:h="16838"/>
          <w:pgMar w:top="1417" w:right="1077" w:bottom="1417" w:left="1077" w:header="708" w:footer="708" w:gutter="0"/>
          <w:pgNumType w:start="7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1"/>
        </w:rPr>
        <w:t>A．气候相对干旱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B．河流带来盐分较多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C．沿岸流影响大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D．湖海水量交换较大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21．在帕德雷岛南北两侧的水体出入口处，表层水流动方向通常为（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A．由海向湖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B．南口由海向湖，北口由湖向海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C．由湖向海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D．北口由海向湖，南口由湖向海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22．</w:t>
      </w:r>
      <w:r>
        <w:rPr>
          <w:rFonts w:ascii="Times New Roman" w:eastAsia="黑体" w:hAnsi="Times New Roman" w:cs="Times New Roman"/>
          <w:color w:val="C00000"/>
        </w:rPr>
        <w:t>（2022·浙江·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宋体" w:hAnsi="Times New Roman" w:cs="Times New Roman"/>
          <w:szCs w:val="21"/>
        </w:rPr>
        <w:t>下图为塔里木河下游某地部分地理要素剖面示意图。该地的地下水主要靠地表径流补给。图中，相对于荒漠（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5276215" cy="1889125"/>
            <wp:effectExtent l="0" t="0" r="635" b="15875"/>
            <wp:docPr id="100023" name="图片 100023" descr="@@@e64c35c7-8f10-4f62-90d2-8bbc1eed8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e64c35c7-8f10-4f62-90d2-8bbc1eed84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88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A．河岸林地地下水含盐量低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B．耕地地下水埋藏较深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C．河岸林地地表水下渗较少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D．耕地地表水蒸发量小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（2022·河北·高考）</w:t>
      </w:r>
      <w:r>
        <w:rPr>
          <w:rFonts w:ascii="Times New Roman" w:eastAsia="楷体" w:hAnsi="Times New Roman" w:cs="Times New Roman"/>
          <w:szCs w:val="21"/>
        </w:rPr>
        <w:t>横断山区位于我国地势一、二级阶梯交界地带，地形复杂，气候和地表水资源地域差异显著。下图示意该区域中三个典型地区的位置及多年平均径流深分布（径流深是指某一时段内的径流总量平铺在其集水区上的水层深度，反映地表水资源量丰缺）。据此完成下面</w:t>
      </w:r>
      <w:r>
        <w:rPr>
          <w:rFonts w:ascii="Times New Roman" w:eastAsia="楷体" w:hAnsi="Times New Roman" w:cs="Times New Roman" w:hint="eastAsia"/>
          <w:szCs w:val="21"/>
        </w:rPr>
        <w:t>23-24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3133725" cy="2752725"/>
            <wp:effectExtent l="0" t="0" r="9525" b="9525"/>
            <wp:docPr id="100025" name="图片 100025" descr="@@@be3358ed-d811-496e-9012-a4f4b90801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be3358ed-d811-496e-9012-a4f4b908015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  <w:sectPr>
          <w:headerReference w:type="default" r:id="rId48"/>
          <w:footerReference w:type="even" r:id="rId49"/>
          <w:footerReference w:type="default" r:id="rId50"/>
          <w:footerReference w:type="first" r:id="rId51"/>
          <w:type w:val="nextPage"/>
          <w:pgSz w:w="11906" w:h="16838"/>
          <w:pgMar w:top="1417" w:right="1077" w:bottom="1417" w:left="1077" w:header="708" w:footer="708" w:gutter="0"/>
          <w:pgNumType w:start="8"/>
          <w:cols w:num="1" w:space="708"/>
          <w:titlePg w:val="0"/>
        </w:sectPr>
      </w:pPr>
      <w:r>
        <w:rPr>
          <w:rFonts w:ascii="Times New Roman" w:eastAsia="宋体" w:hAnsi="Times New Roman" w:cs="Times New Roman"/>
          <w:szCs w:val="21"/>
        </w:rPr>
        <w:t>23．Ⅰ、Ⅱ、Ⅲ区年均降水量（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A．I＞Ⅱ＞Ⅲ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B．Ⅱ＞I＞＞Ⅲ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C．Ⅲ＞Ⅱ＞I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D．Ⅱ＞Ⅲ＞I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24．相较于I、Ⅱ区，Ⅲ区径流深较小的主要原因是（</w:t>
      </w:r>
      <w:r>
        <w:rPr>
          <w:rFonts w:ascii="Times New Roman" w:eastAsia="宋体" w:hAnsi="Times New Roman" w:cs="Times New Roman"/>
          <w:kern w:val="0"/>
          <w:szCs w:val="21"/>
        </w:rPr>
        <w:t>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A．集水面积大、植被截留强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B．集水面积小、蒸散发较强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C．地表渗漏多、蒸散发较强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D．地表渗漏多、植被截留强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黑体" w:hAnsi="Times New Roman" w:cs="Times New Roman"/>
          <w:color w:val="C00000"/>
        </w:rPr>
        <w:t>（2019·海南·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  </w:t>
      </w:r>
      <w:r>
        <w:rPr>
          <w:rFonts w:ascii="Times New Roman" w:eastAsia="楷体" w:hAnsi="Times New Roman" w:cs="Times New Roman"/>
          <w:szCs w:val="21"/>
        </w:rPr>
        <w:t> 锡林河是流经内蒙古自治区东部的一条内流河。流域内多年平均降水量约为300毫米，降水集中在6～8月，4月存在春汛，但伏汛不明显。据此完成下面</w:t>
      </w:r>
      <w:r>
        <w:rPr>
          <w:rFonts w:ascii="Times New Roman" w:eastAsia="楷体" w:hAnsi="Times New Roman" w:cs="Times New Roman" w:hint="eastAsia"/>
          <w:szCs w:val="21"/>
        </w:rPr>
        <w:t>25-27</w:t>
      </w:r>
      <w:r>
        <w:rPr>
          <w:rFonts w:ascii="Times New Roman" w:eastAsia="楷体" w:hAnsi="Times New Roman" w:cs="Times New Roman"/>
          <w:szCs w:val="21"/>
        </w:rPr>
        <w:t>小题。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25．锡林河春汛最主要的补给水源是（</w:t>
      </w:r>
      <w:r>
        <w:rPr>
          <w:rFonts w:ascii="Times New Roman" w:eastAsia="宋体" w:hAnsi="Times New Roman" w:cs="Times New Roman"/>
          <w:kern w:val="0"/>
          <w:szCs w:val="21"/>
        </w:rPr>
        <w:t> 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A．地下水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B．大气降水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C．冰川融水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D．冰雪融水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26．锡林河伏汛不明显的主要原因是夏季（</w:t>
      </w:r>
      <w:r>
        <w:rPr>
          <w:rFonts w:ascii="Times New Roman" w:eastAsia="宋体" w:hAnsi="Times New Roman" w:cs="Times New Roman"/>
          <w:kern w:val="0"/>
          <w:szCs w:val="21"/>
        </w:rPr>
        <w:t> 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A．冻土融化，下渗量大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B．生活用水量大</w:t>
      </w:r>
    </w:p>
    <w:p>
      <w:pPr>
        <w:tabs>
          <w:tab w:val="left" w:pos="4156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C．植被繁茂，蒸腾量大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D．生产用水量大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27．该区域典型的自然景观是（</w:t>
      </w:r>
      <w:r>
        <w:rPr>
          <w:rFonts w:ascii="Times New Roman" w:eastAsia="宋体" w:hAnsi="Times New Roman" w:cs="Times New Roman"/>
          <w:kern w:val="0"/>
          <w:szCs w:val="21"/>
        </w:rPr>
        <w:t>    </w:t>
      </w:r>
      <w:r>
        <w:rPr>
          <w:rFonts w:ascii="Times New Roman" w:eastAsia="宋体" w:hAnsi="Times New Roman" w:cs="Times New Roman"/>
          <w:szCs w:val="21"/>
        </w:rPr>
        <w:t>）</w:t>
      </w:r>
    </w:p>
    <w:p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A．森林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B．草原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C．荒漠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>D．湿地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28．</w:t>
      </w:r>
      <w:r>
        <w:rPr>
          <w:rFonts w:ascii="Times New Roman" w:eastAsia="黑体" w:hAnsi="Times New Roman" w:cs="Times New Roman"/>
          <w:color w:val="C00000"/>
        </w:rPr>
        <w:t>（2023·浙江·</w:t>
      </w:r>
      <w:r>
        <w:rPr>
          <w:rFonts w:ascii="Times New Roman" w:eastAsia="黑体" w:hAnsi="Times New Roman" w:cs="Times New Roman" w:hint="eastAsia"/>
          <w:color w:val="C00000"/>
        </w:rPr>
        <w:t>高考</w:t>
      </w:r>
      <w:r>
        <w:rPr>
          <w:rFonts w:ascii="Times New Roman" w:eastAsia="黑体" w:hAnsi="Times New Roman" w:cs="Times New Roman"/>
          <w:color w:val="C00000"/>
        </w:rPr>
        <w:t>）</w:t>
      </w:r>
      <w:r>
        <w:rPr>
          <w:rFonts w:ascii="Times New Roman" w:eastAsia="宋体" w:hAnsi="Times New Roman" w:cs="Times New Roman"/>
          <w:szCs w:val="21"/>
        </w:rPr>
        <w:t>阅读材料，完成下列问题。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材料一黄河上、中游蒸发的水汽会随大气环流输送，并在沿途形成降水。径流深度是单位流域面积上的径流总量。近年来，人类活动对黄河流域径流深度变化影响显著。</w:t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材料二图1为黄河中上游流域略图。图2为黄河中游两个时期径流深度空间分布示意图。</w:t>
      </w:r>
    </w:p>
    <w:p>
      <w:pPr>
        <w:spacing w:line="360" w:lineRule="auto"/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drawing>
          <wp:inline distT="0" distB="0" distL="114300" distR="114300">
            <wp:extent cx="4810125" cy="2190750"/>
            <wp:effectExtent l="0" t="0" r="9525" b="0"/>
            <wp:docPr id="100027" name="图片 100027" descr="@@@960781c033914768b216c68bdc4d5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960781c033914768b216c68bdc4d578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图1</w:t>
      </w:r>
      <w:r>
        <w:rPr>
          <w:rFonts w:ascii="Times New Roman" w:eastAsia="宋体" w:hAnsi="Times New Roman" w:cs="Times New Roman"/>
          <w:kern w:val="0"/>
          <w:szCs w:val="21"/>
        </w:rPr>
        <w:t>                           </w:t>
      </w:r>
      <w:r>
        <w:rPr>
          <w:rFonts w:ascii="Times New Roman" w:eastAsia="宋体" w:hAnsi="Times New Roman" w:cs="Times New Roman"/>
          <w:szCs w:val="21"/>
        </w:rPr>
        <w:t>图2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/>
      </w:r>
      <w:r>
        <w:rPr>
          <w:rFonts w:ascii="Times New Roman" w:eastAsia="宋体" w:hAnsi="Times New Roman" w:cs="Times New Roman"/>
          <w:szCs w:val="21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https://d.book118.com/418125112027006042</w:t>
        </w:r>
      </w:hyperlink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szCs w:val="21"/>
        </w:rPr>
      </w:pPr>
    </w:p>
    <w:sectPr>
      <w:headerReference w:type="default" r:id="rId54"/>
      <w:footerReference w:type="even" r:id="rId55"/>
      <w:footerReference w:type="default" r:id="rId56"/>
      <w:footerReference w:type="first" r:id="rId57"/>
      <w:type w:val="nextPage"/>
      <w:pgSz w:w="11906" w:h="16838"/>
      <w:pgMar w:top="1417" w:right="1077" w:bottom="1417" w:left="1077" w:header="708" w:footer="708" w:gutter="0"/>
      <w:pgNumType w:start="9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>资料收集整理【淘宝店铺：向阳百分百】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0A46A2"/>
    <w:rsid w:val="00055CB0"/>
    <w:rsid w:val="004151FC"/>
    <w:rsid w:val="00881AFB"/>
    <w:rsid w:val="00C02FC6"/>
    <w:rsid w:val="1EE00EE4"/>
    <w:rsid w:val="370A46A2"/>
    <w:rsid w:val="681418A5"/>
  </w:rsids>
  <w:docVars>
    <w:docVar w:name="commondata" w:val="eyJoZGlkIjoiNmY1Y2QxZThjMmNiMzBhOGY3MTA3OWU1ZWJmZTFmN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qFormat="1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59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脚 字符"/>
    <w:link w:val="Footer"/>
    <w:uiPriority w:val="99"/>
    <w:semiHidden/>
    <w:qFormat/>
    <w:rPr>
      <w:rFonts w:ascii="Times New Roman" w:eastAsia="宋体" w:hAnsi="Times New Roman" w:cs="Times New Roman"/>
      <w:sz w:val="18"/>
      <w:szCs w:val="18"/>
      <w:lang w:eastAsia="zh-CN"/>
    </w:rPr>
  </w:style>
  <w:style w:type="table" w:customStyle="1" w:styleId="TableGrid0">
    <w:name w:val="Table Grid_0"/>
    <w:basedOn w:val="TableNormal"/>
    <w:uiPriority w:val="5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3.png" /><Relationship Id="rId12" Type="http://schemas.openxmlformats.org/officeDocument/2006/relationships/header" Target="header2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image" Target="media/image4.png" /><Relationship Id="rId17" Type="http://schemas.openxmlformats.org/officeDocument/2006/relationships/header" Target="header3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footer" Target="footer9.xml" /><Relationship Id="rId21" Type="http://schemas.openxmlformats.org/officeDocument/2006/relationships/image" Target="media/image5.png" /><Relationship Id="rId22" Type="http://schemas.openxmlformats.org/officeDocument/2006/relationships/header" Target="header4.xml" /><Relationship Id="rId23" Type="http://schemas.openxmlformats.org/officeDocument/2006/relationships/footer" Target="footer10.xml" /><Relationship Id="rId24" Type="http://schemas.openxmlformats.org/officeDocument/2006/relationships/footer" Target="footer11.xml" /><Relationship Id="rId25" Type="http://schemas.openxmlformats.org/officeDocument/2006/relationships/footer" Target="footer12.xml" /><Relationship Id="rId26" Type="http://schemas.openxmlformats.org/officeDocument/2006/relationships/image" Target="media/image6.png" /><Relationship Id="rId27" Type="http://schemas.openxmlformats.org/officeDocument/2006/relationships/image" Target="media/image7.png" /><Relationship Id="rId28" Type="http://schemas.openxmlformats.org/officeDocument/2006/relationships/header" Target="header5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footer" Target="footer14.xml" /><Relationship Id="rId31" Type="http://schemas.openxmlformats.org/officeDocument/2006/relationships/footer" Target="footer15.xml" /><Relationship Id="rId32" Type="http://schemas.openxmlformats.org/officeDocument/2006/relationships/image" Target="media/image8.png" /><Relationship Id="rId33" Type="http://schemas.openxmlformats.org/officeDocument/2006/relationships/header" Target="header6.xml" /><Relationship Id="rId34" Type="http://schemas.openxmlformats.org/officeDocument/2006/relationships/footer" Target="footer16.xml" /><Relationship Id="rId35" Type="http://schemas.openxmlformats.org/officeDocument/2006/relationships/footer" Target="footer17.xml" /><Relationship Id="rId36" Type="http://schemas.openxmlformats.org/officeDocument/2006/relationships/footer" Target="footer18.xml" /><Relationship Id="rId37" Type="http://schemas.openxmlformats.org/officeDocument/2006/relationships/image" Target="media/image9.png" /><Relationship Id="rId38" Type="http://schemas.openxmlformats.org/officeDocument/2006/relationships/image" Target="media/image10.png" /><Relationship Id="rId39" Type="http://schemas.openxmlformats.org/officeDocument/2006/relationships/image" Target="media/image11.png" /><Relationship Id="rId4" Type="http://schemas.openxmlformats.org/officeDocument/2006/relationships/customXml" Target="../customXml/item1.xml" /><Relationship Id="rId40" Type="http://schemas.openxmlformats.org/officeDocument/2006/relationships/image" Target="media/image12.png" /><Relationship Id="rId41" Type="http://schemas.openxmlformats.org/officeDocument/2006/relationships/image" Target="media/image13.png" /><Relationship Id="rId42" Type="http://schemas.openxmlformats.org/officeDocument/2006/relationships/header" Target="header7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footer" Target="footer21.xml" /><Relationship Id="rId46" Type="http://schemas.openxmlformats.org/officeDocument/2006/relationships/image" Target="media/image14.jpeg" /><Relationship Id="rId47" Type="http://schemas.openxmlformats.org/officeDocument/2006/relationships/image" Target="media/image15.png" /><Relationship Id="rId48" Type="http://schemas.openxmlformats.org/officeDocument/2006/relationships/header" Target="header8.xml" /><Relationship Id="rId49" Type="http://schemas.openxmlformats.org/officeDocument/2006/relationships/footer" Target="footer22.xml" /><Relationship Id="rId5" Type="http://schemas.openxmlformats.org/officeDocument/2006/relationships/image" Target="media/image1.png" /><Relationship Id="rId50" Type="http://schemas.openxmlformats.org/officeDocument/2006/relationships/footer" Target="footer23.xml" /><Relationship Id="rId51" Type="http://schemas.openxmlformats.org/officeDocument/2006/relationships/footer" Target="footer24.xml" /><Relationship Id="rId52" Type="http://schemas.openxmlformats.org/officeDocument/2006/relationships/image" Target="media/image16.png" /><Relationship Id="rId53" Type="http://schemas.openxmlformats.org/officeDocument/2006/relationships/hyperlink" Target="https://d.book118.com/418125112027006042" TargetMode="External" /><Relationship Id="rId54" Type="http://schemas.openxmlformats.org/officeDocument/2006/relationships/header" Target="header9.xml" /><Relationship Id="rId55" Type="http://schemas.openxmlformats.org/officeDocument/2006/relationships/footer" Target="footer25.xml" /><Relationship Id="rId56" Type="http://schemas.openxmlformats.org/officeDocument/2006/relationships/footer" Target="footer26.xml" /><Relationship Id="rId57" Type="http://schemas.openxmlformats.org/officeDocument/2006/relationships/footer" Target="footer27.xml" /><Relationship Id="rId58" Type="http://schemas.openxmlformats.org/officeDocument/2006/relationships/theme" Target="theme/theme1.xml" /><Relationship Id="rId59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lyp</cp:lastModifiedBy>
  <cp:revision>1</cp:revision>
  <dcterms:created xsi:type="dcterms:W3CDTF">2023-07-13T06:11:00Z</dcterms:created>
  <dcterms:modified xsi:type="dcterms:W3CDTF">2024-03-03T02:32:41Z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F203467A02A94137A8F891494A850E8F_12</vt:lpwstr>
  </property>
  <property fmtid="{D5CDD505-2E9C-101B-9397-08002B2CF9AE}" pid="7" name="KSOProductBuildVer">
    <vt:lpwstr>2052-11.8.2.9022</vt:lpwstr>
  </property>
</Properties>
</file>