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35"/>
        <w:rPr>
          <w:sz w:val="21"/>
          <w:szCs w:val="21"/>
        </w:rPr>
      </w:pPr>
      <w:r>
        <w:pict>
          <v:shape id="_x0000_s1025" style="width:482.65pt;height:0.75pt;margin-top:212.28pt;margin-left:70.53pt;mso-position-horizontal-relative:page;mso-position-vertical-relative:page;position:absolute;z-index:251658240" coordorigin="0,0" coordsize="9652,15" o:allowincell="f" path="m7,7l9645,7e" filled="f" strokecolor="black" strokeweight="0.75pt">
            <v:stroke endcap="round"/>
          </v:shape>
        </w:pict>
      </w:r>
      <w:r>
        <w:pict>
          <v:shape id="_x0000_s1026" style="width:482.65pt;height:0.75pt;margin-top:728.22pt;margin-left:70.47pt;mso-position-horizontal-relative:page;mso-position-vertical-relative:page;position:absolute;z-index:251659264" coordorigin="0,0" coordsize="9652,15" o:allowincell="f" path="m7,7l9645,7e" filled="f" strokecolor="black" strokeweight="0.75pt">
            <v:stroke endcap="round"/>
          </v:shape>
        </w:pict>
      </w:r>
      <w:r>
        <w:rPr>
          <w:rFonts w:ascii="Times New Roman" w:eastAsia="Times New Roman" w:hAnsi="Times New Roman" w:cs="Times New Roman"/>
          <w:spacing w:val="-1"/>
          <w:position w:val="1"/>
          <w:sz w:val="21"/>
          <w:szCs w:val="21"/>
        </w:rPr>
        <w:t>ICS</w:t>
      </w:r>
      <w:r>
        <w:rPr>
          <w:rFonts w:ascii="Times New Roman" w:eastAsia="Times New Roman" w:hAnsi="Times New Roman" w:cs="Times New Roman"/>
          <w:spacing w:val="11"/>
          <w:position w:val="1"/>
          <w:sz w:val="21"/>
          <w:szCs w:val="21"/>
        </w:rPr>
        <w:t xml:space="preserve">   </w:t>
      </w:r>
      <w:r>
        <w:rPr>
          <w:spacing w:val="-1"/>
          <w:sz w:val="21"/>
          <w:szCs w:val="21"/>
        </w:rPr>
        <w:t>93.080.30</w:t>
      </w:r>
    </w:p>
    <w:p>
      <w:pPr>
        <w:pStyle w:val="BodyText"/>
        <w:spacing w:before="88" w:line="195" w:lineRule="auto"/>
        <w:ind w:left="37"/>
        <w:rPr>
          <w:sz w:val="21"/>
          <w:szCs w:val="21"/>
        </w:rPr>
      </w:pPr>
      <w:r>
        <w:rPr>
          <w:rFonts w:ascii="Times New Roman" w:eastAsia="Times New Roman" w:hAnsi="Times New Roman" w:cs="Times New Roman"/>
          <w:spacing w:val="-3"/>
          <w:position w:val="1"/>
          <w:sz w:val="21"/>
          <w:szCs w:val="21"/>
        </w:rPr>
        <w:t>CCS</w:t>
      </w:r>
      <w:r>
        <w:rPr>
          <w:rFonts w:ascii="Times New Roman" w:eastAsia="Times New Roman" w:hAnsi="Times New Roman" w:cs="Times New Roman"/>
          <w:spacing w:val="7"/>
          <w:position w:val="1"/>
          <w:sz w:val="21"/>
          <w:szCs w:val="21"/>
        </w:rPr>
        <w:t xml:space="preserve">  </w:t>
      </w:r>
      <w:r>
        <w:rPr>
          <w:spacing w:val="-3"/>
          <w:position w:val="-1"/>
          <w:sz w:val="21"/>
          <w:szCs w:val="21"/>
        </w:rPr>
        <w:t>R</w:t>
      </w:r>
      <w:r>
        <w:rPr>
          <w:spacing w:val="6"/>
          <w:position w:val="-1"/>
          <w:sz w:val="21"/>
          <w:szCs w:val="21"/>
        </w:rPr>
        <w:t xml:space="preserve"> </w:t>
      </w:r>
      <w:r>
        <w:rPr>
          <w:spacing w:val="-3"/>
          <w:position w:val="-1"/>
          <w:sz w:val="21"/>
          <w:szCs w:val="21"/>
        </w:rPr>
        <w:t>87</w:t>
      </w:r>
    </w:p>
    <w:p>
      <w:pPr>
        <w:spacing w:before="7" w:line="186" w:lineRule="auto"/>
        <w:ind w:left="6192"/>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6213"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inline>
        </w:drawing>
      </w:r>
      <w:r>
        <w:rPr>
          <w:rFonts w:ascii="Times New Roman" w:eastAsia="Times New Roman" w:hAnsi="Times New Roman" w:cs="Times New Roman"/>
          <w:b/>
          <w:bCs/>
          <w:spacing w:val="81"/>
          <w:w w:val="128"/>
          <w:sz w:val="96"/>
          <w:szCs w:val="96"/>
        </w:rPr>
        <w:t>34</w:t>
      </w:r>
    </w:p>
    <w:p>
      <w:pPr>
        <w:pStyle w:val="BodyText"/>
        <w:spacing w:before="322" w:line="218" w:lineRule="auto"/>
        <w:rPr>
          <w:sz w:val="48"/>
          <w:szCs w:val="48"/>
        </w:rPr>
      </w:pPr>
      <w:r>
        <w:rPr>
          <w:spacing w:val="-20"/>
          <w:sz w:val="48"/>
          <w:szCs w:val="48"/>
        </w:rPr>
        <w:t>安</w:t>
      </w:r>
      <w:r>
        <w:rPr>
          <w:spacing w:val="26"/>
          <w:sz w:val="48"/>
          <w:szCs w:val="48"/>
        </w:rPr>
        <w:t xml:space="preserve">    </w:t>
      </w:r>
      <w:r>
        <w:rPr>
          <w:spacing w:val="-20"/>
          <w:sz w:val="48"/>
          <w:szCs w:val="48"/>
        </w:rPr>
        <w:t>徽</w:t>
      </w:r>
      <w:r>
        <w:rPr>
          <w:spacing w:val="28"/>
          <w:sz w:val="48"/>
          <w:szCs w:val="48"/>
        </w:rPr>
        <w:t xml:space="preserve">    </w:t>
      </w:r>
      <w:r>
        <w:rPr>
          <w:spacing w:val="-20"/>
          <w:sz w:val="48"/>
          <w:szCs w:val="48"/>
        </w:rPr>
        <w:t>省</w:t>
      </w:r>
      <w:r>
        <w:rPr>
          <w:spacing w:val="26"/>
          <w:sz w:val="48"/>
          <w:szCs w:val="48"/>
        </w:rPr>
        <w:t xml:space="preserve">    </w:t>
      </w:r>
      <w:r>
        <w:rPr>
          <w:spacing w:val="-20"/>
          <w:sz w:val="48"/>
          <w:szCs w:val="48"/>
        </w:rPr>
        <w:t>地</w:t>
      </w:r>
      <w:r>
        <w:rPr>
          <w:spacing w:val="29"/>
          <w:sz w:val="48"/>
          <w:szCs w:val="48"/>
        </w:rPr>
        <w:t xml:space="preserve">    </w:t>
      </w:r>
      <w:r>
        <w:rPr>
          <w:spacing w:val="-20"/>
          <w:sz w:val="48"/>
          <w:szCs w:val="48"/>
        </w:rPr>
        <w:t>方</w:t>
      </w:r>
      <w:r>
        <w:rPr>
          <w:spacing w:val="24"/>
          <w:sz w:val="48"/>
          <w:szCs w:val="48"/>
        </w:rPr>
        <w:t xml:space="preserve">    </w:t>
      </w:r>
      <w:r>
        <w:rPr>
          <w:spacing w:val="-20"/>
          <w:sz w:val="48"/>
          <w:szCs w:val="48"/>
        </w:rPr>
        <w:t>标</w:t>
      </w:r>
      <w:r>
        <w:rPr>
          <w:spacing w:val="27"/>
          <w:sz w:val="48"/>
          <w:szCs w:val="48"/>
        </w:rPr>
        <w:t xml:space="preserve">    </w:t>
      </w:r>
      <w:r>
        <w:rPr>
          <w:spacing w:val="-20"/>
          <w:sz w:val="48"/>
          <w:szCs w:val="48"/>
        </w:rPr>
        <w:t>准</w:t>
      </w:r>
    </w:p>
    <w:p>
      <w:pPr>
        <w:spacing w:line="267" w:lineRule="auto"/>
        <w:rPr>
          <w:rFonts w:ascii="Arial"/>
          <w:sz w:val="21"/>
        </w:rPr>
      </w:pPr>
    </w:p>
    <w:p>
      <w:pPr>
        <w:pStyle w:val="BodyText"/>
        <w:spacing w:before="91" w:line="234" w:lineRule="auto"/>
        <w:ind w:left="7065"/>
      </w:pPr>
      <w:r>
        <w:rPr>
          <w:spacing w:val="-1"/>
        </w:rPr>
        <w:t>DB34/T</w:t>
      </w:r>
      <w:r>
        <w:rPr>
          <w:spacing w:val="-1"/>
        </w:rPr>
        <w:t xml:space="preserve"> </w:t>
      </w:r>
      <w:r>
        <w:rPr>
          <w:spacing w:val="-1"/>
        </w:rPr>
        <w:t>4656—2024</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17" w:lineRule="auto"/>
        <w:ind w:left="1289"/>
        <w:outlineLvl w:val="0"/>
        <w:rPr>
          <w:sz w:val="52"/>
          <w:szCs w:val="52"/>
        </w:rPr>
      </w:pPr>
      <w:r>
        <w:rPr>
          <w:spacing w:val="-3"/>
          <w:sz w:val="52"/>
          <w:szCs w:val="52"/>
        </w:rPr>
        <w:t>干线绿波智能监测诊断技术规范</w:t>
      </w:r>
    </w:p>
    <w:p>
      <w:pPr>
        <w:spacing w:line="354" w:lineRule="auto"/>
        <w:rPr>
          <w:rFonts w:ascii="Arial"/>
          <w:sz w:val="21"/>
        </w:rPr>
      </w:pPr>
    </w:p>
    <w:p>
      <w:pPr>
        <w:spacing w:before="82" w:line="250" w:lineRule="auto"/>
        <w:ind w:left="4603" w:right="263" w:hanging="4275"/>
        <w:rPr>
          <w:rFonts w:ascii="Times New Roman" w:eastAsia="Times New Roman" w:hAnsi="Times New Roman" w:cs="Times New Roman"/>
          <w:sz w:val="28"/>
          <w:szCs w:val="28"/>
        </w:rPr>
      </w:pPr>
      <w:r>
        <w:rPr>
          <w:rFonts w:ascii="Times New Roman" w:eastAsia="Times New Roman" w:hAnsi="Times New Roman" w:cs="Times New Roman"/>
          <w:sz w:val="28"/>
          <w:szCs w:val="28"/>
        </w:rPr>
        <w:t>Specification for intelligent monitoring and diagnosis technology o</w:t>
      </w:r>
      <w:r>
        <w:rPr>
          <w:rFonts w:ascii="Times New Roman" w:eastAsia="Times New Roman" w:hAnsi="Times New Roman" w:cs="Times New Roman"/>
          <w:spacing w:val="-1"/>
          <w:sz w:val="28"/>
          <w:szCs w:val="28"/>
        </w:rPr>
        <w:t>f arterial green</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wave</w:t>
      </w:r>
    </w:p>
    <w:p>
      <w:pPr>
        <w:spacing w:before="6"/>
      </w:pPr>
    </w:p>
    <w:p>
      <w:pPr>
        <w:spacing w:before="6"/>
      </w:pPr>
    </w:p>
    <w:p>
      <w:pPr>
        <w:spacing w:before="6"/>
      </w:pPr>
    </w:p>
    <w:p>
      <w:pPr>
        <w:spacing w:before="6"/>
      </w:pPr>
    </w:p>
    <w:p>
      <w:pPr>
        <w:spacing w:before="6"/>
      </w:pPr>
    </w:p>
    <w:p>
      <w:pPr>
        <w:spacing w:before="6"/>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11907" w:h="16839"/>
          <w:pgMar w:top="579" w:right="821" w:bottom="0" w:left="1340" w:header="0" w:footer="0" w:gutter="0"/>
          <w:cols w:num="1" w:space="708" w:equalWidth="0">
            <w:col w:w="9745"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ectPr>
          <w:type w:val="nextPage"/>
          <w:pgSz w:w="11907" w:h="16839"/>
          <w:pgMar w:top="579" w:right="821" w:bottom="0" w:left="1340" w:header="0" w:footer="0" w:gutter="0"/>
          <w:pgNumType w:start="2"/>
          <w:cols w:num="1" w:space="708" w:equalWidth="0">
            <w:col w:w="9745" w:space="0"/>
          </w:cols>
          <w:titlePg w:val="0"/>
        </w:sectPr>
      </w:pPr>
    </w:p>
    <w:p>
      <w:pPr>
        <w:pStyle w:val="BodyText"/>
        <w:spacing w:before="57" w:line="185" w:lineRule="auto"/>
        <w:ind w:left="86"/>
      </w:pPr>
      <w:r>
        <w:rPr>
          <w:spacing w:val="-5"/>
        </w:rPr>
        <w:t>2024</w:t>
      </w:r>
      <w:r>
        <w:rPr>
          <w:spacing w:val="-62"/>
        </w:rPr>
        <w:t xml:space="preserve"> </w:t>
      </w:r>
      <w:r>
        <w:rPr>
          <w:spacing w:val="-5"/>
        </w:rPr>
        <w:t>-</w:t>
      </w:r>
      <w:r>
        <w:rPr>
          <w:spacing w:val="-63"/>
        </w:rPr>
        <w:t xml:space="preserve"> </w:t>
      </w:r>
      <w:r>
        <w:rPr>
          <w:spacing w:val="-5"/>
        </w:rPr>
        <w:t>01</w:t>
      </w:r>
      <w:r>
        <w:rPr>
          <w:spacing w:val="-66"/>
        </w:rPr>
        <w:t xml:space="preserve"> </w:t>
      </w:r>
      <w:r>
        <w:rPr>
          <w:spacing w:val="-5"/>
        </w:rPr>
        <w:t>-</w:t>
      </w:r>
      <w:r>
        <w:rPr>
          <w:spacing w:val="-44"/>
        </w:rPr>
        <w:t xml:space="preserve"> </w:t>
      </w:r>
      <w:r>
        <w:rPr>
          <w:spacing w:val="-5"/>
        </w:rPr>
        <w:t>11</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6"/>
        </w:rPr>
        <w:t>2024</w:t>
      </w:r>
      <w:r>
        <w:rPr>
          <w:spacing w:val="-61"/>
        </w:rPr>
        <w:t xml:space="preserve"> </w:t>
      </w:r>
      <w:r>
        <w:rPr>
          <w:spacing w:val="-6"/>
        </w:rPr>
        <w:t>-</w:t>
      </w:r>
      <w:r>
        <w:rPr>
          <w:spacing w:val="-62"/>
        </w:rPr>
        <w:t xml:space="preserve"> </w:t>
      </w:r>
      <w:r>
        <w:rPr>
          <w:spacing w:val="-6"/>
        </w:rPr>
        <w:t>02</w:t>
      </w:r>
      <w:r>
        <w:rPr>
          <w:spacing w:val="-66"/>
        </w:rPr>
        <w:t xml:space="preserve"> </w:t>
      </w:r>
      <w:r>
        <w:rPr>
          <w:spacing w:val="-6"/>
        </w:rPr>
        <w:t>-</w:t>
      </w:r>
      <w:r>
        <w:rPr>
          <w:spacing w:val="-44"/>
        </w:rPr>
        <w:t xml:space="preserve"> </w:t>
      </w:r>
      <w:r>
        <w:rPr>
          <w:spacing w:val="-6"/>
        </w:rPr>
        <w:t>11</w:t>
      </w:r>
      <w:r>
        <w:rPr>
          <w:spacing w:val="-53"/>
        </w:rPr>
        <w:t xml:space="preserve"> </w:t>
      </w:r>
      <w:r>
        <w:rPr>
          <w:spacing w:val="-6"/>
        </w:rPr>
        <w:t>实施</w:t>
      </w:r>
    </w:p>
    <w:p>
      <w:pPr>
        <w:spacing w:line="185" w:lineRule="auto"/>
        <w:sectPr>
          <w:type w:val="continuous"/>
          <w:pgSz w:w="11907" w:h="16839"/>
          <w:pgMar w:top="579" w:right="821" w:bottom="0" w:left="1340" w:header="0" w:footer="0" w:gutter="0"/>
          <w:pgNumType w:start="3"/>
          <w:cols w:num="2" w:space="708" w:equalWidth="0">
            <w:col w:w="7342" w:space="100"/>
            <w:col w:w="2304"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31"/>
      </w:pPr>
      <w:r>
        <w:rPr>
          <w:spacing w:val="-2"/>
        </w:rPr>
        <w:t>安徽省市场监督管理局</w:t>
      </w:r>
      <w:r>
        <w:rPr>
          <w:spacing w:val="-2"/>
        </w:rPr>
        <w:t xml:space="preserve">    </w:t>
      </w:r>
      <w:r>
        <w:rPr>
          <w:spacing w:val="-2"/>
        </w:rPr>
        <w:t>发</w:t>
      </w:r>
      <w:r>
        <w:rPr>
          <w:spacing w:val="47"/>
        </w:rPr>
        <w:t xml:space="preserve"> </w:t>
      </w:r>
      <w:r>
        <w:rPr>
          <w:spacing w:val="-2"/>
        </w:rPr>
        <w:t>布</w:t>
      </w:r>
    </w:p>
    <w:p>
      <w:pPr>
        <w:spacing w:line="185" w:lineRule="auto"/>
        <w:sectPr>
          <w:type w:val="continuous"/>
          <w:pgSz w:w="11907" w:h="16839"/>
          <w:pgMar w:top="579" w:right="821" w:bottom="0" w:left="1340" w:header="0" w:footer="0" w:gutter="0"/>
          <w:pgNumType w:start="4"/>
          <w:cols w:num="1" w:space="708" w:equalWidth="0">
            <w:col w:w="9745"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01" w:line="225" w:lineRule="auto"/>
        <w:ind w:left="4251"/>
        <w:rPr>
          <w:sz w:val="31"/>
          <w:szCs w:val="31"/>
        </w:rPr>
      </w:pPr>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right="74"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8"/>
          <w:sz w:val="21"/>
          <w:szCs w:val="21"/>
        </w:rPr>
        <w:t>起草。</w:t>
      </w:r>
    </w:p>
    <w:p>
      <w:pPr>
        <w:spacing w:before="60" w:line="220" w:lineRule="auto"/>
        <w:ind w:left="417"/>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20" w:lineRule="auto"/>
        <w:ind w:left="420"/>
        <w:rPr>
          <w:rFonts w:ascii="SimSun" w:eastAsia="SimSun" w:hAnsi="SimSun" w:cs="SimSun"/>
          <w:sz w:val="21"/>
          <w:szCs w:val="21"/>
        </w:rPr>
      </w:pPr>
      <w:r>
        <w:rPr>
          <w:rFonts w:ascii="SimSun" w:eastAsia="SimSun" w:hAnsi="SimSun" w:cs="SimSun"/>
          <w:spacing w:val="-2"/>
          <w:sz w:val="21"/>
          <w:szCs w:val="21"/>
        </w:rPr>
        <w:t>本文件由安徽省公安厅提出并归口。</w:t>
      </w:r>
    </w:p>
    <w:p>
      <w:pPr>
        <w:spacing w:before="62" w:line="220" w:lineRule="auto"/>
        <w:ind w:left="420"/>
        <w:rPr>
          <w:rFonts w:ascii="SimSun" w:eastAsia="SimSun" w:hAnsi="SimSun" w:cs="SimSun"/>
          <w:sz w:val="21"/>
          <w:szCs w:val="21"/>
        </w:rPr>
      </w:pPr>
      <w:r>
        <w:rPr>
          <w:rFonts w:ascii="SimSun" w:eastAsia="SimSun" w:hAnsi="SimSun" w:cs="SimSun"/>
          <w:sz w:val="21"/>
          <w:szCs w:val="21"/>
        </w:rPr>
        <w:t>本文件起草单位：安徽达尔智能控制系统股份有限公司、芜湖市公安局交警支队、合肥学</w:t>
      </w:r>
      <w:r>
        <w:rPr>
          <w:rFonts w:ascii="SimSun" w:eastAsia="SimSun" w:hAnsi="SimSun" w:cs="SimSun"/>
          <w:spacing w:val="-1"/>
          <w:sz w:val="21"/>
          <w:szCs w:val="21"/>
        </w:rPr>
        <w:t>院。</w:t>
      </w:r>
    </w:p>
    <w:p>
      <w:pPr>
        <w:spacing w:before="62" w:line="247" w:lineRule="auto"/>
        <w:ind w:left="1" w:firstLine="418"/>
        <w:rPr>
          <w:rFonts w:ascii="SimSun" w:eastAsia="SimSun" w:hAnsi="SimSun" w:cs="SimSun"/>
          <w:sz w:val="21"/>
          <w:szCs w:val="21"/>
        </w:rPr>
      </w:pPr>
      <w:r>
        <w:rPr>
          <w:rFonts w:ascii="SimSun" w:eastAsia="SimSun" w:hAnsi="SimSun" w:cs="SimSun"/>
          <w:spacing w:val="-1"/>
          <w:sz w:val="21"/>
          <w:szCs w:val="21"/>
        </w:rPr>
        <w:t>本文件主要起草人：杨潘、李军、郝能宝、李国强、李锐、崔群、陈龙、蔡晓菲、梁子君、肖赟、</w:t>
      </w:r>
      <w:r>
        <w:rPr>
          <w:rFonts w:ascii="SimSun" w:eastAsia="SimSun" w:hAnsi="SimSun" w:cs="SimSun"/>
          <w:spacing w:val="16"/>
          <w:sz w:val="21"/>
          <w:szCs w:val="21"/>
        </w:rPr>
        <w:t xml:space="preserve"> </w:t>
      </w:r>
      <w:r>
        <w:rPr>
          <w:rFonts w:ascii="SimSun" w:eastAsia="SimSun" w:hAnsi="SimSun" w:cs="SimSun"/>
          <w:spacing w:val="-2"/>
          <w:sz w:val="21"/>
          <w:szCs w:val="21"/>
        </w:rPr>
        <w:t>缪礼平、周增军、洪峻、叶源康、余海。</w:t>
      </w:r>
    </w:p>
    <w:p>
      <w:pPr>
        <w:spacing w:line="247" w:lineRule="auto"/>
        <w:rPr>
          <w:rFonts w:ascii="SimSun" w:eastAsia="SimSun" w:hAnsi="SimSun" w:cs="SimSun"/>
          <w:sz w:val="21"/>
          <w:szCs w:val="21"/>
        </w:rPr>
        <w:sectPr>
          <w:headerReference w:type="default" r:id="rId7"/>
          <w:footerReference w:type="default" r:id="rId8"/>
          <w:pgSz w:w="11907" w:h="16839"/>
          <w:pgMar w:top="400" w:right="1054" w:bottom="400" w:left="1427" w:header="0" w:footer="0" w:gutter="0"/>
          <w:pgNumType w:start="6"/>
          <w:cols w:space="708"/>
        </w:sectPr>
      </w:pPr>
    </w:p>
    <w:p>
      <w:pPr>
        <w:rPr>
          <w:rFonts w:ascii="Arial"/>
          <w:sz w:val="21"/>
        </w:rPr>
      </w:pPr>
    </w:p>
    <w:p>
      <w:pPr>
        <w:rPr>
          <w:rFonts w:ascii="Arial" w:eastAsia="Arial" w:hAnsi="Arial" w:cs="Arial"/>
          <w:sz w:val="21"/>
          <w:szCs w:val="21"/>
        </w:rPr>
        <w:sectPr>
          <w:headerReference w:type="default" r:id="rId9"/>
          <w:footerReference w:type="default" r:id="rId10"/>
          <w:pgSz w:w="11907" w:h="16839"/>
          <w:pgMar w:top="0" w:right="0" w:bottom="0" w:left="0" w:header="0" w:footer="0" w:gutter="0"/>
          <w:pgNumType w:start="7"/>
          <w:cols w:space="708"/>
        </w:sect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01" w:line="222" w:lineRule="auto"/>
        <w:ind w:left="2453"/>
        <w:rPr>
          <w:sz w:val="31"/>
          <w:szCs w:val="31"/>
        </w:rPr>
      </w:pPr>
      <w:r>
        <w:rPr>
          <w:spacing w:val="8"/>
          <w:sz w:val="31"/>
          <w:szCs w:val="31"/>
        </w:rPr>
        <w:t>干线绿波智能监测诊断技术规范</w:t>
      </w:r>
    </w:p>
    <w:p>
      <w:pPr>
        <w:spacing w:line="324" w:lineRule="auto"/>
        <w:rPr>
          <w:rFonts w:ascii="Arial"/>
          <w:sz w:val="21"/>
        </w:rPr>
      </w:pPr>
    </w:p>
    <w:p>
      <w:pPr>
        <w:spacing w:line="324" w:lineRule="auto"/>
        <w:rPr>
          <w:rFonts w:ascii="Arial"/>
          <w:sz w:val="21"/>
        </w:rPr>
      </w:pPr>
    </w:p>
    <w:p>
      <w:pPr>
        <w:pStyle w:val="BodyText"/>
        <w:spacing w:before="68" w:line="221" w:lineRule="auto"/>
        <w:ind w:left="16"/>
        <w:rPr>
          <w:sz w:val="21"/>
          <w:szCs w:val="21"/>
        </w:rPr>
      </w:pPr>
      <w:r>
        <w:rPr>
          <w:spacing w:val="-8"/>
          <w:sz w:val="21"/>
          <w:szCs w:val="21"/>
        </w:rPr>
        <w:t>1</w:t>
      </w:r>
      <w:r>
        <w:rPr>
          <w:spacing w:val="5"/>
          <w:sz w:val="21"/>
          <w:szCs w:val="21"/>
        </w:rPr>
        <w:t xml:space="preserve">  </w:t>
      </w:r>
      <w:r>
        <w:rPr>
          <w:spacing w:val="-8"/>
          <w:sz w:val="21"/>
          <w:szCs w:val="21"/>
        </w:rPr>
        <w:t>范围</w:t>
      </w:r>
    </w:p>
    <w:p>
      <w:pPr>
        <w:spacing w:line="302" w:lineRule="auto"/>
        <w:rPr>
          <w:rFonts w:ascii="Arial"/>
          <w:sz w:val="21"/>
        </w:rPr>
      </w:pPr>
    </w:p>
    <w:p>
      <w:pPr>
        <w:spacing w:before="68" w:line="312" w:lineRule="exact"/>
        <w:ind w:left="426"/>
        <w:rPr>
          <w:rFonts w:ascii="SimSun" w:eastAsia="SimSun" w:hAnsi="SimSun" w:cs="SimSun"/>
          <w:sz w:val="21"/>
          <w:szCs w:val="21"/>
        </w:rPr>
      </w:pPr>
      <w:r>
        <w:rPr>
          <w:rFonts w:ascii="SimSun" w:eastAsia="SimSun" w:hAnsi="SimSun" w:cs="SimSun"/>
          <w:spacing w:val="-1"/>
          <w:position w:val="7"/>
          <w:sz w:val="21"/>
          <w:szCs w:val="21"/>
        </w:rPr>
        <w:t>本文件规定了干线绿波技术的智能监测与诊断。</w:t>
      </w:r>
    </w:p>
    <w:p>
      <w:pPr>
        <w:spacing w:before="1" w:line="219" w:lineRule="auto"/>
        <w:ind w:left="426"/>
        <w:rPr>
          <w:rFonts w:ascii="SimSun" w:eastAsia="SimSun" w:hAnsi="SimSun" w:cs="SimSun"/>
          <w:sz w:val="21"/>
          <w:szCs w:val="21"/>
        </w:rPr>
      </w:pPr>
      <w:r>
        <w:rPr>
          <w:rFonts w:ascii="SimSun" w:eastAsia="SimSun" w:hAnsi="SimSun" w:cs="SimSun"/>
          <w:spacing w:val="-1"/>
          <w:sz w:val="21"/>
          <w:szCs w:val="21"/>
        </w:rPr>
        <w:t>本文件适用于干线绿波智能监测诊断。</w:t>
      </w:r>
    </w:p>
    <w:p>
      <w:pPr>
        <w:spacing w:line="306" w:lineRule="auto"/>
        <w:rPr>
          <w:rFonts w:ascii="Arial"/>
          <w:sz w:val="21"/>
        </w:rPr>
      </w:pPr>
    </w:p>
    <w:p>
      <w:pPr>
        <w:pStyle w:val="BodyText"/>
        <w:spacing w:before="68" w:line="220"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299" w:lineRule="auto"/>
        <w:rPr>
          <w:rFonts w:ascii="Arial"/>
          <w:sz w:val="21"/>
        </w:rPr>
      </w:pPr>
    </w:p>
    <w:p>
      <w:pPr>
        <w:spacing w:before="69" w:line="257" w:lineRule="auto"/>
        <w:ind w:left="4" w:right="13"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221" w:lineRule="auto"/>
        <w:ind w:left="423"/>
        <w:rPr>
          <w:rFonts w:ascii="SimSun" w:eastAsia="SimSun" w:hAnsi="SimSun" w:cs="SimSun"/>
          <w:sz w:val="21"/>
          <w:szCs w:val="21"/>
        </w:rPr>
      </w:pPr>
      <w:r>
        <w:rPr>
          <w:rFonts w:ascii="SimSun" w:eastAsia="SimSun" w:hAnsi="SimSun" w:cs="SimSun"/>
          <w:sz w:val="21"/>
          <w:szCs w:val="21"/>
        </w:rPr>
        <w:t>GB/T 31418-2015  道路交通信号控制</w:t>
      </w:r>
      <w:r>
        <w:rPr>
          <w:rFonts w:ascii="SimSun" w:eastAsia="SimSun" w:hAnsi="SimSun" w:cs="SimSun"/>
          <w:spacing w:val="-1"/>
          <w:sz w:val="21"/>
          <w:szCs w:val="21"/>
        </w:rPr>
        <w:t>系统术语</w:t>
      </w:r>
    </w:p>
    <w:p>
      <w:pPr>
        <w:spacing w:line="304" w:lineRule="auto"/>
        <w:rPr>
          <w:rFonts w:ascii="Arial"/>
          <w:sz w:val="21"/>
        </w:rPr>
      </w:pPr>
    </w:p>
    <w:p>
      <w:pPr>
        <w:pStyle w:val="BodyText"/>
        <w:spacing w:before="69" w:line="221" w:lineRule="auto"/>
        <w:ind w:left="5"/>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9" w:lineRule="exact"/>
        <w:ind w:left="423"/>
        <w:rPr>
          <w:rFonts w:ascii="SimSun" w:eastAsia="SimSun" w:hAnsi="SimSun" w:cs="SimSun"/>
          <w:sz w:val="21"/>
          <w:szCs w:val="21"/>
        </w:rPr>
      </w:pPr>
      <w:r>
        <w:rPr>
          <w:rFonts w:ascii="SimSun" w:eastAsia="SimSun" w:hAnsi="SimSun" w:cs="SimSun"/>
          <w:position w:val="10"/>
          <w:sz w:val="21"/>
          <w:szCs w:val="21"/>
        </w:rPr>
        <w:t>GB/T 31418-2015 界定的</w:t>
      </w:r>
      <w:r>
        <w:rPr>
          <w:rFonts w:ascii="SimSun" w:eastAsia="SimSun" w:hAnsi="SimSun" w:cs="SimSun"/>
          <w:spacing w:val="-1"/>
          <w:position w:val="10"/>
          <w:sz w:val="21"/>
          <w:szCs w:val="21"/>
        </w:rPr>
        <w:t>以及下列术语和定义适用于本文件。</w:t>
      </w:r>
    </w:p>
    <w:p>
      <w:pPr>
        <w:pStyle w:val="BodyText"/>
        <w:spacing w:line="184" w:lineRule="auto"/>
        <w:ind w:left="5"/>
        <w:rPr>
          <w:sz w:val="21"/>
          <w:szCs w:val="21"/>
        </w:rPr>
      </w:pPr>
      <w:r>
        <w:rPr>
          <w:spacing w:val="-2"/>
          <w:sz w:val="21"/>
          <w:szCs w:val="21"/>
        </w:rPr>
        <w:t>3.1</w:t>
      </w:r>
    </w:p>
    <w:p>
      <w:pPr>
        <w:pStyle w:val="BodyText"/>
        <w:spacing w:before="66" w:line="213" w:lineRule="auto"/>
        <w:ind w:left="426"/>
        <w:rPr>
          <w:rFonts w:ascii="Times New Roman" w:eastAsia="Times New Roman" w:hAnsi="Times New Roman" w:cs="Times New Roman"/>
          <w:sz w:val="21"/>
          <w:szCs w:val="21"/>
        </w:rPr>
      </w:pPr>
      <w:r>
        <w:rPr>
          <w:spacing w:val="-1"/>
          <w:sz w:val="21"/>
          <w:szCs w:val="21"/>
        </w:rPr>
        <w:t>绿波</w:t>
      </w:r>
      <w:r>
        <w:rPr>
          <w:spacing w:val="-1"/>
          <w:sz w:val="21"/>
          <w:szCs w:val="21"/>
        </w:rPr>
        <w:t xml:space="preserve">  </w:t>
      </w:r>
      <w:r>
        <w:rPr>
          <w:rFonts w:ascii="Times New Roman" w:eastAsia="Times New Roman" w:hAnsi="Times New Roman" w:cs="Times New Roman"/>
          <w:spacing w:val="-1"/>
          <w:sz w:val="21"/>
          <w:szCs w:val="21"/>
        </w:rPr>
        <w:t>green wave</w:t>
      </w:r>
    </w:p>
    <w:p>
      <w:pPr>
        <w:spacing w:before="69" w:line="220" w:lineRule="auto"/>
        <w:ind w:left="427"/>
        <w:rPr>
          <w:rFonts w:ascii="SimSun" w:eastAsia="SimSun" w:hAnsi="SimSun" w:cs="SimSun"/>
          <w:sz w:val="21"/>
          <w:szCs w:val="21"/>
        </w:rPr>
      </w:pPr>
      <w:r>
        <w:rPr>
          <w:rFonts w:ascii="SimSun" w:eastAsia="SimSun" w:hAnsi="SimSun" w:cs="SimSun"/>
          <w:sz w:val="21"/>
          <w:szCs w:val="21"/>
        </w:rPr>
        <w:t>车流通过若干个相邻交叉口都能获得连续绿灯的</w:t>
      </w:r>
      <w:r>
        <w:rPr>
          <w:rFonts w:ascii="SimSun" w:eastAsia="SimSun" w:hAnsi="SimSun" w:cs="SimSun"/>
          <w:spacing w:val="-1"/>
          <w:sz w:val="21"/>
          <w:szCs w:val="21"/>
        </w:rPr>
        <w:t>信号状态。</w:t>
      </w:r>
    </w:p>
    <w:p>
      <w:pPr>
        <w:spacing w:before="62" w:line="349" w:lineRule="exact"/>
        <w:ind w:left="458"/>
        <w:rPr>
          <w:rFonts w:ascii="SimSun" w:eastAsia="SimSun" w:hAnsi="SimSun" w:cs="SimSun"/>
          <w:sz w:val="21"/>
          <w:szCs w:val="21"/>
        </w:rPr>
      </w:pPr>
      <w:r>
        <w:rPr>
          <w:rFonts w:ascii="SimSun" w:eastAsia="SimSun" w:hAnsi="SimSun" w:cs="SimSun"/>
          <w:spacing w:val="-2"/>
          <w:position w:val="10"/>
          <w:sz w:val="21"/>
          <w:szCs w:val="21"/>
        </w:rPr>
        <w:t>[来源：GB/T 31418-2015,2.3.24]</w:t>
      </w:r>
    </w:p>
    <w:p>
      <w:pPr>
        <w:pStyle w:val="BodyText"/>
        <w:spacing w:before="1" w:line="184" w:lineRule="auto"/>
        <w:ind w:left="5"/>
        <w:rPr>
          <w:sz w:val="21"/>
          <w:szCs w:val="21"/>
        </w:rPr>
      </w:pPr>
      <w:r>
        <w:rPr>
          <w:spacing w:val="-2"/>
          <w:sz w:val="21"/>
          <w:szCs w:val="21"/>
        </w:rPr>
        <w:t>3.2</w:t>
      </w:r>
    </w:p>
    <w:p>
      <w:pPr>
        <w:pStyle w:val="BodyText"/>
        <w:spacing w:before="65" w:line="213" w:lineRule="auto"/>
        <w:ind w:left="426"/>
        <w:rPr>
          <w:rFonts w:ascii="Times New Roman" w:eastAsia="Times New Roman" w:hAnsi="Times New Roman" w:cs="Times New Roman"/>
          <w:sz w:val="21"/>
          <w:szCs w:val="21"/>
        </w:rPr>
      </w:pPr>
      <w:r>
        <w:rPr>
          <w:sz w:val="21"/>
          <w:szCs w:val="21"/>
        </w:rPr>
        <w:t>绿波路段</w:t>
      </w:r>
      <w:r>
        <w:rPr>
          <w:sz w:val="21"/>
          <w:szCs w:val="21"/>
        </w:rPr>
        <w:t xml:space="preserve">  </w:t>
      </w:r>
      <w:r>
        <w:rPr>
          <w:rFonts w:ascii="Times New Roman" w:eastAsia="Times New Roman" w:hAnsi="Times New Roman" w:cs="Times New Roman"/>
          <w:sz w:val="21"/>
          <w:szCs w:val="21"/>
        </w:rPr>
        <w:t>green wave roa</w:t>
      </w:r>
      <w:r>
        <w:rPr>
          <w:rFonts w:ascii="Times New Roman" w:eastAsia="Times New Roman" w:hAnsi="Times New Roman" w:cs="Times New Roman"/>
          <w:spacing w:val="-1"/>
          <w:sz w:val="21"/>
          <w:szCs w:val="21"/>
        </w:rPr>
        <w:t>d section</w:t>
      </w:r>
    </w:p>
    <w:p>
      <w:pPr>
        <w:spacing w:before="70" w:line="626" w:lineRule="exact"/>
        <w:ind w:left="446"/>
        <w:rPr>
          <w:rFonts w:ascii="SimSun" w:eastAsia="SimSun" w:hAnsi="SimSun" w:cs="SimSun"/>
          <w:sz w:val="21"/>
          <w:szCs w:val="21"/>
        </w:rPr>
      </w:pPr>
      <w:r>
        <w:rPr>
          <w:rFonts w:ascii="SimSun" w:eastAsia="SimSun" w:hAnsi="SimSun" w:cs="SimSun"/>
          <w:spacing w:val="-2"/>
          <w:position w:val="32"/>
          <w:sz w:val="21"/>
          <w:szCs w:val="21"/>
        </w:rPr>
        <w:t>同一绿波干线中相邻两个路口及其之间的路段。</w:t>
      </w:r>
    </w:p>
    <w:p>
      <w:pPr>
        <w:pStyle w:val="BodyText"/>
        <w:spacing w:line="222" w:lineRule="auto"/>
        <w:rPr>
          <w:sz w:val="21"/>
          <w:szCs w:val="21"/>
        </w:rPr>
      </w:pPr>
      <w:r>
        <w:rPr>
          <w:spacing w:val="-2"/>
          <w:sz w:val="21"/>
          <w:szCs w:val="21"/>
        </w:rPr>
        <w:t>4</w:t>
      </w:r>
      <w:r>
        <w:rPr>
          <w:spacing w:val="3"/>
          <w:sz w:val="21"/>
          <w:szCs w:val="21"/>
        </w:rPr>
        <w:t xml:space="preserve">  </w:t>
      </w:r>
      <w:r>
        <w:rPr>
          <w:spacing w:val="-2"/>
          <w:sz w:val="21"/>
          <w:szCs w:val="21"/>
        </w:rPr>
        <w:t>监测</w:t>
      </w:r>
    </w:p>
    <w:p>
      <w:pPr>
        <w:spacing w:line="298" w:lineRule="auto"/>
        <w:rPr>
          <w:rFonts w:ascii="Arial"/>
          <w:sz w:val="21"/>
        </w:rPr>
      </w:pPr>
    </w:p>
    <w:p>
      <w:pPr>
        <w:pStyle w:val="BodyText"/>
        <w:spacing w:before="69" w:line="221" w:lineRule="auto"/>
        <w:rPr>
          <w:sz w:val="21"/>
          <w:szCs w:val="21"/>
        </w:rPr>
      </w:pPr>
      <w:r>
        <w:rPr>
          <w:spacing w:val="-3"/>
          <w:sz w:val="21"/>
          <w:szCs w:val="21"/>
        </w:rPr>
        <w:t>4.1</w:t>
      </w:r>
      <w:r>
        <w:rPr>
          <w:spacing w:val="12"/>
          <w:sz w:val="21"/>
          <w:szCs w:val="21"/>
        </w:rPr>
        <w:t xml:space="preserve">  </w:t>
      </w:r>
      <w:r>
        <w:rPr>
          <w:spacing w:val="-3"/>
          <w:sz w:val="21"/>
          <w:szCs w:val="21"/>
        </w:rPr>
        <w:t>内容</w:t>
      </w:r>
    </w:p>
    <w:p>
      <w:pPr>
        <w:pStyle w:val="BodyText"/>
        <w:spacing w:before="218" w:line="247" w:lineRule="auto"/>
        <w:ind w:left="4" w:right="104" w:hanging="4"/>
        <w:rPr>
          <w:rFonts w:ascii="SimSun" w:eastAsia="SimSun" w:hAnsi="SimSun" w:cs="SimSun"/>
          <w:sz w:val="21"/>
          <w:szCs w:val="21"/>
        </w:rPr>
        <w:sectPr>
          <w:headerReference w:type="default" r:id="rId11"/>
          <w:footerReference w:type="default" r:id="rId12"/>
          <w:pgSz w:w="11907" w:h="16839"/>
          <w:pgMar w:top="400" w:right="1055" w:bottom="400" w:left="1421" w:header="0" w:footer="0" w:gutter="0"/>
          <w:pgNumType w:start="8"/>
          <w:cols w:space="708"/>
        </w:sectPr>
      </w:pPr>
      <w:r>
        <w:rPr>
          <w:spacing w:val="-5"/>
          <w:sz w:val="21"/>
          <w:szCs w:val="21"/>
        </w:rPr>
        <w:t>4.1.1</w:t>
      </w:r>
      <w:r>
        <w:rPr>
          <w:spacing w:val="-5"/>
          <w:sz w:val="21"/>
          <w:szCs w:val="21"/>
        </w:rPr>
        <w:t xml:space="preserve">  </w:t>
      </w:r>
      <w:r>
        <w:rPr>
          <w:rFonts w:ascii="SimSun" w:eastAsia="SimSun" w:hAnsi="SimSun" w:cs="SimSun"/>
          <w:spacing w:val="-5"/>
          <w:sz w:val="21"/>
          <w:szCs w:val="21"/>
        </w:rPr>
        <w:t>应监测干线绿波路口过车数据，包括但不限于车辆唯一标识、车辆类型、过车时间、路口编号、</w:t>
      </w:r>
      <w:r>
        <w:rPr>
          <w:rFonts w:ascii="SimSun" w:eastAsia="SimSun" w:hAnsi="SimSun" w:cs="SimSun"/>
          <w:spacing w:val="14"/>
          <w:sz w:val="21"/>
          <w:szCs w:val="21"/>
        </w:rPr>
        <w:t xml:space="preserve"> </w:t>
      </w:r>
      <w:r>
        <w:rPr>
          <w:rFonts w:ascii="SimSun" w:eastAsia="SimSun" w:hAnsi="SimSun" w:cs="SimSun"/>
          <w:spacing w:val="-1"/>
          <w:sz w:val="21"/>
          <w:szCs w:val="21"/>
        </w:rPr>
        <w:t>进口方向、车道方向。</w:t>
      </w:r>
    </w:p>
    <w:p>
      <w:pPr>
        <w:pStyle w:val="BodyText"/>
        <w:spacing w:before="60" w:line="248" w:lineRule="auto"/>
        <w:ind w:left="5" w:right="73" w:hanging="5"/>
        <w:rPr>
          <w:rFonts w:ascii="SimSun" w:eastAsia="SimSun" w:hAnsi="SimSun" w:cs="SimSun"/>
          <w:sz w:val="21"/>
          <w:szCs w:val="21"/>
        </w:rPr>
      </w:pPr>
      <w:r>
        <w:rPr>
          <w:sz w:val="21"/>
          <w:szCs w:val="21"/>
        </w:rPr>
        <w:t>4.1.2</w:t>
      </w:r>
      <w:r>
        <w:rPr>
          <w:sz w:val="21"/>
          <w:szCs w:val="21"/>
        </w:rPr>
        <w:t xml:space="preserve">  </w:t>
      </w:r>
      <w:r>
        <w:rPr>
          <w:rFonts w:ascii="SimSun" w:eastAsia="SimSun" w:hAnsi="SimSun" w:cs="SimSun"/>
          <w:sz w:val="21"/>
          <w:szCs w:val="21"/>
        </w:rPr>
        <w:t>应监测干线绿波路口信号配时方案数据，包括但不限于路口编号、信号周期、设计速度、绝对</w:t>
      </w:r>
      <w:r>
        <w:rPr>
          <w:rFonts w:ascii="SimSun" w:eastAsia="SimSun" w:hAnsi="SimSun" w:cs="SimSun"/>
          <w:spacing w:val="10"/>
          <w:sz w:val="21"/>
          <w:szCs w:val="21"/>
        </w:rPr>
        <w:t xml:space="preserve"> </w:t>
      </w:r>
      <w:r>
        <w:rPr>
          <w:rFonts w:ascii="SimSun" w:eastAsia="SimSun" w:hAnsi="SimSun" w:cs="SimSun"/>
          <w:spacing w:val="-2"/>
          <w:sz w:val="21"/>
          <w:szCs w:val="21"/>
        </w:rPr>
        <w:t>相位差、协调方向、协调相位绿灯时间。</w:t>
      </w:r>
    </w:p>
    <w:p>
      <w:pPr>
        <w:pStyle w:val="BodyText"/>
        <w:spacing w:before="62" w:line="247" w:lineRule="auto"/>
        <w:ind w:left="5" w:right="73" w:hanging="5"/>
        <w:rPr>
          <w:rFonts w:ascii="SimSun" w:eastAsia="SimSun" w:hAnsi="SimSun" w:cs="SimSun"/>
          <w:sz w:val="21"/>
          <w:szCs w:val="21"/>
        </w:rPr>
      </w:pPr>
      <w:r>
        <w:rPr>
          <w:sz w:val="21"/>
          <w:szCs w:val="21"/>
        </w:rPr>
        <w:t>4.1.3</w:t>
      </w:r>
      <w:r>
        <w:rPr>
          <w:sz w:val="21"/>
          <w:szCs w:val="21"/>
        </w:rPr>
        <w:t xml:space="preserve">  </w:t>
      </w:r>
      <w:r>
        <w:rPr>
          <w:rFonts w:ascii="SimSun" w:eastAsia="SimSun" w:hAnsi="SimSun" w:cs="SimSun"/>
          <w:sz w:val="21"/>
          <w:szCs w:val="21"/>
        </w:rPr>
        <w:t>应监测干线绿波路口信号运行状态数据，包括但不限于路口编号协调相位绿灯开始时刻、协调</w:t>
      </w:r>
      <w:r>
        <w:rPr>
          <w:rFonts w:ascii="SimSun" w:eastAsia="SimSun" w:hAnsi="SimSun" w:cs="SimSun"/>
          <w:spacing w:val="10"/>
          <w:sz w:val="21"/>
          <w:szCs w:val="21"/>
        </w:rPr>
        <w:t xml:space="preserve"> </w:t>
      </w:r>
      <w:r>
        <w:rPr>
          <w:rFonts w:ascii="SimSun" w:eastAsia="SimSun" w:hAnsi="SimSun" w:cs="SimSun"/>
          <w:spacing w:val="-3"/>
          <w:sz w:val="21"/>
          <w:szCs w:val="21"/>
        </w:rPr>
        <w:t>相位绿灯结束时刻。</w:t>
      </w:r>
    </w:p>
    <w:p>
      <w:pPr>
        <w:pStyle w:val="BodyText"/>
        <w:spacing w:before="62" w:line="247" w:lineRule="auto"/>
        <w:ind w:left="37" w:right="73" w:hanging="37"/>
        <w:rPr>
          <w:rFonts w:ascii="SimSun" w:eastAsia="SimSun" w:hAnsi="SimSun" w:cs="SimSun"/>
          <w:sz w:val="21"/>
          <w:szCs w:val="21"/>
        </w:rPr>
      </w:pPr>
      <w:r>
        <w:rPr>
          <w:sz w:val="21"/>
          <w:szCs w:val="21"/>
        </w:rPr>
        <w:t>4.1.4</w:t>
      </w:r>
      <w:r>
        <w:rPr>
          <w:sz w:val="21"/>
          <w:szCs w:val="21"/>
        </w:rPr>
        <w:t xml:space="preserve">  </w:t>
      </w:r>
      <w:r>
        <w:rPr>
          <w:rFonts w:ascii="SimSun" w:eastAsia="SimSun" w:hAnsi="SimSun" w:cs="SimSun"/>
          <w:sz w:val="21"/>
          <w:szCs w:val="21"/>
        </w:rPr>
        <w:t>应监测干线绿波路段数据，包括但不限于上游路口编号、下游路口编号、路段长度、路段非路</w:t>
      </w:r>
      <w:r>
        <w:rPr>
          <w:rFonts w:ascii="SimSun" w:eastAsia="SimSun" w:hAnsi="SimSun" w:cs="SimSun"/>
          <w:spacing w:val="10"/>
          <w:sz w:val="21"/>
          <w:szCs w:val="21"/>
        </w:rPr>
        <w:t xml:space="preserve"> </w:t>
      </w:r>
      <w:r>
        <w:rPr>
          <w:rFonts w:ascii="SimSun" w:eastAsia="SimSun" w:hAnsi="SimSun" w:cs="SimSun"/>
          <w:spacing w:val="-2"/>
          <w:sz w:val="21"/>
          <w:szCs w:val="21"/>
        </w:rPr>
        <w:t>口处人行横道数量、路段出入口数量、掉头口数量。</w:t>
      </w:r>
    </w:p>
    <w:p>
      <w:pPr>
        <w:pStyle w:val="BodyText"/>
        <w:spacing w:before="217" w:line="221" w:lineRule="auto"/>
        <w:rPr>
          <w:sz w:val="21"/>
          <w:szCs w:val="21"/>
        </w:rPr>
      </w:pPr>
      <w:r>
        <w:rPr>
          <w:sz w:val="21"/>
          <w:szCs w:val="21"/>
        </w:rPr>
        <w:t>4.2</w:t>
      </w:r>
      <w:r>
        <w:rPr>
          <w:sz w:val="21"/>
          <w:szCs w:val="21"/>
        </w:rPr>
        <w:t xml:space="preserve">  </w:t>
      </w:r>
      <w:r>
        <w:rPr>
          <w:sz w:val="21"/>
          <w:szCs w:val="21"/>
        </w:rPr>
        <w:t>要求</w:t>
      </w:r>
    </w:p>
    <w:p>
      <w:pPr>
        <w:pStyle w:val="BodyText"/>
        <w:spacing w:before="217" w:line="220" w:lineRule="auto"/>
        <w:jc w:val="right"/>
        <w:rPr>
          <w:rFonts w:ascii="SimSun" w:eastAsia="SimSun" w:hAnsi="SimSun" w:cs="SimSun"/>
          <w:sz w:val="21"/>
          <w:szCs w:val="21"/>
        </w:rPr>
      </w:pPr>
      <w:r>
        <w:rPr>
          <w:spacing w:val="-2"/>
          <w:sz w:val="21"/>
          <w:szCs w:val="21"/>
        </w:rPr>
        <w:t>4.2.1</w:t>
      </w:r>
      <w:r>
        <w:rPr>
          <w:spacing w:val="-2"/>
          <w:sz w:val="21"/>
          <w:szCs w:val="21"/>
        </w:rPr>
        <w:t xml:space="preserve">  </w:t>
      </w:r>
      <w:r>
        <w:rPr>
          <w:rFonts w:ascii="SimSun" w:eastAsia="SimSun" w:hAnsi="SimSun" w:cs="SimSun"/>
          <w:spacing w:val="-2"/>
          <w:sz w:val="21"/>
          <w:szCs w:val="21"/>
        </w:rPr>
        <w:t>应在绿波执行时段通过在路口安装的道路交</w:t>
      </w:r>
      <w:r>
        <w:rPr>
          <w:rFonts w:ascii="SimSun" w:eastAsia="SimSun" w:hAnsi="SimSun" w:cs="SimSun"/>
          <w:spacing w:val="-3"/>
          <w:sz w:val="21"/>
          <w:szCs w:val="21"/>
        </w:rPr>
        <w:t>通监控设备采集过车数据，数据准确度不低于 95%。</w:t>
      </w:r>
    </w:p>
    <w:p>
      <w:pPr>
        <w:pStyle w:val="BodyText"/>
        <w:spacing w:before="62" w:line="220" w:lineRule="auto"/>
        <w:rPr>
          <w:rFonts w:ascii="SimSun" w:eastAsia="SimSun" w:hAnsi="SimSun" w:cs="SimSun"/>
          <w:sz w:val="21"/>
          <w:szCs w:val="21"/>
        </w:rPr>
      </w:pPr>
      <w:r>
        <w:rPr>
          <w:spacing w:val="-2"/>
          <w:sz w:val="21"/>
          <w:szCs w:val="21"/>
        </w:rPr>
        <w:t>4.2.2</w:t>
      </w:r>
      <w:r>
        <w:rPr>
          <w:spacing w:val="-2"/>
          <w:sz w:val="21"/>
          <w:szCs w:val="21"/>
        </w:rPr>
        <w:t xml:space="preserve">  </w:t>
      </w:r>
      <w:r>
        <w:rPr>
          <w:rFonts w:ascii="SimSun" w:eastAsia="SimSun" w:hAnsi="SimSun" w:cs="SimSun"/>
          <w:spacing w:val="-2"/>
          <w:sz w:val="21"/>
          <w:szCs w:val="21"/>
        </w:rPr>
        <w:t>应通过信号控制系统采集信号配时方案数据，</w:t>
      </w:r>
      <w:r>
        <w:rPr>
          <w:rFonts w:ascii="SimSun" w:eastAsia="SimSun" w:hAnsi="SimSun" w:cs="SimSun"/>
          <w:spacing w:val="-16"/>
          <w:sz w:val="21"/>
          <w:szCs w:val="21"/>
        </w:rPr>
        <w:t xml:space="preserve"> </w:t>
      </w:r>
      <w:r>
        <w:rPr>
          <w:rFonts w:ascii="SimSun" w:eastAsia="SimSun" w:hAnsi="SimSun" w:cs="SimSun"/>
          <w:spacing w:val="-2"/>
          <w:sz w:val="21"/>
          <w:szCs w:val="21"/>
        </w:rPr>
        <w:t>数据采集率和准确度应为 100%。</w:t>
      </w:r>
    </w:p>
    <w:p>
      <w:pPr>
        <w:pStyle w:val="BodyText"/>
        <w:spacing w:before="61" w:line="220" w:lineRule="auto"/>
        <w:rPr>
          <w:rFonts w:ascii="SimSun" w:eastAsia="SimSun" w:hAnsi="SimSun" w:cs="SimSun"/>
          <w:sz w:val="21"/>
          <w:szCs w:val="21"/>
        </w:rPr>
      </w:pPr>
      <w:r>
        <w:rPr>
          <w:spacing w:val="-2"/>
          <w:sz w:val="21"/>
          <w:szCs w:val="21"/>
        </w:rPr>
        <w:t>4.2.3</w:t>
      </w:r>
      <w:r>
        <w:rPr>
          <w:spacing w:val="-2"/>
          <w:sz w:val="21"/>
          <w:szCs w:val="21"/>
        </w:rPr>
        <w:t xml:space="preserve">  </w:t>
      </w:r>
      <w:r>
        <w:rPr>
          <w:rFonts w:ascii="SimSun" w:eastAsia="SimSun" w:hAnsi="SimSun" w:cs="SimSun"/>
          <w:spacing w:val="-2"/>
          <w:sz w:val="21"/>
          <w:szCs w:val="21"/>
        </w:rPr>
        <w:t>应通过信号控制系统采集信号运行状态数据，</w:t>
      </w:r>
      <w:r>
        <w:rPr>
          <w:rFonts w:ascii="SimSun" w:eastAsia="SimSun" w:hAnsi="SimSun" w:cs="SimSun"/>
          <w:spacing w:val="-22"/>
          <w:sz w:val="21"/>
          <w:szCs w:val="21"/>
        </w:rPr>
        <w:t xml:space="preserve"> </w:t>
      </w:r>
      <w:r>
        <w:rPr>
          <w:rFonts w:ascii="SimSun" w:eastAsia="SimSun" w:hAnsi="SimSun" w:cs="SimSun"/>
          <w:spacing w:val="-2"/>
          <w:sz w:val="21"/>
          <w:szCs w:val="21"/>
        </w:rPr>
        <w:t>数据准确度不低于 95</w:t>
      </w:r>
      <w:r>
        <w:rPr>
          <w:rFonts w:ascii="SimSun" w:eastAsia="SimSun" w:hAnsi="SimSun" w:cs="SimSun"/>
          <w:spacing w:val="-3"/>
          <w:sz w:val="21"/>
          <w:szCs w:val="21"/>
        </w:rPr>
        <w:t>%。</w:t>
      </w:r>
    </w:p>
    <w:p>
      <w:pPr>
        <w:spacing w:line="220" w:lineRule="auto"/>
        <w:rPr>
          <w:rFonts w:ascii="SimSun" w:eastAsia="SimSun" w:hAnsi="SimSun" w:cs="SimSun"/>
          <w:sz w:val="21"/>
          <w:szCs w:val="21"/>
        </w:rPr>
        <w:sectPr>
          <w:headerReference w:type="default" r:id="rId13"/>
          <w:footerReference w:type="default" r:id="rId14"/>
          <w:type w:val="nextPage"/>
          <w:pgSz w:w="11907" w:h="16839"/>
          <w:pgMar w:top="400" w:right="1055" w:bottom="400" w:left="1421" w:header="0" w:footer="0" w:gutter="0"/>
          <w:pgNumType w:start="9"/>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BodyText"/>
        <w:spacing w:before="68" w:line="627" w:lineRule="exact"/>
        <w:ind w:left="21"/>
        <w:rPr>
          <w:rFonts w:ascii="SimSun" w:eastAsia="SimSun" w:hAnsi="SimSun" w:cs="SimSun"/>
          <w:sz w:val="21"/>
          <w:szCs w:val="21"/>
        </w:rPr>
      </w:pPr>
      <w:r>
        <w:rPr>
          <w:position w:val="32"/>
          <w:sz w:val="21"/>
          <w:szCs w:val="21"/>
        </w:rPr>
        <w:t>4.2.4</w:t>
      </w:r>
      <w:r>
        <w:rPr>
          <w:position w:val="32"/>
          <w:sz w:val="21"/>
          <w:szCs w:val="21"/>
        </w:rPr>
        <w:t xml:space="preserve">  </w:t>
      </w:r>
      <w:r>
        <w:rPr>
          <w:rFonts w:ascii="SimSun" w:eastAsia="SimSun" w:hAnsi="SimSun" w:cs="SimSun"/>
          <w:position w:val="32"/>
          <w:sz w:val="21"/>
          <w:szCs w:val="21"/>
        </w:rPr>
        <w:t>应利用电子地图或人工方式采集干线绿波路</w:t>
      </w:r>
      <w:r>
        <w:rPr>
          <w:rFonts w:ascii="SimSun" w:eastAsia="SimSun" w:hAnsi="SimSun" w:cs="SimSun"/>
          <w:spacing w:val="-1"/>
          <w:position w:val="32"/>
          <w:sz w:val="21"/>
          <w:szCs w:val="21"/>
        </w:rPr>
        <w:t>段数据，并定期更新数据。</w:t>
      </w:r>
    </w:p>
    <w:p>
      <w:pPr>
        <w:pStyle w:val="BodyText"/>
        <w:spacing w:line="219" w:lineRule="auto"/>
        <w:ind w:left="22"/>
        <w:rPr>
          <w:sz w:val="21"/>
          <w:szCs w:val="21"/>
        </w:rPr>
      </w:pPr>
      <w:r>
        <w:rPr>
          <w:spacing w:val="-2"/>
          <w:sz w:val="21"/>
          <w:szCs w:val="21"/>
        </w:rPr>
        <w:t>5</w:t>
      </w:r>
      <w:r>
        <w:rPr>
          <w:spacing w:val="3"/>
          <w:sz w:val="21"/>
          <w:szCs w:val="21"/>
        </w:rPr>
        <w:t xml:space="preserve">  </w:t>
      </w:r>
      <w:r>
        <w:rPr>
          <w:spacing w:val="-2"/>
          <w:sz w:val="21"/>
          <w:szCs w:val="21"/>
        </w:rPr>
        <w:t>诊断</w:t>
      </w:r>
    </w:p>
    <w:p>
      <w:pPr>
        <w:spacing w:line="301" w:lineRule="auto"/>
        <w:rPr>
          <w:rFonts w:ascii="Arial"/>
          <w:sz w:val="21"/>
        </w:rPr>
      </w:pPr>
    </w:p>
    <w:p>
      <w:pPr>
        <w:pStyle w:val="BodyText"/>
        <w:spacing w:before="68" w:line="221" w:lineRule="auto"/>
        <w:ind w:left="22"/>
        <w:rPr>
          <w:sz w:val="21"/>
          <w:szCs w:val="21"/>
        </w:rPr>
      </w:pPr>
      <w:r>
        <w:rPr>
          <w:spacing w:val="-3"/>
          <w:sz w:val="21"/>
          <w:szCs w:val="21"/>
        </w:rPr>
        <w:t>5.1</w:t>
      </w:r>
      <w:r>
        <w:rPr>
          <w:spacing w:val="11"/>
          <w:sz w:val="21"/>
          <w:szCs w:val="21"/>
        </w:rPr>
        <w:t xml:space="preserve">  </w:t>
      </w:r>
      <w:r>
        <w:rPr>
          <w:spacing w:val="-3"/>
          <w:sz w:val="21"/>
          <w:szCs w:val="21"/>
        </w:rPr>
        <w:t>内容</w:t>
      </w:r>
    </w:p>
    <w:p>
      <w:pPr>
        <w:pStyle w:val="BodyText"/>
        <w:spacing w:before="216" w:line="220" w:lineRule="auto"/>
        <w:ind w:left="22"/>
        <w:rPr>
          <w:sz w:val="21"/>
          <w:szCs w:val="21"/>
        </w:rPr>
      </w:pPr>
      <w:r>
        <w:rPr>
          <w:sz w:val="21"/>
          <w:szCs w:val="21"/>
        </w:rPr>
        <w:t>5.1.1</w:t>
      </w:r>
      <w:r>
        <w:rPr>
          <w:sz w:val="21"/>
          <w:szCs w:val="21"/>
        </w:rPr>
        <w:t xml:space="preserve">  </w:t>
      </w:r>
      <w:r>
        <w:rPr>
          <w:sz w:val="21"/>
          <w:szCs w:val="21"/>
        </w:rPr>
        <w:t>评价指标</w:t>
      </w:r>
    </w:p>
    <w:p>
      <w:pPr>
        <w:spacing w:before="218" w:line="219" w:lineRule="auto"/>
        <w:ind w:left="447"/>
        <w:rPr>
          <w:rFonts w:ascii="SimSun" w:eastAsia="SimSun" w:hAnsi="SimSun" w:cs="SimSun"/>
          <w:sz w:val="21"/>
          <w:szCs w:val="21"/>
        </w:rPr>
      </w:pPr>
      <w:r>
        <w:rPr>
          <w:rFonts w:ascii="SimSun" w:eastAsia="SimSun" w:hAnsi="SimSun" w:cs="SimSun"/>
          <w:spacing w:val="-1"/>
          <w:sz w:val="21"/>
          <w:szCs w:val="21"/>
        </w:rPr>
        <w:t>干线绿波运行效果评价指标见表</w:t>
      </w:r>
      <w:r>
        <w:rPr>
          <w:rFonts w:ascii="Times New Roman" w:eastAsia="Times New Roman" w:hAnsi="Times New Roman" w:cs="Times New Roman"/>
          <w:spacing w:val="-1"/>
          <w:sz w:val="21"/>
          <w:szCs w:val="21"/>
        </w:rPr>
        <w:t>1</w:t>
      </w:r>
      <w:r>
        <w:rPr>
          <w:rFonts w:ascii="SimSun" w:eastAsia="SimSun" w:hAnsi="SimSun" w:cs="SimSun"/>
          <w:spacing w:val="-1"/>
          <w:sz w:val="21"/>
          <w:szCs w:val="21"/>
        </w:rPr>
        <w:t>。</w:t>
      </w:r>
    </w:p>
    <w:p>
      <w:pPr>
        <w:pStyle w:val="BodyText"/>
        <w:spacing w:before="218" w:line="218" w:lineRule="auto"/>
        <w:ind w:left="3183"/>
        <w:rPr>
          <w:sz w:val="21"/>
          <w:szCs w:val="21"/>
        </w:rPr>
      </w:pPr>
      <w:r>
        <w:rPr>
          <w:spacing w:val="-1"/>
          <w:sz w:val="21"/>
          <w:szCs w:val="21"/>
        </w:rPr>
        <w:t>表</w:t>
      </w:r>
      <w:r>
        <w:rPr>
          <w:rFonts w:ascii="Times New Roman" w:eastAsia="Times New Roman" w:hAnsi="Times New Roman" w:cs="Times New Roman"/>
          <w:spacing w:val="-1"/>
          <w:sz w:val="21"/>
          <w:szCs w:val="21"/>
        </w:rPr>
        <w:t xml:space="preserve">1    </w:t>
      </w:r>
      <w:r>
        <w:rPr>
          <w:spacing w:val="-1"/>
          <w:sz w:val="21"/>
          <w:szCs w:val="21"/>
        </w:rPr>
        <w:t>干线绿波运行效果评价指标</w:t>
      </w:r>
    </w:p>
    <w:p>
      <w:pPr>
        <w:spacing w:line="169" w:lineRule="exact"/>
      </w:pPr>
    </w:p>
    <w:tbl>
      <w:tblPr>
        <w:tblStyle w:val="TableNormal0"/>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3"/>
        <w:gridCol w:w="8227"/>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1153" w:type="dxa"/>
            <w:tcBorders>
              <w:top w:val="single" w:sz="6" w:space="0" w:color="000000"/>
              <w:left w:val="single" w:sz="6" w:space="0" w:color="000000"/>
              <w:bottom w:val="single" w:sz="6" w:space="0" w:color="000000"/>
            </w:tcBorders>
            <w:vAlign w:val="top"/>
          </w:tcPr>
          <w:p>
            <w:pPr>
              <w:pStyle w:val="TableText"/>
              <w:spacing w:before="70" w:line="220" w:lineRule="auto"/>
              <w:ind w:left="397"/>
            </w:pPr>
            <w:r>
              <w:rPr>
                <w:spacing w:val="-3"/>
              </w:rPr>
              <w:t>指标</w:t>
            </w:r>
          </w:p>
        </w:tc>
        <w:tc>
          <w:tcPr>
            <w:tcW w:w="8227" w:type="dxa"/>
            <w:tcBorders>
              <w:top w:val="single" w:sz="6" w:space="0" w:color="000000"/>
              <w:bottom w:val="single" w:sz="6" w:space="0" w:color="000000"/>
              <w:right w:val="single" w:sz="6" w:space="0" w:color="000000"/>
            </w:tcBorders>
            <w:vAlign w:val="top"/>
          </w:tcPr>
          <w:p>
            <w:pPr>
              <w:pStyle w:val="TableText"/>
              <w:spacing w:before="69" w:line="220" w:lineRule="auto"/>
              <w:ind w:left="3932"/>
            </w:pPr>
            <w:r>
              <w:rPr>
                <w:spacing w:val="-3"/>
              </w:rPr>
              <w:t>说明</w:t>
            </w:r>
          </w:p>
        </w:tc>
      </w:tr>
      <w:tr>
        <w:tblPrEx>
          <w:tblW w:w="9380" w:type="dxa"/>
          <w:tblInd w:w="7" w:type="dxa"/>
          <w:tblLayout w:type="fixed"/>
        </w:tblPrEx>
        <w:trPr>
          <w:trHeight w:val="619"/>
        </w:trPr>
        <w:tc>
          <w:tcPr>
            <w:tcW w:w="1153" w:type="dxa"/>
            <w:tcBorders>
              <w:top w:val="single" w:sz="6" w:space="0" w:color="000000"/>
              <w:left w:val="single" w:sz="6" w:space="0" w:color="000000"/>
            </w:tcBorders>
            <w:vAlign w:val="top"/>
          </w:tcPr>
          <w:p>
            <w:pPr>
              <w:pStyle w:val="TableText"/>
              <w:spacing w:before="217" w:line="220" w:lineRule="auto"/>
              <w:ind w:left="216"/>
            </w:pPr>
            <w:r>
              <w:rPr>
                <w:spacing w:val="-2"/>
              </w:rPr>
              <w:t>停车次数</w:t>
            </w:r>
          </w:p>
        </w:tc>
        <w:tc>
          <w:tcPr>
            <w:tcW w:w="8227" w:type="dxa"/>
            <w:tcBorders>
              <w:top w:val="single" w:sz="6" w:space="0" w:color="000000"/>
              <w:right w:val="single" w:sz="6" w:space="0" w:color="000000"/>
            </w:tcBorders>
            <w:vAlign w:val="top"/>
          </w:tcPr>
          <w:p>
            <w:pPr>
              <w:pStyle w:val="TableText"/>
              <w:spacing w:before="62" w:line="270" w:lineRule="auto"/>
              <w:ind w:left="5" w:right="5"/>
            </w:pPr>
            <w:r>
              <w:rPr>
                <w:spacing w:val="-3"/>
              </w:rPr>
              <w:t>从绿波路段上游路口沿协调方向通过下游路口的所有车辆发生停车等待的次数累加</w:t>
            </w:r>
            <w:r>
              <w:rPr>
                <w:spacing w:val="-4"/>
              </w:rPr>
              <w:t>，</w:t>
            </w:r>
            <w:r>
              <w:rPr>
                <w:spacing w:val="-17"/>
              </w:rPr>
              <w:t xml:space="preserve"> </w:t>
            </w:r>
            <w:r>
              <w:rPr>
                <w:spacing w:val="-4"/>
              </w:rPr>
              <w:t>用于评估干线绿波协</w:t>
            </w:r>
            <w:r>
              <w:t xml:space="preserve"> </w:t>
            </w:r>
            <w:r>
              <w:rPr>
                <w:spacing w:val="-2"/>
              </w:rPr>
              <w:t>调效果</w:t>
            </w:r>
          </w:p>
        </w:tc>
      </w:tr>
      <w:tr>
        <w:tblPrEx>
          <w:tblW w:w="9380" w:type="dxa"/>
          <w:tblInd w:w="7" w:type="dxa"/>
          <w:tblLayout w:type="fixed"/>
        </w:tblPrEx>
        <w:trPr>
          <w:trHeight w:val="314"/>
        </w:trPr>
        <w:tc>
          <w:tcPr>
            <w:tcW w:w="1153" w:type="dxa"/>
            <w:tcBorders>
              <w:left w:val="single" w:sz="6" w:space="0" w:color="000000"/>
            </w:tcBorders>
            <w:vAlign w:val="top"/>
          </w:tcPr>
          <w:p>
            <w:pPr>
              <w:pStyle w:val="TableText"/>
              <w:spacing w:before="71" w:line="221" w:lineRule="auto"/>
              <w:ind w:left="219"/>
            </w:pPr>
            <w:r>
              <w:rPr>
                <w:spacing w:val="-2"/>
              </w:rPr>
              <w:t>交通流量</w:t>
            </w:r>
          </w:p>
        </w:tc>
        <w:tc>
          <w:tcPr>
            <w:tcW w:w="8227" w:type="dxa"/>
            <w:tcBorders>
              <w:right w:val="single" w:sz="6" w:space="0" w:color="000000"/>
            </w:tcBorders>
            <w:vAlign w:val="top"/>
          </w:tcPr>
          <w:p>
            <w:pPr>
              <w:pStyle w:val="TableText"/>
              <w:spacing w:before="71" w:line="218" w:lineRule="auto"/>
              <w:ind w:left="5"/>
            </w:pPr>
            <w:r>
              <w:t>从绿波路段上游路口沿协调方向通过下游路口的所有车辆数量，用于</w:t>
            </w:r>
            <w:r>
              <w:rPr>
                <w:spacing w:val="-1"/>
              </w:rPr>
              <w:t>评估干线绿波通行能力</w:t>
            </w:r>
          </w:p>
        </w:tc>
      </w:tr>
      <w:tr>
        <w:tblPrEx>
          <w:tblW w:w="9380" w:type="dxa"/>
          <w:tblInd w:w="7" w:type="dxa"/>
          <w:tblLayout w:type="fixed"/>
        </w:tblPrEx>
        <w:trPr>
          <w:trHeight w:val="314"/>
        </w:trPr>
        <w:tc>
          <w:tcPr>
            <w:tcW w:w="1153" w:type="dxa"/>
            <w:tcBorders>
              <w:left w:val="single" w:sz="6" w:space="0" w:color="000000"/>
            </w:tcBorders>
            <w:vAlign w:val="top"/>
          </w:tcPr>
          <w:p>
            <w:pPr>
              <w:pStyle w:val="TableText"/>
              <w:spacing w:before="74" w:line="220" w:lineRule="auto"/>
              <w:ind w:left="34"/>
            </w:pPr>
            <w:r>
              <w:rPr>
                <w:spacing w:val="-1"/>
              </w:rPr>
              <w:t>平均行程时间</w:t>
            </w:r>
          </w:p>
        </w:tc>
        <w:tc>
          <w:tcPr>
            <w:tcW w:w="8227" w:type="dxa"/>
            <w:tcBorders>
              <w:right w:val="single" w:sz="6" w:space="0" w:color="000000"/>
            </w:tcBorders>
            <w:vAlign w:val="top"/>
          </w:tcPr>
          <w:p>
            <w:pPr>
              <w:pStyle w:val="TableText"/>
              <w:spacing w:before="74" w:line="218" w:lineRule="auto"/>
              <w:ind w:left="5"/>
            </w:pPr>
            <w:r>
              <w:rPr>
                <w:spacing w:val="-3"/>
              </w:rPr>
              <w:t>从绿波路段上游路口沿协调方向通过下游路口的所有车辆耗用时间的平均值，</w:t>
            </w:r>
            <w:r>
              <w:rPr>
                <w:spacing w:val="-18"/>
              </w:rPr>
              <w:t xml:space="preserve"> </w:t>
            </w:r>
            <w:r>
              <w:rPr>
                <w:spacing w:val="-3"/>
              </w:rPr>
              <w:t>用于评</w:t>
            </w:r>
            <w:r>
              <w:rPr>
                <w:spacing w:val="-4"/>
              </w:rPr>
              <w:t>估干线绿波通行效率</w:t>
            </w:r>
          </w:p>
        </w:tc>
      </w:tr>
      <w:tr>
        <w:tblPrEx>
          <w:tblW w:w="9380" w:type="dxa"/>
          <w:tblInd w:w="7" w:type="dxa"/>
          <w:tblLayout w:type="fixed"/>
        </w:tblPrEx>
        <w:trPr>
          <w:trHeight w:val="331"/>
        </w:trPr>
        <w:tc>
          <w:tcPr>
            <w:tcW w:w="1153" w:type="dxa"/>
            <w:tcBorders>
              <w:left w:val="single" w:sz="6" w:space="0" w:color="000000"/>
              <w:bottom w:val="single" w:sz="6" w:space="0" w:color="000000"/>
            </w:tcBorders>
            <w:vAlign w:val="top"/>
          </w:tcPr>
          <w:p>
            <w:pPr>
              <w:pStyle w:val="TableText"/>
              <w:spacing w:before="76" w:line="220" w:lineRule="auto"/>
              <w:ind w:left="215"/>
            </w:pPr>
            <w:r>
              <w:rPr>
                <w:spacing w:val="-2"/>
              </w:rPr>
              <w:t>通行效率</w:t>
            </w:r>
          </w:p>
        </w:tc>
        <w:tc>
          <w:tcPr>
            <w:tcW w:w="8227" w:type="dxa"/>
            <w:tcBorders>
              <w:bottom w:val="single" w:sz="6" w:space="0" w:color="000000"/>
              <w:right w:val="single" w:sz="6" w:space="0" w:color="000000"/>
            </w:tcBorders>
            <w:vAlign w:val="top"/>
          </w:tcPr>
          <w:p>
            <w:pPr>
              <w:pStyle w:val="TableText"/>
              <w:spacing w:before="77" w:line="218" w:lineRule="auto"/>
              <w:ind w:left="3"/>
            </w:pPr>
            <w:r>
              <w:rPr>
                <w:spacing w:val="-1"/>
              </w:rPr>
              <w:t>根据前三项指标计算得到，用于评估干线绿波整体运行效果</w:t>
            </w:r>
          </w:p>
        </w:tc>
      </w:tr>
    </w:tbl>
    <w:p>
      <w:pPr>
        <w:pStyle w:val="BodyText"/>
        <w:spacing w:before="207" w:line="221" w:lineRule="auto"/>
        <w:ind w:left="22"/>
        <w:rPr>
          <w:sz w:val="21"/>
          <w:szCs w:val="21"/>
        </w:rPr>
      </w:pPr>
      <w:r>
        <w:rPr>
          <w:sz w:val="21"/>
          <w:szCs w:val="21"/>
        </w:rPr>
        <w:t>5.1.2</w:t>
      </w:r>
      <w:r>
        <w:rPr>
          <w:sz w:val="21"/>
          <w:szCs w:val="21"/>
        </w:rPr>
        <w:t xml:space="preserve">  </w:t>
      </w:r>
      <w:r>
        <w:rPr>
          <w:sz w:val="21"/>
          <w:szCs w:val="21"/>
        </w:rPr>
        <w:t>影响因素</w:t>
      </w:r>
    </w:p>
    <w:p>
      <w:pPr>
        <w:spacing w:before="217" w:line="220" w:lineRule="auto"/>
        <w:ind w:left="447"/>
        <w:rPr>
          <w:rFonts w:ascii="SimSun" w:eastAsia="SimSun" w:hAnsi="SimSun" w:cs="SimSun"/>
          <w:sz w:val="21"/>
          <w:szCs w:val="21"/>
        </w:rPr>
      </w:pPr>
      <w:r>
        <w:rPr>
          <w:rFonts w:ascii="SimSun" w:eastAsia="SimSun" w:hAnsi="SimSun" w:cs="SimSun"/>
          <w:spacing w:val="-1"/>
          <w:sz w:val="21"/>
          <w:szCs w:val="21"/>
        </w:rPr>
        <w:t>干线绿波影响因素见表</w:t>
      </w:r>
      <w:r>
        <w:rPr>
          <w:rFonts w:ascii="Times New Roman" w:eastAsia="Times New Roman" w:hAnsi="Times New Roman" w:cs="Times New Roman"/>
          <w:spacing w:val="-1"/>
          <w:sz w:val="21"/>
          <w:szCs w:val="21"/>
        </w:rPr>
        <w:t>2</w:t>
      </w:r>
      <w:r>
        <w:rPr>
          <w:rFonts w:ascii="SimSun" w:eastAsia="SimSun" w:hAnsi="SimSun" w:cs="SimSun"/>
          <w:spacing w:val="-1"/>
          <w:sz w:val="21"/>
          <w:szCs w:val="21"/>
        </w:rPr>
        <w:t>。</w:t>
      </w:r>
    </w:p>
    <w:p>
      <w:pPr>
        <w:pStyle w:val="BodyText"/>
        <w:spacing w:before="218" w:line="218" w:lineRule="auto"/>
        <w:ind w:left="3605"/>
        <w:rPr>
          <w:sz w:val="21"/>
          <w:szCs w:val="21"/>
        </w:rPr>
      </w:pPr>
      <w:r>
        <w:rPr>
          <w:spacing w:val="-1"/>
          <w:sz w:val="21"/>
          <w:szCs w:val="21"/>
        </w:rPr>
        <w:t>表</w:t>
      </w:r>
      <w:r>
        <w:rPr>
          <w:rFonts w:ascii="Times New Roman" w:eastAsia="Times New Roman" w:hAnsi="Times New Roman" w:cs="Times New Roman"/>
          <w:spacing w:val="-1"/>
          <w:sz w:val="21"/>
          <w:szCs w:val="21"/>
        </w:rPr>
        <w:t xml:space="preserve">2    </w:t>
      </w:r>
      <w:r>
        <w:rPr>
          <w:spacing w:val="-1"/>
          <w:sz w:val="21"/>
          <w:szCs w:val="21"/>
        </w:rPr>
        <w:t>干线绿波影响因素</w:t>
      </w:r>
    </w:p>
    <w:p>
      <w:pPr>
        <w:spacing w:line="169" w:lineRule="exact"/>
      </w:pPr>
    </w:p>
    <w:tbl>
      <w:tblPr>
        <w:tblStyle w:val="TableNormal0"/>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35"/>
        <w:gridCol w:w="1556"/>
        <w:gridCol w:w="6389"/>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2991" w:type="dxa"/>
            <w:gridSpan w:val="2"/>
            <w:tcBorders>
              <w:top w:val="single" w:sz="6" w:space="0" w:color="000000"/>
              <w:left w:val="single" w:sz="6" w:space="0" w:color="000000"/>
              <w:bottom w:val="single" w:sz="6" w:space="0" w:color="000000"/>
            </w:tcBorders>
            <w:vAlign w:val="top"/>
          </w:tcPr>
          <w:p>
            <w:pPr>
              <w:pStyle w:val="TableText"/>
              <w:spacing w:before="67" w:line="220" w:lineRule="auto"/>
              <w:ind w:left="1137"/>
            </w:pPr>
            <w:r>
              <w:rPr>
                <w:spacing w:val="-2"/>
              </w:rPr>
              <w:t>影响因素</w:t>
            </w:r>
          </w:p>
        </w:tc>
        <w:tc>
          <w:tcPr>
            <w:tcW w:w="6389" w:type="dxa"/>
            <w:tcBorders>
              <w:top w:val="single" w:sz="6" w:space="0" w:color="000000"/>
              <w:bottom w:val="single" w:sz="6" w:space="0" w:color="000000"/>
              <w:right w:val="single" w:sz="6" w:space="0" w:color="000000"/>
            </w:tcBorders>
            <w:vAlign w:val="top"/>
          </w:tcPr>
          <w:p>
            <w:pPr>
              <w:pStyle w:val="TableText"/>
              <w:spacing w:before="67" w:line="220" w:lineRule="auto"/>
              <w:ind w:left="3016"/>
            </w:pPr>
            <w:r>
              <w:rPr>
                <w:spacing w:val="-3"/>
              </w:rPr>
              <w:t>说明</w:t>
            </w:r>
          </w:p>
        </w:tc>
      </w:tr>
      <w:tr>
        <w:tblPrEx>
          <w:tblW w:w="9380" w:type="dxa"/>
          <w:tblInd w:w="7" w:type="dxa"/>
          <w:tblLayout w:type="fixed"/>
        </w:tblPrEx>
        <w:trPr>
          <w:trHeight w:val="310"/>
        </w:trPr>
        <w:tc>
          <w:tcPr>
            <w:tcW w:w="1435" w:type="dxa"/>
            <w:vMerge w:val="restart"/>
            <w:tcBorders>
              <w:top w:val="single" w:sz="6" w:space="0" w:color="000000"/>
              <w:left w:val="single" w:sz="6" w:space="0" w:color="000000"/>
              <w:bottom w:val="nil"/>
            </w:tcBorders>
            <w:vAlign w:val="top"/>
          </w:tcPr>
          <w:p>
            <w:pPr>
              <w:spacing w:line="323" w:lineRule="auto"/>
              <w:rPr>
                <w:rFonts w:ascii="Arial"/>
                <w:sz w:val="21"/>
              </w:rPr>
            </w:pPr>
          </w:p>
          <w:p>
            <w:pPr>
              <w:pStyle w:val="TableText"/>
              <w:spacing w:before="59" w:line="219" w:lineRule="auto"/>
              <w:ind w:left="87"/>
            </w:pPr>
            <w:r>
              <w:rPr>
                <w:spacing w:val="-1"/>
              </w:rPr>
              <w:t>干线绿波运行方</w:t>
            </w:r>
          </w:p>
          <w:p>
            <w:pPr>
              <w:pStyle w:val="TableText"/>
              <w:spacing w:before="98" w:line="220" w:lineRule="auto"/>
              <w:ind w:left="178"/>
            </w:pPr>
            <w:r>
              <w:rPr>
                <w:spacing w:val="-2"/>
              </w:rPr>
              <w:t>案的影响因素</w:t>
            </w:r>
          </w:p>
        </w:tc>
        <w:tc>
          <w:tcPr>
            <w:tcW w:w="1556" w:type="dxa"/>
            <w:tcBorders>
              <w:top w:val="single" w:sz="6" w:space="0" w:color="000000"/>
            </w:tcBorders>
            <w:vAlign w:val="top"/>
          </w:tcPr>
          <w:p>
            <w:pPr>
              <w:pStyle w:val="TableText"/>
              <w:spacing w:before="59" w:line="220" w:lineRule="auto"/>
              <w:ind w:left="417"/>
            </w:pPr>
            <w:r>
              <w:rPr>
                <w:spacing w:val="-2"/>
              </w:rPr>
              <w:t>信号周期</w:t>
            </w:r>
          </w:p>
        </w:tc>
        <w:tc>
          <w:tcPr>
            <w:tcW w:w="6389" w:type="dxa"/>
            <w:tcBorders>
              <w:top w:val="single" w:sz="6" w:space="0" w:color="000000"/>
              <w:right w:val="single" w:sz="6" w:space="0" w:color="000000"/>
            </w:tcBorders>
            <w:vAlign w:val="top"/>
          </w:tcPr>
          <w:p>
            <w:pPr>
              <w:pStyle w:val="TableText"/>
              <w:spacing w:before="59" w:line="219" w:lineRule="auto"/>
              <w:ind w:left="9"/>
            </w:pPr>
            <w:r>
              <w:rPr>
                <w:spacing w:val="-1"/>
              </w:rPr>
              <w:t>通过干线绿波路口信号配时方案数据直接获取</w:t>
            </w:r>
          </w:p>
        </w:tc>
      </w:tr>
      <w:tr>
        <w:tblPrEx>
          <w:tblW w:w="9380" w:type="dxa"/>
          <w:tblInd w:w="7" w:type="dxa"/>
          <w:tblLayout w:type="fixed"/>
        </w:tblPrEx>
        <w:trPr>
          <w:trHeight w:val="318"/>
        </w:trPr>
        <w:tc>
          <w:tcPr>
            <w:tcW w:w="1435" w:type="dxa"/>
            <w:vMerge/>
            <w:tcBorders>
              <w:top w:val="nil"/>
              <w:left w:val="single" w:sz="6" w:space="0" w:color="000000"/>
              <w:bottom w:val="nil"/>
            </w:tcBorders>
            <w:vAlign w:val="top"/>
          </w:tcPr>
          <w:p>
            <w:pPr>
              <w:rPr>
                <w:rFonts w:ascii="Arial"/>
                <w:sz w:val="21"/>
              </w:rPr>
            </w:pPr>
          </w:p>
        </w:tc>
        <w:tc>
          <w:tcPr>
            <w:tcW w:w="1556" w:type="dxa"/>
            <w:vAlign w:val="top"/>
          </w:tcPr>
          <w:p>
            <w:pPr>
              <w:pStyle w:val="TableText"/>
              <w:spacing w:before="69" w:line="220" w:lineRule="auto"/>
              <w:ind w:left="58"/>
            </w:pPr>
            <w:r>
              <w:rPr>
                <w:spacing w:val="-1"/>
              </w:rPr>
              <w:t>协调方向绿灯时间</w:t>
            </w:r>
          </w:p>
        </w:tc>
        <w:tc>
          <w:tcPr>
            <w:tcW w:w="6389" w:type="dxa"/>
            <w:tcBorders>
              <w:right w:val="single" w:sz="6" w:space="0" w:color="000000"/>
            </w:tcBorders>
            <w:vAlign w:val="top"/>
          </w:tcPr>
          <w:p>
            <w:pPr>
              <w:pStyle w:val="TableText"/>
              <w:spacing w:before="69" w:line="219" w:lineRule="auto"/>
              <w:ind w:left="9"/>
            </w:pPr>
            <w:r>
              <w:rPr>
                <w:spacing w:val="-1"/>
              </w:rPr>
              <w:t>通过干线绿波路口信号配时方案数据直接获取</w:t>
            </w:r>
          </w:p>
        </w:tc>
      </w:tr>
      <w:tr>
        <w:tblPrEx>
          <w:tblW w:w="9380" w:type="dxa"/>
          <w:tblInd w:w="7" w:type="dxa"/>
          <w:tblLayout w:type="fixed"/>
        </w:tblPrEx>
        <w:trPr>
          <w:trHeight w:val="626"/>
        </w:trPr>
        <w:tc>
          <w:tcPr>
            <w:tcW w:w="1435" w:type="dxa"/>
            <w:vMerge/>
            <w:tcBorders>
              <w:top w:val="nil"/>
              <w:left w:val="single" w:sz="6" w:space="0" w:color="000000"/>
            </w:tcBorders>
            <w:vAlign w:val="top"/>
          </w:tcPr>
          <w:p>
            <w:pPr>
              <w:rPr>
                <w:rFonts w:ascii="Arial"/>
                <w:sz w:val="21"/>
              </w:rPr>
            </w:pPr>
          </w:p>
        </w:tc>
        <w:tc>
          <w:tcPr>
            <w:tcW w:w="1556" w:type="dxa"/>
            <w:vAlign w:val="top"/>
          </w:tcPr>
          <w:p>
            <w:pPr>
              <w:pStyle w:val="TableText"/>
              <w:spacing w:before="224" w:line="221" w:lineRule="auto"/>
              <w:ind w:left="508"/>
            </w:pPr>
            <w:r>
              <w:rPr>
                <w:spacing w:val="-2"/>
              </w:rPr>
              <w:t>相位差</w:t>
            </w:r>
          </w:p>
        </w:tc>
        <w:tc>
          <w:tcPr>
            <w:tcW w:w="6389" w:type="dxa"/>
            <w:tcBorders>
              <w:right w:val="single" w:sz="6" w:space="0" w:color="000000"/>
            </w:tcBorders>
            <w:vAlign w:val="top"/>
          </w:tcPr>
          <w:p>
            <w:pPr>
              <w:pStyle w:val="TableText"/>
              <w:spacing w:before="67" w:line="270" w:lineRule="auto"/>
              <w:ind w:left="10" w:right="76"/>
            </w:pPr>
            <w:r>
              <w:t>路口间协调相位开始时间之差，通过干线绿波路口信号配</w:t>
            </w:r>
            <w:r>
              <w:rPr>
                <w:spacing w:val="-1"/>
              </w:rPr>
              <w:t>时方案数据和干线绿波</w:t>
            </w:r>
            <w:r>
              <w:t xml:space="preserve"> </w:t>
            </w:r>
            <w:r>
              <w:rPr>
                <w:spacing w:val="-1"/>
              </w:rPr>
              <w:t>路段数据计算得到</w:t>
            </w:r>
          </w:p>
        </w:tc>
      </w:tr>
      <w:tr>
        <w:tblPrEx>
          <w:tblW w:w="9380" w:type="dxa"/>
          <w:tblInd w:w="7" w:type="dxa"/>
          <w:tblLayout w:type="fixed"/>
        </w:tblPrEx>
        <w:trPr>
          <w:trHeight w:val="315"/>
        </w:trPr>
        <w:tc>
          <w:tcPr>
            <w:tcW w:w="1435" w:type="dxa"/>
            <w:vMerge w:val="restart"/>
            <w:tcBorders>
              <w:left w:val="single" w:sz="6" w:space="0" w:color="000000"/>
              <w:bottom w:val="nil"/>
            </w:tcBorders>
            <w:vAlign w:val="top"/>
          </w:tcPr>
          <w:p>
            <w:pPr>
              <w:spacing w:line="243" w:lineRule="auto"/>
              <w:rPr>
                <w:rFonts w:ascii="Arial"/>
                <w:sz w:val="21"/>
              </w:rPr>
            </w:pPr>
          </w:p>
          <w:p>
            <w:pPr>
              <w:spacing w:line="243" w:lineRule="auto"/>
              <w:rPr>
                <w:rFonts w:ascii="Arial"/>
                <w:sz w:val="21"/>
              </w:rPr>
            </w:pPr>
          </w:p>
          <w:p>
            <w:pPr>
              <w:pStyle w:val="TableText"/>
              <w:spacing w:before="59" w:line="219" w:lineRule="auto"/>
              <w:ind w:left="87"/>
            </w:pPr>
            <w:r>
              <w:rPr>
                <w:spacing w:val="-1"/>
              </w:rPr>
              <w:t>干线绿波运行环</w:t>
            </w:r>
          </w:p>
          <w:p>
            <w:pPr>
              <w:pStyle w:val="TableText"/>
              <w:spacing w:before="98" w:line="220" w:lineRule="auto"/>
              <w:ind w:left="177"/>
            </w:pPr>
            <w:r>
              <w:rPr>
                <w:spacing w:val="-2"/>
              </w:rPr>
              <w:t>境的影响因素</w:t>
            </w:r>
          </w:p>
        </w:tc>
        <w:tc>
          <w:tcPr>
            <w:tcW w:w="1556" w:type="dxa"/>
            <w:vAlign w:val="top"/>
          </w:tcPr>
          <w:p>
            <w:pPr>
              <w:pStyle w:val="TableText"/>
              <w:spacing w:before="70" w:line="220" w:lineRule="auto"/>
              <w:ind w:left="419"/>
            </w:pPr>
            <w:r>
              <w:rPr>
                <w:spacing w:val="-2"/>
              </w:rPr>
              <w:t>路口间距</w:t>
            </w:r>
          </w:p>
        </w:tc>
        <w:tc>
          <w:tcPr>
            <w:tcW w:w="6389" w:type="dxa"/>
            <w:tcBorders>
              <w:right w:val="single" w:sz="6" w:space="0" w:color="000000"/>
            </w:tcBorders>
            <w:vAlign w:val="top"/>
          </w:tcPr>
          <w:p>
            <w:pPr>
              <w:pStyle w:val="TableText"/>
              <w:spacing w:before="70" w:line="219" w:lineRule="auto"/>
              <w:ind w:left="9"/>
            </w:pPr>
            <w:r>
              <w:rPr>
                <w:spacing w:val="-1"/>
              </w:rPr>
              <w:t>通过干线绿波路段数据直接获取</w:t>
            </w:r>
          </w:p>
        </w:tc>
      </w:tr>
      <w:tr>
        <w:tblPrEx>
          <w:tblW w:w="9380" w:type="dxa"/>
          <w:tblInd w:w="7" w:type="dxa"/>
          <w:tblLayout w:type="fixed"/>
        </w:tblPrEx>
        <w:trPr>
          <w:trHeight w:val="625"/>
        </w:trPr>
        <w:tc>
          <w:tcPr>
            <w:tcW w:w="1435" w:type="dxa"/>
            <w:vMerge/>
            <w:tcBorders>
              <w:top w:val="nil"/>
              <w:left w:val="single" w:sz="6" w:space="0" w:color="000000"/>
              <w:bottom w:val="nil"/>
            </w:tcBorders>
            <w:vAlign w:val="top"/>
          </w:tcPr>
          <w:p>
            <w:pPr>
              <w:rPr>
                <w:rFonts w:ascii="Arial"/>
                <w:sz w:val="21"/>
              </w:rPr>
            </w:pPr>
          </w:p>
        </w:tc>
        <w:tc>
          <w:tcPr>
            <w:tcW w:w="1556" w:type="dxa"/>
            <w:vAlign w:val="top"/>
          </w:tcPr>
          <w:p>
            <w:pPr>
              <w:pStyle w:val="TableText"/>
              <w:spacing w:before="227" w:line="220" w:lineRule="auto"/>
              <w:ind w:left="239"/>
            </w:pPr>
            <w:r>
              <w:rPr>
                <w:spacing w:val="-2"/>
              </w:rPr>
              <w:t>路段平均车速</w:t>
            </w:r>
          </w:p>
        </w:tc>
        <w:tc>
          <w:tcPr>
            <w:tcW w:w="6389" w:type="dxa"/>
            <w:tcBorders>
              <w:right w:val="single" w:sz="6" w:space="0" w:color="000000"/>
            </w:tcBorders>
            <w:vAlign w:val="top"/>
          </w:tcPr>
          <w:p>
            <w:pPr>
              <w:pStyle w:val="TableText"/>
              <w:spacing w:before="71" w:line="270" w:lineRule="auto"/>
              <w:ind w:left="8" w:right="76"/>
            </w:pPr>
            <w:r>
              <w:t>根据干线绿波路口过车数据、干线绿波路口信号运行状态数</w:t>
            </w:r>
            <w:r>
              <w:rPr>
                <w:spacing w:val="-1"/>
              </w:rPr>
              <w:t>据及干线绿波路段数</w:t>
            </w:r>
            <w:r>
              <w:t xml:space="preserve"> </w:t>
            </w:r>
            <w:r>
              <w:rPr>
                <w:spacing w:val="-2"/>
              </w:rPr>
              <w:t>据计算得到</w:t>
            </w:r>
          </w:p>
        </w:tc>
      </w:tr>
      <w:tr>
        <w:tblPrEx>
          <w:tblW w:w="9380" w:type="dxa"/>
          <w:tblInd w:w="7" w:type="dxa"/>
          <w:tblLayout w:type="fixed"/>
        </w:tblPrEx>
        <w:trPr>
          <w:trHeight w:val="642"/>
        </w:trPr>
        <w:tc>
          <w:tcPr>
            <w:tcW w:w="1435" w:type="dxa"/>
            <w:vMerge/>
            <w:tcBorders>
              <w:top w:val="nil"/>
              <w:left w:val="single" w:sz="6" w:space="0" w:color="000000"/>
              <w:bottom w:val="single" w:sz="6" w:space="0" w:color="000000"/>
            </w:tcBorders>
            <w:vAlign w:val="top"/>
          </w:tcPr>
          <w:p>
            <w:pPr>
              <w:rPr>
                <w:rFonts w:ascii="Arial"/>
                <w:sz w:val="21"/>
              </w:rPr>
            </w:pPr>
          </w:p>
        </w:tc>
        <w:tc>
          <w:tcPr>
            <w:tcW w:w="1556" w:type="dxa"/>
            <w:tcBorders>
              <w:bottom w:val="single" w:sz="6" w:space="0" w:color="000000"/>
            </w:tcBorders>
            <w:vAlign w:val="top"/>
          </w:tcPr>
          <w:p>
            <w:pPr>
              <w:pStyle w:val="TableText"/>
              <w:spacing w:before="231" w:line="219" w:lineRule="auto"/>
              <w:ind w:left="416"/>
            </w:pPr>
            <w:r>
              <w:rPr>
                <w:spacing w:val="-2"/>
              </w:rPr>
              <w:t>横向干扰</w:t>
            </w:r>
          </w:p>
        </w:tc>
        <w:tc>
          <w:tcPr>
            <w:tcW w:w="6389" w:type="dxa"/>
            <w:tcBorders>
              <w:bottom w:val="single" w:sz="6" w:space="0" w:color="000000"/>
              <w:right w:val="single" w:sz="6" w:space="0" w:color="000000"/>
            </w:tcBorders>
            <w:vAlign w:val="top"/>
          </w:tcPr>
          <w:p>
            <w:pPr>
              <w:pStyle w:val="TableText"/>
              <w:spacing w:before="76" w:line="269" w:lineRule="auto"/>
              <w:ind w:left="36" w:right="76" w:hanging="27"/>
            </w:pPr>
            <w:r>
              <w:t>根据干线绿波路段数据，统计绿波路段非路口处人行横道、</w:t>
            </w:r>
            <w:r>
              <w:rPr>
                <w:spacing w:val="-1"/>
              </w:rPr>
              <w:t>路段出入口以及掉头</w:t>
            </w:r>
            <w:r>
              <w:t xml:space="preserve"> </w:t>
            </w:r>
            <w:r>
              <w:rPr>
                <w:spacing w:val="-2"/>
              </w:rPr>
              <w:t>口数量，计算干线绿波横向干扰地点个数</w:t>
            </w:r>
          </w:p>
        </w:tc>
      </w:tr>
    </w:tbl>
    <w:p>
      <w:pPr>
        <w:pStyle w:val="BodyText"/>
        <w:spacing w:before="207" w:line="219" w:lineRule="auto"/>
        <w:ind w:left="22"/>
        <w:rPr>
          <w:sz w:val="21"/>
          <w:szCs w:val="21"/>
        </w:rPr>
      </w:pPr>
      <w:r>
        <w:rPr>
          <w:spacing w:val="-2"/>
          <w:sz w:val="21"/>
          <w:szCs w:val="21"/>
        </w:rPr>
        <w:t>5.2</w:t>
      </w:r>
      <w:r>
        <w:rPr>
          <w:spacing w:val="7"/>
          <w:sz w:val="21"/>
          <w:szCs w:val="21"/>
        </w:rPr>
        <w:t xml:space="preserve">  </w:t>
      </w:r>
      <w:r>
        <w:rPr>
          <w:spacing w:val="-2"/>
          <w:sz w:val="21"/>
          <w:szCs w:val="21"/>
        </w:rPr>
        <w:t>方法</w:t>
      </w:r>
    </w:p>
    <w:p>
      <w:pPr>
        <w:pStyle w:val="BodyText"/>
        <w:spacing w:before="219" w:line="220" w:lineRule="auto"/>
        <w:ind w:left="22"/>
        <w:rPr>
          <w:sz w:val="21"/>
          <w:szCs w:val="21"/>
        </w:rPr>
        <w:sectPr>
          <w:headerReference w:type="default" r:id="rId15"/>
          <w:footerReference w:type="default" r:id="rId16"/>
          <w:pgSz w:w="11907" w:h="16839"/>
          <w:pgMar w:top="400" w:right="1397" w:bottom="400" w:left="1113" w:header="0" w:footer="0" w:gutter="0"/>
          <w:pgNumType w:start="10"/>
          <w:cols w:space="708"/>
        </w:sectPr>
      </w:pPr>
      <w:r>
        <w:rPr>
          <w:sz w:val="21"/>
          <w:szCs w:val="21"/>
        </w:rPr>
        <w:t>5.2.1</w:t>
      </w:r>
      <w:r>
        <w:rPr>
          <w:sz w:val="21"/>
          <w:szCs w:val="21"/>
        </w:rPr>
        <w:t xml:space="preserve">  </w:t>
      </w:r>
      <w:r>
        <w:rPr>
          <w:sz w:val="21"/>
          <w:szCs w:val="21"/>
        </w:rPr>
        <w:t>计算周期</w:t>
      </w:r>
    </w:p>
    <w:p>
      <w:pPr>
        <w:spacing w:before="217" w:line="221" w:lineRule="auto"/>
        <w:ind w:left="471"/>
        <w:rPr>
          <w:rFonts w:ascii="SimSun" w:eastAsia="SimSun" w:hAnsi="SimSun" w:cs="SimSun"/>
          <w:sz w:val="21"/>
          <w:szCs w:val="21"/>
        </w:rPr>
      </w:pPr>
      <w:r>
        <w:rPr>
          <w:rFonts w:ascii="SimSun" w:eastAsia="SimSun" w:hAnsi="SimSun" w:cs="SimSun"/>
          <w:spacing w:val="-1"/>
          <w:sz w:val="21"/>
          <w:szCs w:val="21"/>
        </w:rPr>
        <w:t>以单个绿波路段单个计算周期为单位给出计算方法，单个计算周期应大于 15 min。</w:t>
      </w:r>
    </w:p>
    <w:p>
      <w:pPr>
        <w:pStyle w:val="BodyText"/>
        <w:spacing w:before="218" w:line="468" w:lineRule="exact"/>
        <w:ind w:left="22"/>
        <w:rPr>
          <w:sz w:val="21"/>
          <w:szCs w:val="21"/>
        </w:rPr>
      </w:pPr>
      <w:r>
        <w:rPr>
          <w:position w:val="19"/>
          <w:sz w:val="21"/>
          <w:szCs w:val="21"/>
        </w:rPr>
        <w:t>5.2.2</w:t>
      </w:r>
      <w:r>
        <w:rPr>
          <w:position w:val="19"/>
          <w:sz w:val="21"/>
          <w:szCs w:val="21"/>
        </w:rPr>
        <w:t xml:space="preserve">  </w:t>
      </w:r>
      <w:r>
        <w:rPr>
          <w:position w:val="19"/>
          <w:sz w:val="21"/>
          <w:szCs w:val="21"/>
        </w:rPr>
        <w:t>评价指标计算方法</w:t>
      </w:r>
    </w:p>
    <w:p>
      <w:pPr>
        <w:pStyle w:val="BodyText"/>
        <w:spacing w:line="220" w:lineRule="auto"/>
        <w:ind w:left="22"/>
        <w:rPr>
          <w:sz w:val="21"/>
          <w:szCs w:val="21"/>
        </w:rPr>
      </w:pPr>
      <w:hyperlink r:id="rId17" w:history="1">
        <w:r>
          <w:rPr>
            <w:sz w:val="21"/>
            <w:szCs w:val="21"/>
          </w:rPr>
          <w:t>5.2.2.1</w:t>
        </w:r>
      </w:hyperlink>
      <w:r>
        <w:rPr>
          <w:sz w:val="21"/>
          <w:szCs w:val="21"/>
        </w:rPr>
        <w:t xml:space="preserve">  </w:t>
      </w:r>
      <w:r>
        <w:rPr>
          <w:sz w:val="21"/>
          <w:szCs w:val="21"/>
        </w:rPr>
        <w:t>停车次数</w:t>
      </w:r>
    </w:p>
    <w:sdt>
      <w:sdtPr>
        <w:rPr>
          <w:rFonts w:ascii="SimSun" w:eastAsia="SimSun" w:hAnsi="SimSun" w:cs="SimSun"/>
          <w:sz w:val="21"/>
          <w:szCs w:val="21"/>
        </w:rPr>
        <w:id w:val="748807840"/>
        <w:docPartObj>
          <w:docPartGallery w:val="Table of Contents"/>
          <w:docPartUnique/>
        </w:docPartObj>
      </w:sdtPr>
      <w:sdtEndPr>
        <w:rPr>
          <w:rFonts w:ascii="Times New Roman" w:eastAsia="Times New Roman" w:hAnsi="Times New Roman" w:cs="Times New Roman"/>
          <w:sz w:val="21"/>
          <w:szCs w:val="21"/>
        </w:rPr>
      </w:sdtEndPr>
      <w:sdtContent>
        <w:p>
          <w:pPr>
            <w:spacing w:before="217" w:line="221" w:lineRule="auto"/>
            <w:ind w:left="449"/>
            <w:rPr>
              <w:rFonts w:ascii="SimSun" w:eastAsia="SimSun" w:hAnsi="SimSun" w:cs="SimSun"/>
              <w:sz w:val="21"/>
              <w:szCs w:val="21"/>
            </w:rPr>
          </w:pPr>
          <w:r>
            <w:rPr>
              <w:rFonts w:ascii="SimSun" w:eastAsia="SimSun" w:hAnsi="SimSun" w:cs="SimSun"/>
              <w:spacing w:val="-1"/>
              <w:sz w:val="21"/>
              <w:szCs w:val="21"/>
            </w:rPr>
            <w:t>车辆通过绿波路段不停车所需时间计算见公式（</w:t>
          </w:r>
          <w:r>
            <w:rPr>
              <w:rFonts w:ascii="Times New Roman" w:eastAsia="Times New Roman" w:hAnsi="Times New Roman" w:cs="Times New Roman"/>
              <w:spacing w:val="-1"/>
              <w:sz w:val="21"/>
              <w:szCs w:val="21"/>
            </w:rPr>
            <w:t>1</w:t>
          </w:r>
          <w:r>
            <w:rPr>
              <w:rFonts w:ascii="SimSun" w:eastAsia="SimSun" w:hAnsi="SimSun" w:cs="SimSun"/>
              <w:spacing w:val="-1"/>
              <w:sz w:val="21"/>
              <w:szCs w:val="21"/>
            </w:rPr>
            <w:t>）。</w:t>
          </w:r>
        </w:p>
        <w:p>
          <w:pPr>
            <w:tabs>
              <w:tab w:val="right" w:leader="dot" w:pos="9377"/>
            </w:tabs>
            <w:spacing w:before="119" w:line="241" w:lineRule="auto"/>
            <w:ind w:left="4174"/>
            <w:rPr>
              <w:rFonts w:ascii="Times New Roman" w:eastAsia="Times New Roman" w:hAnsi="Times New Roman" w:cs="Times New Roman"/>
              <w:sz w:val="21"/>
              <w:szCs w:val="21"/>
            </w:rPr>
          </w:pPr>
          <w:r>
            <w:rPr>
              <w:rFonts w:ascii="Cambria Math" w:eastAsia="Cambria Math" w:hAnsi="Cambria Math" w:cs="Cambria Math"/>
              <w:position w:val="2"/>
              <w:sz w:val="21"/>
              <w:szCs w:val="21"/>
            </w:rPr>
            <w:t>T</w:t>
          </w:r>
          <w:r>
            <w:rPr>
              <w:rFonts w:ascii="Cambria Math" w:eastAsia="Cambria Math" w:hAnsi="Cambria Math" w:cs="Cambria Math"/>
              <w:position w:val="-1"/>
              <w:sz w:val="15"/>
              <w:szCs w:val="15"/>
            </w:rPr>
            <w:t>min</w:t>
          </w:r>
          <w:r>
            <w:rPr>
              <w:rFonts w:ascii="Cambria Math" w:eastAsia="Cambria Math" w:hAnsi="Cambria Math" w:cs="Cambria Math"/>
              <w:spacing w:val="7"/>
              <w:position w:val="-1"/>
              <w:sz w:val="15"/>
              <w:szCs w:val="15"/>
            </w:rPr>
            <w:t xml:space="preserve">  </w:t>
          </w:r>
          <w:r>
            <w:rPr>
              <w:rFonts w:ascii="Cambria Math" w:eastAsia="Cambria Math" w:hAnsi="Cambria Math" w:cs="Cambria Math"/>
              <w:position w:val="2"/>
              <w:sz w:val="21"/>
              <w:szCs w:val="21"/>
            </w:rPr>
            <w:t>=</w:t>
          </w:r>
          <w:r>
            <w:rPr>
              <w:rFonts w:ascii="Cambria Math" w:eastAsia="Cambria Math" w:hAnsi="Cambria Math" w:cs="Cambria Math"/>
              <w:spacing w:val="16"/>
              <w:position w:val="2"/>
              <w:sz w:val="21"/>
              <w:szCs w:val="21"/>
            </w:rPr>
            <w:t xml:space="preserve"> </w:t>
          </w:r>
          <w:r>
            <w:rPr>
              <w:rFonts w:ascii="Cambria Math" w:eastAsia="Cambria Math" w:hAnsi="Cambria Math" w:cs="Cambria Math"/>
              <w:position w:val="-7"/>
              <w:sz w:val="15"/>
              <w:szCs w:val="15"/>
            </w:rPr>
            <w:t>V</w:t>
          </w:r>
          <w:r>
            <w:ruby>
              <w:rubyPr>
                <w:rubyAlign w:val="left"/>
                <w:hps w:val="15"/>
                <w:hpsRaise w:val="14"/>
                <w:hpsBaseText w:val="21"/>
              </w:rubyPr>
              <w:rt>
                <w:r>
                  <w:rPr>
                    <w:rFonts w:ascii="Cambria Math" w:eastAsia="Cambria Math" w:hAnsi="Cambria Math" w:cs="Cambria Math"/>
                    <w:w w:val="145"/>
                    <w:sz w:val="15"/>
                    <w:szCs w:val="15"/>
                  </w:rPr>
                  <w:t>L</w:t>
                </w:r>
              </w:rt>
              <w:rubyBase>
                <w:r>
                  <w:rPr>
                    <w:rFonts w:ascii="SimSun" w:eastAsia="SimSun" w:hAnsi="SimSun" w:cs="SimSun"/>
                    <w:position w:val="-14"/>
                    <w:sz w:val="12"/>
                    <w:szCs w:val="12"/>
                  </w:rPr>
                  <w:t>设</w:t>
                </w:r>
              </w:rubyBase>
            </w:ruby>
          </w:r>
          <w:r>
            <w:rPr>
              <w:rFonts w:ascii="SimSun" w:eastAsia="SimSun" w:hAnsi="SimSun" w:cs="SimSun"/>
              <w:position w:val="-14"/>
              <w:sz w:val="12"/>
              <w:szCs w:val="12"/>
            </w:rPr>
            <w:t>计</w:t>
          </w:r>
          <w:r>
            <w:rPr>
              <w:rFonts w:ascii="SimSun" w:eastAsia="SimSun" w:hAnsi="SimSun" w:cs="SimSun"/>
              <w:spacing w:val="7"/>
              <w:position w:val="-14"/>
              <w:sz w:val="12"/>
              <w:szCs w:val="12"/>
            </w:rPr>
            <w:t xml:space="preserve">  </w:t>
          </w:r>
          <w:r>
            <w:rPr>
              <w:rFonts w:ascii="SimSun" w:eastAsia="SimSun" w:hAnsi="SimSun" w:cs="SimSun"/>
              <w:sz w:val="12"/>
              <w:szCs w:val="12"/>
            </w:rPr>
            <w:tab/>
          </w:r>
          <w:r>
            <w:rPr>
              <w:rFonts w:ascii="Times New Roman" w:eastAsia="Times New Roman" w:hAnsi="Times New Roman" w:cs="Times New Roman"/>
              <w:spacing w:val="-20"/>
              <w:w w:val="92"/>
              <w:position w:val="2"/>
              <w:sz w:val="21"/>
              <w:szCs w:val="21"/>
            </w:rPr>
            <w:t>(</w:t>
          </w:r>
          <w:hyperlink w:anchor="bookmark1" w:history="1">
            <w:r>
              <w:rPr>
                <w:rFonts w:ascii="Times New Roman" w:eastAsia="Times New Roman" w:hAnsi="Times New Roman" w:cs="Times New Roman"/>
                <w:spacing w:val="-20"/>
                <w:w w:val="92"/>
                <w:position w:val="2"/>
                <w:sz w:val="21"/>
                <w:szCs w:val="21"/>
              </w:rPr>
              <w:t>1</w:t>
            </w:r>
          </w:hyperlink>
          <w:r>
            <w:rPr>
              <w:rFonts w:ascii="Times New Roman" w:eastAsia="Times New Roman" w:hAnsi="Times New Roman" w:cs="Times New Roman"/>
              <w:spacing w:val="-20"/>
              <w:w w:val="92"/>
              <w:position w:val="2"/>
              <w:sz w:val="21"/>
              <w:szCs w:val="21"/>
            </w:rPr>
            <w:t>)</w:t>
          </w:r>
        </w:p>
      </w:sdtContent>
    </w:sdt>
    <w:p>
      <w:pPr>
        <w:spacing w:line="241" w:lineRule="auto"/>
        <w:rPr>
          <w:rFonts w:ascii="Times New Roman" w:eastAsia="Times New Roman" w:hAnsi="Times New Roman" w:cs="Times New Roman"/>
          <w:sz w:val="21"/>
          <w:szCs w:val="21"/>
        </w:rPr>
        <w:sectPr>
          <w:headerReference w:type="default" r:id="rId18"/>
          <w:footerReference w:type="default" r:id="rId19"/>
          <w:type w:val="nextPage"/>
          <w:pgSz w:w="11907" w:h="16839"/>
          <w:pgMar w:top="400" w:right="1397" w:bottom="400" w:left="1113" w:header="0" w:footer="0" w:gutter="0"/>
          <w:pgNumType w:start="11"/>
          <w:cols w:space="708"/>
          <w:titlePg w:val="0"/>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68" w:line="221" w:lineRule="auto"/>
        <w:ind w:left="429"/>
        <w:rPr>
          <w:rFonts w:ascii="SimSun" w:eastAsia="SimSun" w:hAnsi="SimSun" w:cs="SimSun"/>
          <w:sz w:val="21"/>
          <w:szCs w:val="21"/>
        </w:rPr>
      </w:pPr>
      <w:r>
        <w:rPr>
          <w:rFonts w:ascii="SimSun" w:eastAsia="SimSun" w:hAnsi="SimSun" w:cs="SimSun"/>
          <w:spacing w:val="-13"/>
          <w:sz w:val="21"/>
          <w:szCs w:val="21"/>
        </w:rPr>
        <w:t>式中：</w:t>
      </w:r>
    </w:p>
    <w:p>
      <w:pPr>
        <w:spacing w:before="62" w:line="312" w:lineRule="exact"/>
        <w:ind w:left="422"/>
        <w:rPr>
          <w:rFonts w:ascii="SimSun" w:eastAsia="SimSun" w:hAnsi="SimSun" w:cs="SimSun"/>
          <w:sz w:val="21"/>
          <w:szCs w:val="21"/>
        </w:rPr>
      </w:pPr>
      <w:r>
        <w:rPr>
          <w:rFonts w:ascii="Times New Roman" w:eastAsia="Times New Roman" w:hAnsi="Times New Roman" w:cs="Times New Roman"/>
          <w:position w:val="5"/>
          <w:sz w:val="21"/>
          <w:szCs w:val="21"/>
        </w:rPr>
        <w:t>T</w:t>
      </w:r>
      <w:r>
        <w:rPr>
          <w:rFonts w:ascii="Times New Roman" w:eastAsia="Times New Roman" w:hAnsi="Times New Roman" w:cs="Times New Roman"/>
          <w:position w:val="3"/>
          <w:sz w:val="13"/>
          <w:szCs w:val="13"/>
        </w:rPr>
        <w:t>min</w:t>
      </w:r>
      <w:r>
        <w:rPr>
          <w:rFonts w:ascii="Times New Roman" w:eastAsia="Times New Roman" w:hAnsi="Times New Roman" w:cs="Times New Roman"/>
          <w:position w:val="5"/>
          <w:sz w:val="21"/>
          <w:szCs w:val="21"/>
        </w:rPr>
        <w:t>——</w:t>
      </w:r>
      <w:r>
        <w:rPr>
          <w:rFonts w:ascii="SimSun" w:eastAsia="SimSun" w:hAnsi="SimSun" w:cs="SimSun"/>
          <w:position w:val="5"/>
          <w:sz w:val="21"/>
          <w:szCs w:val="21"/>
        </w:rPr>
        <w:t>车辆通过绿波路段不停车所需时间；</w:t>
      </w:r>
    </w:p>
    <w:p>
      <w:pPr>
        <w:spacing w:line="220" w:lineRule="auto"/>
        <w:ind w:left="420"/>
        <w:rPr>
          <w:rFonts w:ascii="SimSun" w:eastAsia="SimSun" w:hAnsi="SimSun" w:cs="SimSun"/>
          <w:sz w:val="21"/>
          <w:szCs w:val="21"/>
        </w:rPr>
      </w:pPr>
      <w:r>
        <w:rPr>
          <w:rFonts w:ascii="Times New Roman" w:eastAsia="Times New Roman" w:hAnsi="Times New Roman" w:cs="Times New Roman"/>
          <w:spacing w:val="-1"/>
          <w:sz w:val="21"/>
          <w:szCs w:val="21"/>
        </w:rPr>
        <w:t>L——</w:t>
      </w:r>
      <w:r>
        <w:rPr>
          <w:rFonts w:ascii="SimSun" w:eastAsia="SimSun" w:hAnsi="SimSun" w:cs="SimSun"/>
          <w:spacing w:val="-1"/>
          <w:sz w:val="21"/>
          <w:szCs w:val="21"/>
        </w:rPr>
        <w:t>绿波路段长度；</w:t>
      </w:r>
    </w:p>
    <w:p>
      <w:pPr>
        <w:spacing w:before="61" w:line="221" w:lineRule="auto"/>
        <w:ind w:left="418"/>
        <w:rPr>
          <w:rFonts w:ascii="SimSun" w:eastAsia="SimSun" w:hAnsi="SimSun" w:cs="SimSun"/>
          <w:sz w:val="21"/>
          <w:szCs w:val="21"/>
        </w:rPr>
      </w:pPr>
      <w:r>
        <w:rPr>
          <w:rFonts w:ascii="Times New Roman" w:eastAsia="Times New Roman" w:hAnsi="Times New Roman" w:cs="Times New Roman"/>
          <w:sz w:val="21"/>
          <w:szCs w:val="21"/>
        </w:rPr>
        <w:t>V</w:t>
      </w:r>
      <w:r>
        <w:rPr>
          <w:rFonts w:ascii="SimSun" w:eastAsia="SimSun" w:hAnsi="SimSun" w:cs="SimSun"/>
          <w:sz w:val="11"/>
          <w:szCs w:val="11"/>
        </w:rPr>
        <w:t>设计</w:t>
      </w:r>
      <w:r>
        <w:rPr>
          <w:rFonts w:ascii="Times New Roman" w:eastAsia="Times New Roman" w:hAnsi="Times New Roman" w:cs="Times New Roman"/>
          <w:sz w:val="21"/>
          <w:szCs w:val="21"/>
        </w:rPr>
        <w:t>——</w:t>
      </w:r>
      <w:r>
        <w:rPr>
          <w:rFonts w:ascii="SimSun" w:eastAsia="SimSun" w:hAnsi="SimSun" w:cs="SimSun"/>
          <w:sz w:val="21"/>
          <w:szCs w:val="21"/>
        </w:rPr>
        <w:t>绿波设计速度。</w:t>
      </w:r>
    </w:p>
    <w:sdt>
      <w:sdtPr>
        <w:rPr>
          <w:rFonts w:ascii="SimSun" w:eastAsia="SimSun" w:hAnsi="SimSun" w:cs="SimSun"/>
          <w:sz w:val="21"/>
          <w:szCs w:val="21"/>
        </w:rPr>
        <w:id w:val="544987467"/>
        <w:docPartObj>
          <w:docPartGallery w:val="Table of Contents"/>
          <w:docPartUnique/>
        </w:docPartObj>
      </w:sdtPr>
      <w:sdtEndPr>
        <w:rPr>
          <w:rFonts w:ascii="Times New Roman" w:eastAsia="Times New Roman" w:hAnsi="Times New Roman" w:cs="Times New Roman"/>
          <w:sz w:val="21"/>
          <w:szCs w:val="21"/>
        </w:rPr>
      </w:sdtEndPr>
      <w:sdtContent>
        <w:p>
          <w:pPr>
            <w:spacing w:before="61" w:line="234" w:lineRule="auto"/>
            <w:ind w:left="426"/>
            <w:rPr>
              <w:rFonts w:ascii="SimSun" w:eastAsia="SimSun" w:hAnsi="SimSun" w:cs="SimSun"/>
              <w:sz w:val="21"/>
              <w:szCs w:val="21"/>
            </w:rPr>
          </w:pPr>
          <w:r>
            <w:rPr>
              <w:rFonts w:ascii="SimSun" w:eastAsia="SimSun" w:hAnsi="SimSun" w:cs="SimSun"/>
              <w:spacing w:val="-2"/>
              <w:sz w:val="21"/>
              <w:szCs w:val="21"/>
            </w:rPr>
            <w:t>车辆</w:t>
          </w:r>
          <w:r>
            <w:rPr>
              <w:rFonts w:ascii="SimSun" w:eastAsia="SimSun" w:hAnsi="SimSun" w:cs="SimSun"/>
              <w:spacing w:val="-32"/>
              <w:sz w:val="21"/>
              <w:szCs w:val="21"/>
            </w:rPr>
            <w:t xml:space="preserve"> </w:t>
          </w:r>
          <w:r>
            <w:rPr>
              <w:rFonts w:ascii="Times New Roman" w:eastAsia="Times New Roman" w:hAnsi="Times New Roman" w:cs="Times New Roman"/>
              <w:spacing w:val="-2"/>
              <w:sz w:val="21"/>
              <w:szCs w:val="21"/>
            </w:rPr>
            <w:t xml:space="preserve">e </w:t>
          </w:r>
          <w:r>
            <w:rPr>
              <w:rFonts w:ascii="SimSun" w:eastAsia="SimSun" w:hAnsi="SimSun" w:cs="SimSun"/>
              <w:spacing w:val="-2"/>
              <w:sz w:val="21"/>
              <w:szCs w:val="21"/>
            </w:rPr>
            <w:t>通过绿波路段的时间计算见公式（</w:t>
          </w:r>
          <w:r>
            <w:rPr>
              <w:rFonts w:ascii="Times New Roman" w:eastAsia="Times New Roman" w:hAnsi="Times New Roman" w:cs="Times New Roman"/>
              <w:spacing w:val="-2"/>
              <w:sz w:val="21"/>
              <w:szCs w:val="21"/>
            </w:rPr>
            <w:t>2</w:t>
          </w:r>
          <w:r>
            <w:rPr>
              <w:rFonts w:ascii="SimSun" w:eastAsia="SimSun" w:hAnsi="SimSun" w:cs="SimSun"/>
              <w:spacing w:val="-2"/>
              <w:sz w:val="21"/>
              <w:szCs w:val="21"/>
            </w:rPr>
            <w:t>）。</w:t>
          </w:r>
        </w:p>
        <w:p>
          <w:pPr>
            <w:tabs>
              <w:tab w:val="right" w:leader="dot" w:pos="9354"/>
            </w:tabs>
            <w:spacing w:before="183" w:line="239" w:lineRule="auto"/>
            <w:ind w:left="3788"/>
            <w:rPr>
              <w:rFonts w:ascii="Times New Roman" w:eastAsia="Times New Roman" w:hAnsi="Times New Roman" w:cs="Times New Roman"/>
              <w:sz w:val="21"/>
              <w:szCs w:val="21"/>
            </w:rPr>
          </w:pPr>
          <w:r>
            <w:rPr>
              <w:rFonts w:ascii="Cambria Math" w:eastAsia="Cambria Math" w:hAnsi="Cambria Math" w:cs="Cambria Math"/>
              <w:spacing w:val="-7"/>
              <w:position w:val="2"/>
              <w:sz w:val="21"/>
              <w:szCs w:val="21"/>
            </w:rPr>
            <w:t>T</w:t>
          </w:r>
          <w:r>
            <w:rPr>
              <w:rFonts w:ascii="Cambria Math" w:eastAsia="Cambria Math" w:hAnsi="Cambria Math" w:cs="Cambria Math"/>
              <w:spacing w:val="-7"/>
              <w:position w:val="-1"/>
              <w:sz w:val="15"/>
              <w:szCs w:val="15"/>
            </w:rPr>
            <w:t>e</w:t>
          </w:r>
          <w:r>
            <w:rPr>
              <w:rFonts w:ascii="Cambria Math" w:eastAsia="Cambria Math" w:hAnsi="Cambria Math" w:cs="Cambria Math"/>
              <w:spacing w:val="9"/>
              <w:position w:val="-1"/>
              <w:sz w:val="15"/>
              <w:szCs w:val="15"/>
            </w:rPr>
            <w:t xml:space="preserve">  </w:t>
          </w:r>
          <w:r>
            <w:rPr>
              <w:rFonts w:ascii="Cambria Math" w:eastAsia="Cambria Math" w:hAnsi="Cambria Math" w:cs="Cambria Math"/>
              <w:spacing w:val="-7"/>
              <w:position w:val="2"/>
              <w:sz w:val="21"/>
              <w:szCs w:val="21"/>
            </w:rPr>
            <w:t>=</w:t>
          </w:r>
          <w:r>
            <w:rPr>
              <w:rFonts w:ascii="Cambria Math" w:eastAsia="Cambria Math" w:hAnsi="Cambria Math" w:cs="Cambria Math"/>
              <w:spacing w:val="19"/>
              <w:position w:val="2"/>
              <w:sz w:val="21"/>
              <w:szCs w:val="21"/>
            </w:rPr>
            <w:t xml:space="preserve"> </w:t>
          </w:r>
          <w:r>
            <w:rPr>
              <w:rFonts w:ascii="Cambria Math" w:eastAsia="Cambria Math" w:hAnsi="Cambria Math" w:cs="Cambria Math"/>
              <w:spacing w:val="-7"/>
              <w:position w:val="2"/>
              <w:sz w:val="21"/>
              <w:szCs w:val="21"/>
            </w:rPr>
            <w:t>T</w:t>
          </w:r>
          <w:r>
            <w:rPr>
              <w:rFonts w:ascii="Cambria Math" w:eastAsia="Cambria Math" w:hAnsi="Cambria Math" w:cs="Cambria Math"/>
              <w:spacing w:val="-7"/>
              <w:position w:val="-4"/>
              <w:sz w:val="15"/>
              <w:szCs w:val="15"/>
            </w:rPr>
            <w:t>e</w:t>
          </w:r>
          <w:r>
            <w:rPr>
              <w:rFonts w:ascii="Cambria Math" w:eastAsia="Cambria Math" w:hAnsi="Cambria Math" w:cs="Cambria Math"/>
              <w:spacing w:val="16"/>
              <w:w w:val="101"/>
              <w:position w:val="-4"/>
              <w:sz w:val="15"/>
              <w:szCs w:val="15"/>
            </w:rPr>
            <w:t xml:space="preserve"> </w:t>
          </w:r>
          <w:r>
            <w:rPr>
              <w:rFonts w:ascii="SimSun" w:eastAsia="SimSun" w:hAnsi="SimSun" w:cs="SimSun"/>
              <w:spacing w:val="-7"/>
              <w:position w:val="-4"/>
              <w:sz w:val="15"/>
              <w:szCs w:val="15"/>
            </w:rPr>
            <w:t xml:space="preserve">下游 </w:t>
          </w:r>
          <w:r>
            <w:rPr>
              <w:rFonts w:ascii="Cambria Math" w:eastAsia="Cambria Math" w:hAnsi="Cambria Math" w:cs="Cambria Math"/>
              <w:spacing w:val="-7"/>
              <w:position w:val="2"/>
              <w:sz w:val="21"/>
              <w:szCs w:val="21"/>
            </w:rPr>
            <w:t>− T</w:t>
          </w:r>
          <w:r>
            <w:rPr>
              <w:rFonts w:ascii="Cambria Math" w:eastAsia="Cambria Math" w:hAnsi="Cambria Math" w:cs="Cambria Math"/>
              <w:spacing w:val="-7"/>
              <w:position w:val="-4"/>
              <w:sz w:val="15"/>
              <w:szCs w:val="15"/>
            </w:rPr>
            <w:t>e</w:t>
          </w:r>
          <w:r>
            <w:rPr>
              <w:rFonts w:ascii="Cambria Math" w:eastAsia="Cambria Math" w:hAnsi="Cambria Math" w:cs="Cambria Math"/>
              <w:spacing w:val="13"/>
              <w:w w:val="101"/>
              <w:position w:val="-4"/>
              <w:sz w:val="15"/>
              <w:szCs w:val="15"/>
            </w:rPr>
            <w:t xml:space="preserve"> </w:t>
          </w:r>
          <w:r>
            <w:rPr>
              <w:rFonts w:ascii="SimSun" w:eastAsia="SimSun" w:hAnsi="SimSun" w:cs="SimSun"/>
              <w:spacing w:val="-7"/>
              <w:position w:val="-4"/>
              <w:sz w:val="15"/>
              <w:szCs w:val="15"/>
            </w:rPr>
            <w:t xml:space="preserve">上游 </w:t>
          </w:r>
          <w:r>
            <w:rPr>
              <w:rFonts w:ascii="SimSun" w:eastAsia="SimSun" w:hAnsi="SimSun" w:cs="SimSun"/>
              <w:sz w:val="15"/>
              <w:szCs w:val="15"/>
            </w:rPr>
            <w:tab/>
          </w:r>
          <w:r>
            <w:rPr>
              <w:rFonts w:ascii="Times New Roman" w:eastAsia="Times New Roman" w:hAnsi="Times New Roman" w:cs="Times New Roman"/>
              <w:spacing w:val="-7"/>
              <w:w w:val="79"/>
              <w:position w:val="2"/>
              <w:sz w:val="21"/>
              <w:szCs w:val="21"/>
            </w:rPr>
            <w:t>(</w:t>
          </w:r>
          <w:hyperlink w:anchor="bookmark2" w:history="1">
            <w:r>
              <w:rPr>
                <w:rFonts w:ascii="Times New Roman" w:eastAsia="Times New Roman" w:hAnsi="Times New Roman" w:cs="Times New Roman"/>
                <w:spacing w:val="-7"/>
                <w:w w:val="79"/>
                <w:position w:val="2"/>
                <w:sz w:val="21"/>
                <w:szCs w:val="21"/>
              </w:rPr>
              <w:t>2</w:t>
            </w:r>
          </w:hyperlink>
          <w:r>
            <w:rPr>
              <w:rFonts w:ascii="Times New Roman" w:eastAsia="Times New Roman" w:hAnsi="Times New Roman" w:cs="Times New Roman"/>
              <w:spacing w:val="-7"/>
              <w:w w:val="79"/>
              <w:position w:val="2"/>
              <w:sz w:val="21"/>
              <w:szCs w:val="21"/>
            </w:rPr>
            <w:t>)</w:t>
          </w:r>
        </w:p>
      </w:sdtContent>
    </w:sdt>
    <w:p>
      <w:pPr>
        <w:spacing w:before="240" w:line="221" w:lineRule="auto"/>
        <w:ind w:left="429"/>
        <w:rPr>
          <w:rFonts w:ascii="SimSun" w:eastAsia="SimSun" w:hAnsi="SimSun" w:cs="SimSun"/>
          <w:sz w:val="21"/>
          <w:szCs w:val="21"/>
        </w:rPr>
      </w:pPr>
      <w:r>
        <w:rPr>
          <w:rFonts w:ascii="SimSun" w:eastAsia="SimSun" w:hAnsi="SimSun" w:cs="SimSun"/>
          <w:spacing w:val="-13"/>
          <w:sz w:val="21"/>
          <w:szCs w:val="21"/>
        </w:rPr>
        <w:t>式中：</w:t>
      </w:r>
    </w:p>
    <w:p>
      <w:pPr>
        <w:spacing w:before="63" w:line="239" w:lineRule="auto"/>
        <w:ind w:left="422"/>
        <w:rPr>
          <w:rFonts w:ascii="SimSun" w:eastAsia="SimSun" w:hAnsi="SimSun" w:cs="SimSun"/>
          <w:sz w:val="21"/>
          <w:szCs w:val="21"/>
        </w:rPr>
      </w:pPr>
      <w:r>
        <w:rPr>
          <w:rFonts w:ascii="Times New Roman" w:eastAsia="Times New Roman" w:hAnsi="Times New Roman" w:cs="Times New Roman"/>
          <w:sz w:val="21"/>
          <w:szCs w:val="21"/>
        </w:rPr>
        <w:t>T</w:t>
      </w:r>
      <w:r>
        <w:rPr>
          <w:rFonts w:ascii="Times New Roman" w:eastAsia="Times New Roman" w:hAnsi="Times New Roman" w:cs="Times New Roman"/>
          <w:position w:val="-3"/>
          <w:sz w:val="13"/>
          <w:szCs w:val="13"/>
        </w:rPr>
        <w:t>e</w:t>
      </w:r>
      <w:r>
        <w:rPr>
          <w:rFonts w:ascii="Times New Roman" w:eastAsia="Times New Roman" w:hAnsi="Times New Roman" w:cs="Times New Roman"/>
          <w:sz w:val="21"/>
          <w:szCs w:val="21"/>
        </w:rPr>
        <w:t>——</w:t>
      </w:r>
      <w:r>
        <w:rPr>
          <w:rFonts w:ascii="SimSun" w:eastAsia="SimSun" w:hAnsi="SimSun" w:cs="SimSun"/>
          <w:sz w:val="21"/>
          <w:szCs w:val="21"/>
        </w:rPr>
        <w:t>车辆</w:t>
      </w:r>
      <w:r>
        <w:rPr>
          <w:rFonts w:ascii="Times New Roman" w:eastAsia="Times New Roman" w:hAnsi="Times New Roman" w:cs="Times New Roman"/>
          <w:sz w:val="21"/>
          <w:szCs w:val="21"/>
        </w:rPr>
        <w:t>e</w:t>
      </w:r>
      <w:r>
        <w:rPr>
          <w:rFonts w:ascii="SimSun" w:eastAsia="SimSun" w:hAnsi="SimSun" w:cs="SimSun"/>
          <w:sz w:val="21"/>
          <w:szCs w:val="21"/>
        </w:rPr>
        <w:t>通过绿波路段的时间；</w:t>
      </w:r>
    </w:p>
    <w:p>
      <w:pPr>
        <w:spacing w:before="40" w:line="312" w:lineRule="exact"/>
        <w:ind w:left="422"/>
        <w:rPr>
          <w:rFonts w:ascii="SimSun" w:eastAsia="SimSun" w:hAnsi="SimSun" w:cs="SimSun"/>
          <w:sz w:val="21"/>
          <w:szCs w:val="21"/>
        </w:rPr>
      </w:pPr>
      <w:r>
        <w:rPr>
          <w:rFonts w:ascii="Times New Roman" w:eastAsia="Times New Roman" w:hAnsi="Times New Roman" w:cs="Times New Roman"/>
          <w:position w:val="5"/>
          <w:sz w:val="21"/>
          <w:szCs w:val="21"/>
        </w:rPr>
        <w:t>T</w:t>
      </w:r>
      <w:r>
        <w:rPr>
          <w:rFonts w:ascii="Times New Roman" w:eastAsia="Times New Roman" w:hAnsi="Times New Roman" w:cs="Times New Roman"/>
          <w:position w:val="4"/>
          <w:sz w:val="13"/>
          <w:szCs w:val="13"/>
        </w:rPr>
        <w:t>e</w:t>
      </w:r>
      <w:r>
        <w:rPr>
          <w:rFonts w:ascii="SimSun" w:eastAsia="SimSun" w:hAnsi="SimSun" w:cs="SimSun"/>
          <w:position w:val="4"/>
          <w:sz w:val="11"/>
          <w:szCs w:val="11"/>
        </w:rPr>
        <w:t>上游</w:t>
      </w:r>
      <w:r>
        <w:rPr>
          <w:rFonts w:ascii="Times New Roman" w:eastAsia="Times New Roman" w:hAnsi="Times New Roman" w:cs="Times New Roman"/>
          <w:position w:val="5"/>
          <w:sz w:val="21"/>
          <w:szCs w:val="21"/>
        </w:rPr>
        <w:t>——</w:t>
      </w:r>
      <w:r>
        <w:rPr>
          <w:rFonts w:ascii="SimSun" w:eastAsia="SimSun" w:hAnsi="SimSun" w:cs="SimSun"/>
          <w:position w:val="5"/>
          <w:sz w:val="21"/>
          <w:szCs w:val="21"/>
        </w:rPr>
        <w:t>车辆</w:t>
      </w:r>
      <w:r>
        <w:rPr>
          <w:rFonts w:ascii="Times New Roman" w:eastAsia="Times New Roman" w:hAnsi="Times New Roman" w:cs="Times New Roman"/>
          <w:position w:val="5"/>
          <w:sz w:val="21"/>
          <w:szCs w:val="21"/>
        </w:rPr>
        <w:t>e</w:t>
      </w:r>
      <w:r>
        <w:rPr>
          <w:rFonts w:ascii="SimSun" w:eastAsia="SimSun" w:hAnsi="SimSun" w:cs="SimSun"/>
          <w:position w:val="5"/>
          <w:sz w:val="21"/>
          <w:szCs w:val="21"/>
        </w:rPr>
        <w:t>在上游路口的过车时间；</w:t>
      </w:r>
    </w:p>
    <w:p>
      <w:pPr>
        <w:spacing w:line="283" w:lineRule="exact"/>
        <w:ind w:left="422"/>
        <w:rPr>
          <w:rFonts w:ascii="SimSun" w:eastAsia="SimSun" w:hAnsi="SimSun" w:cs="SimSun"/>
          <w:sz w:val="21"/>
          <w:szCs w:val="21"/>
        </w:rPr>
      </w:pPr>
      <w:r>
        <w:rPr>
          <w:rFonts w:ascii="Times New Roman" w:eastAsia="Times New Roman" w:hAnsi="Times New Roman" w:cs="Times New Roman"/>
          <w:position w:val="1"/>
          <w:sz w:val="21"/>
          <w:szCs w:val="21"/>
        </w:rPr>
        <w:t>T</w:t>
      </w:r>
      <w:r>
        <w:rPr>
          <w:rFonts w:ascii="Times New Roman" w:eastAsia="Times New Roman" w:hAnsi="Times New Roman" w:cs="Times New Roman"/>
          <w:sz w:val="13"/>
          <w:szCs w:val="13"/>
        </w:rPr>
        <w:t>e</w:t>
      </w:r>
      <w:r>
        <w:rPr>
          <w:rFonts w:ascii="SimSun" w:eastAsia="SimSun" w:hAnsi="SimSun" w:cs="SimSun"/>
          <w:sz w:val="11"/>
          <w:szCs w:val="11"/>
        </w:rPr>
        <w:t>下游</w:t>
      </w:r>
      <w:r>
        <w:rPr>
          <w:rFonts w:ascii="Times New Roman" w:eastAsia="Times New Roman" w:hAnsi="Times New Roman" w:cs="Times New Roman"/>
          <w:position w:val="1"/>
          <w:sz w:val="21"/>
          <w:szCs w:val="21"/>
        </w:rPr>
        <w:t>——</w:t>
      </w:r>
      <w:r>
        <w:rPr>
          <w:rFonts w:ascii="SimSun" w:eastAsia="SimSun" w:hAnsi="SimSun" w:cs="SimSun"/>
          <w:position w:val="1"/>
          <w:sz w:val="21"/>
          <w:szCs w:val="21"/>
        </w:rPr>
        <w:t>车辆</w:t>
      </w:r>
      <w:r>
        <w:rPr>
          <w:rFonts w:ascii="Times New Roman" w:eastAsia="Times New Roman" w:hAnsi="Times New Roman" w:cs="Times New Roman"/>
          <w:position w:val="1"/>
          <w:sz w:val="21"/>
          <w:szCs w:val="21"/>
        </w:rPr>
        <w:t>e</w:t>
      </w:r>
      <w:r>
        <w:rPr>
          <w:rFonts w:ascii="SimSun" w:eastAsia="SimSun" w:hAnsi="SimSun" w:cs="SimSun"/>
          <w:position w:val="1"/>
          <w:sz w:val="21"/>
          <w:szCs w:val="21"/>
        </w:rPr>
        <w:t>在下游路口的过车时间。</w:t>
      </w:r>
    </w:p>
    <w:p>
      <w:pPr>
        <w:spacing w:before="30" w:line="239" w:lineRule="auto"/>
        <w:ind w:left="426"/>
        <w:rPr>
          <w:rFonts w:ascii="SimSun" w:eastAsia="SimSun" w:hAnsi="SimSun" w:cs="SimSun"/>
          <w:sz w:val="21"/>
          <w:szCs w:val="21"/>
        </w:rPr>
      </w:pPr>
      <w:r>
        <w:rPr>
          <w:rFonts w:ascii="SimSun" w:eastAsia="SimSun" w:hAnsi="SimSun" w:cs="SimSun"/>
          <w:spacing w:val="-1"/>
          <w:sz w:val="21"/>
          <w:szCs w:val="21"/>
        </w:rPr>
        <w:t>车辆</w:t>
      </w:r>
      <w:r>
        <w:rPr>
          <w:rFonts w:ascii="Times New Roman" w:eastAsia="Times New Roman" w:hAnsi="Times New Roman" w:cs="Times New Roman"/>
          <w:spacing w:val="-1"/>
          <w:sz w:val="21"/>
          <w:szCs w:val="21"/>
        </w:rPr>
        <w:t>e</w:t>
      </w:r>
      <w:r>
        <w:rPr>
          <w:rFonts w:ascii="SimSun" w:eastAsia="SimSun" w:hAnsi="SimSun" w:cs="SimSun"/>
          <w:spacing w:val="-1"/>
          <w:sz w:val="21"/>
          <w:szCs w:val="21"/>
        </w:rPr>
        <w:t>在绿波路段的停车次数</w:t>
      </w:r>
      <w:r>
        <w:rPr>
          <w:rFonts w:ascii="Times New Roman" w:eastAsia="Times New Roman" w:hAnsi="Times New Roman" w:cs="Times New Roman"/>
          <w:spacing w:val="-1"/>
          <w:sz w:val="21"/>
          <w:szCs w:val="21"/>
        </w:rPr>
        <w:t>S</w:t>
      </w:r>
      <w:r>
        <w:rPr>
          <w:rFonts w:ascii="Times New Roman" w:eastAsia="Times New Roman" w:hAnsi="Times New Roman" w:cs="Times New Roman"/>
          <w:spacing w:val="-1"/>
          <w:position w:val="-3"/>
          <w:sz w:val="13"/>
          <w:szCs w:val="13"/>
        </w:rPr>
        <w:t>e</w:t>
      </w:r>
      <w:r>
        <w:rPr>
          <w:rFonts w:ascii="SimSun" w:eastAsia="SimSun" w:hAnsi="SimSun" w:cs="SimSun"/>
          <w:spacing w:val="-1"/>
          <w:sz w:val="21"/>
          <w:szCs w:val="21"/>
        </w:rPr>
        <w:t>计算见公式（</w:t>
      </w:r>
      <w:r>
        <w:rPr>
          <w:rFonts w:ascii="Times New Roman" w:eastAsia="Times New Roman" w:hAnsi="Times New Roman" w:cs="Times New Roman"/>
          <w:spacing w:val="-1"/>
          <w:sz w:val="21"/>
          <w:szCs w:val="21"/>
        </w:rPr>
        <w:t>3</w:t>
      </w:r>
      <w:r>
        <w:rPr>
          <w:rFonts w:ascii="SimSun" w:eastAsia="SimSun" w:hAnsi="SimSun" w:cs="SimSun"/>
          <w:spacing w:val="-1"/>
          <w:sz w:val="21"/>
          <w:szCs w:val="21"/>
        </w:rPr>
        <w:t>）。</w:t>
      </w:r>
    </w:p>
    <w:p>
      <w:pPr>
        <w:spacing w:before="31" w:line="593" w:lineRule="exact"/>
        <w:jc w:val="right"/>
        <w:rPr>
          <w:rFonts w:ascii="Times New Roman" w:eastAsia="Times New Roman" w:hAnsi="Times New Roman" w:cs="Times New Roman"/>
          <w:sz w:val="21"/>
          <w:szCs w:val="21"/>
        </w:rPr>
      </w:pPr>
      <w:r>
        <w:rPr>
          <w:rFonts w:ascii="Cambria Math" w:eastAsia="Cambria Math" w:hAnsi="Cambria Math" w:cs="Cambria Math"/>
          <w:position w:val="16"/>
          <w:sz w:val="21"/>
          <w:szCs w:val="21"/>
        </w:rPr>
        <w:t>s</w:t>
      </w:r>
      <w:r>
        <w:rPr>
          <w:rFonts w:ascii="Cambria Math" w:eastAsia="Cambria Math" w:hAnsi="Cambria Math" w:cs="Cambria Math"/>
          <w:position w:val="10"/>
          <w:sz w:val="15"/>
          <w:szCs w:val="15"/>
        </w:rPr>
        <w:t xml:space="preserve">e  </w:t>
      </w:r>
      <w:r>
        <w:rPr>
          <w:rFonts w:ascii="Cambria Math" w:eastAsia="Cambria Math" w:hAnsi="Cambria Math" w:cs="Cambria Math"/>
          <w:position w:val="16"/>
          <w:sz w:val="21"/>
          <w:szCs w:val="21"/>
        </w:rPr>
        <w:t>=</w:t>
      </w:r>
      <w:r>
        <w:rPr>
          <w:rFonts w:ascii="Cambria Math" w:eastAsia="Cambria Math" w:hAnsi="Cambria Math" w:cs="Cambria Math"/>
          <w:spacing w:val="22"/>
          <w:w w:val="101"/>
          <w:position w:val="16"/>
          <w:sz w:val="21"/>
          <w:szCs w:val="21"/>
        </w:rPr>
        <w:t xml:space="preserve"> </w:t>
      </w:r>
      <w:r>
        <w:rPr>
          <w:rFonts w:ascii="Cambria Math" w:eastAsia="Cambria Math" w:hAnsi="Cambria Math" w:cs="Cambria Math"/>
          <w:position w:val="16"/>
          <w:sz w:val="21"/>
          <w:szCs w:val="21"/>
        </w:rPr>
        <w:t>{</w:t>
      </w:r>
      <w:r>
        <w:ruby>
          <w:rubyPr>
            <w:rubyAlign w:val="left"/>
            <w:hps w:val="21"/>
            <w:hpsRaise w:val="16"/>
            <w:hpsBaseText w:val="21"/>
          </w:rubyPr>
          <w:rt>
            <w:r>
              <w:rPr>
                <w:rFonts w:ascii="Cambria Math" w:eastAsia="Cambria Math" w:hAnsi="Cambria Math" w:cs="Cambria Math"/>
                <w:w w:val="99"/>
                <w:position w:val="16"/>
                <w:sz w:val="21"/>
                <w:szCs w:val="21"/>
              </w:rPr>
              <w:t>0,</w:t>
            </w:r>
          </w:rt>
          <w:rubyBase>
            <w:r>
              <w:rPr>
                <w:rFonts w:ascii="Cambria Math" w:eastAsia="Cambria Math" w:hAnsi="Cambria Math" w:cs="Cambria Math"/>
                <w:w w:val="146"/>
                <w:position w:val="3"/>
                <w:sz w:val="21"/>
                <w:szCs w:val="21"/>
              </w:rPr>
              <w:t>1</w:t>
            </w:r>
          </w:rubyBase>
        </w:ruby>
      </w:r>
      <w:r>
        <w:rPr>
          <w:rFonts w:ascii="Cambria Math" w:eastAsia="Cambria Math" w:hAnsi="Cambria Math" w:cs="Cambria Math"/>
          <w:position w:val="-4"/>
          <w:sz w:val="21"/>
          <w:szCs w:val="21"/>
        </w:rPr>
        <w:t>,</w:t>
      </w:r>
      <w:r>
        <w:ruby>
          <w:rubyPr>
            <w:rubyAlign w:val="left"/>
            <w:hps w:val="15"/>
            <w:hpsRaise w:val="14"/>
            <w:hpsBaseText w:val="21"/>
          </w:rubyPr>
          <w:rt>
            <w:r>
              <w:rPr>
                <w:rFonts w:ascii="Cambria Math" w:eastAsia="Cambria Math" w:hAnsi="Cambria Math" w:cs="Cambria Math"/>
                <w:w w:val="84"/>
                <w:position w:val="16"/>
                <w:sz w:val="21"/>
                <w:szCs w:val="21"/>
              </w:rPr>
              <w:t>T</w:t>
            </w:r>
            <w:r>
              <w:rPr>
                <w:rFonts w:ascii="Cambria Math" w:eastAsia="Cambria Math" w:hAnsi="Cambria Math" w:cs="Cambria Math"/>
                <w:w w:val="84"/>
                <w:position w:val="16"/>
                <w:sz w:val="15"/>
                <w:szCs w:val="15"/>
              </w:rPr>
              <w:t>e</w:t>
            </w:r>
          </w:rt>
          <w:rubyBase>
            <w:r>
              <w:rPr>
                <w:rFonts w:ascii="Cambria Math" w:eastAsia="Cambria Math" w:hAnsi="Cambria Math" w:cs="Cambria Math"/>
                <w:w w:val="127"/>
                <w:position w:val="3"/>
                <w:sz w:val="21"/>
                <w:szCs w:val="21"/>
              </w:rPr>
              <w:t>T</w:t>
            </w:r>
          </w:rubyBase>
        </w:ruby>
      </w:r>
      <w:r>
        <w:rPr>
          <w:rFonts w:ascii="Cambria Math" w:eastAsia="Cambria Math" w:hAnsi="Cambria Math" w:cs="Cambria Math"/>
          <w:position w:val="-4"/>
          <w:sz w:val="15"/>
          <w:szCs w:val="15"/>
        </w:rPr>
        <w:t>e</w:t>
      </w:r>
      <w:r>
        <w:rPr>
          <w:rFonts w:ascii="Cambria Math" w:eastAsia="Cambria Math" w:hAnsi="Cambria Math" w:cs="Cambria Math"/>
          <w:spacing w:val="-8"/>
          <w:position w:val="-4"/>
          <w:sz w:val="15"/>
          <w:szCs w:val="15"/>
        </w:rPr>
        <w:t xml:space="preserve"> </w:t>
      </w:r>
      <w:r>
        <w:rPr>
          <w:position w:val="-7"/>
          <w:sz w:val="15"/>
          <w:szCs w:val="15"/>
        </w:rPr>
        <w:drawing>
          <wp:inline distT="0" distB="0" distL="0" distR="0">
            <wp:extent cx="108094" cy="32746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0"/>
                    <a:stretch>
                      <a:fillRect/>
                    </a:stretch>
                  </pic:blipFill>
                  <pic:spPr>
                    <a:xfrm>
                      <a:off x="0" y="0"/>
                      <a:ext cx="108094" cy="327464"/>
                    </a:xfrm>
                    <a:prstGeom prst="rect">
                      <a:avLst/>
                    </a:prstGeom>
                  </pic:spPr>
                </pic:pic>
              </a:graphicData>
            </a:graphic>
          </wp:inline>
        </w:drawing>
      </w:r>
      <w:r>
        <w:rPr>
          <w:rFonts w:ascii="Cambria Math" w:eastAsia="Cambria Math" w:hAnsi="Cambria Math" w:cs="Cambria Math"/>
          <w:position w:val="-4"/>
          <w:sz w:val="15"/>
          <w:szCs w:val="15"/>
        </w:rPr>
        <w:t xml:space="preserve"> </w:t>
      </w:r>
      <w:r>
        <w:ruby>
          <w:rubyPr>
            <w:rubyAlign w:val="left"/>
            <w:hps w:val="21"/>
            <w:hpsRaise w:val="18"/>
            <w:hpsBaseText w:val="21"/>
          </w:rubyPr>
          <w:rt>
            <w:r>
              <w:rPr>
                <w:rFonts w:ascii="Cambria Math" w:eastAsia="Cambria Math" w:hAnsi="Cambria Math" w:cs="Cambria Math"/>
                <w:w w:val="99"/>
                <w:position w:val="16"/>
                <w:sz w:val="21"/>
                <w:szCs w:val="21"/>
              </w:rPr>
              <w:t>T</w:t>
            </w:r>
          </w:rt>
          <w:rubyBase>
            <w:r>
              <w:rPr>
                <w:rFonts w:ascii="Cambria Math" w:eastAsia="Cambria Math" w:hAnsi="Cambria Math" w:cs="Cambria Math"/>
                <w:w w:val="95"/>
                <w:position w:val="3"/>
                <w:sz w:val="21"/>
                <w:szCs w:val="21"/>
              </w:rPr>
              <w:t>T</w:t>
            </w:r>
          </w:rubyBase>
        </w:ruby>
      </w:r>
      <w:r>
        <w:ruby>
          <w:rubyPr>
            <w:rubyAlign w:val="left"/>
            <w:hps w:val="15"/>
            <w:hpsRaise w:val="10"/>
            <w:hpsBaseText w:val="21"/>
          </w:rubyPr>
          <w:rt>
            <w:r>
              <w:rPr>
                <w:rFonts w:ascii="Cambria Math" w:eastAsia="Cambria Math" w:hAnsi="Cambria Math" w:cs="Cambria Math"/>
                <w:w w:val="104"/>
                <w:position w:val="16"/>
                <w:sz w:val="15"/>
                <w:szCs w:val="15"/>
              </w:rPr>
              <w:t>min</w:t>
            </w:r>
          </w:rt>
          <w:rubyBase>
            <w:r>
              <w:rPr>
                <w:rFonts w:ascii="Cambria Math" w:eastAsia="Cambria Math" w:hAnsi="Cambria Math" w:cs="Cambria Math"/>
                <w:w w:val="102"/>
                <w:position w:val="-4"/>
                <w:sz w:val="15"/>
                <w:szCs w:val="15"/>
              </w:rPr>
              <w:t>min</w:t>
            </w:r>
          </w:rubyBase>
        </w:ruby>
      </w:r>
      <w:r>
        <w:rPr>
          <w:rFonts w:ascii="Cambria Math" w:eastAsia="Cambria Math" w:hAnsi="Cambria Math" w:cs="Cambria Math"/>
          <w:position w:val="-4"/>
          <w:sz w:val="15"/>
          <w:szCs w:val="15"/>
        </w:rPr>
        <w:t xml:space="preserve">    </w:t>
      </w:r>
      <w:r>
        <w:rPr>
          <w:rFonts w:ascii="Times New Roman" w:eastAsia="Times New Roman" w:hAnsi="Times New Roman" w:cs="Times New Roman"/>
          <w:position w:val="16"/>
          <w:sz w:val="21"/>
          <w:szCs w:val="21"/>
        </w:rPr>
        <w:t>······························</w:t>
      </w:r>
      <w:r>
        <w:rPr>
          <w:rFonts w:ascii="Times New Roman" w:eastAsia="Times New Roman" w:hAnsi="Times New Roman" w:cs="Times New Roman"/>
          <w:spacing w:val="-1"/>
          <w:position w:val="16"/>
          <w:sz w:val="21"/>
          <w:szCs w:val="21"/>
        </w:rPr>
        <w:t>·····················</w:t>
      </w:r>
      <w:r>
        <w:rPr>
          <w:rFonts w:ascii="Times New Roman" w:eastAsia="Times New Roman" w:hAnsi="Times New Roman" w:cs="Times New Roman"/>
          <w:spacing w:val="-1"/>
          <w:position w:val="15"/>
          <w:sz w:val="21"/>
          <w:szCs w:val="21"/>
        </w:rPr>
        <w:t>(3)</w:t>
      </w:r>
    </w:p>
    <w:p>
      <w:pPr>
        <w:spacing w:before="127" w:line="221" w:lineRule="auto"/>
        <w:ind w:left="429"/>
        <w:rPr>
          <w:rFonts w:ascii="SimSun" w:eastAsia="SimSun" w:hAnsi="SimSun" w:cs="SimSun"/>
          <w:sz w:val="21"/>
          <w:szCs w:val="21"/>
        </w:rPr>
      </w:pPr>
      <w:r>
        <w:rPr>
          <w:rFonts w:ascii="SimSun" w:eastAsia="SimSun" w:hAnsi="SimSun" w:cs="SimSun"/>
          <w:spacing w:val="-13"/>
          <w:sz w:val="21"/>
          <w:szCs w:val="21"/>
        </w:rPr>
        <w:t>式中：</w:t>
      </w:r>
    </w:p>
    <w:p>
      <w:pPr>
        <w:spacing w:before="60" w:line="312" w:lineRule="exact"/>
        <w:ind w:left="429"/>
        <w:rPr>
          <w:rFonts w:ascii="SimSun" w:eastAsia="SimSun" w:hAnsi="SimSun" w:cs="SimSun"/>
          <w:sz w:val="21"/>
          <w:szCs w:val="21"/>
        </w:rPr>
      </w:pPr>
      <w:r>
        <w:rPr>
          <w:rFonts w:ascii="Times New Roman" w:eastAsia="Times New Roman" w:hAnsi="Times New Roman" w:cs="Times New Roman"/>
          <w:spacing w:val="-1"/>
          <w:position w:val="5"/>
          <w:sz w:val="21"/>
          <w:szCs w:val="21"/>
        </w:rPr>
        <w:t>S</w:t>
      </w:r>
      <w:r>
        <w:rPr>
          <w:rFonts w:ascii="Times New Roman" w:eastAsia="Times New Roman" w:hAnsi="Times New Roman" w:cs="Times New Roman"/>
          <w:spacing w:val="-1"/>
          <w:position w:val="3"/>
          <w:sz w:val="13"/>
          <w:szCs w:val="13"/>
        </w:rPr>
        <w:t>e</w:t>
      </w:r>
      <w:r>
        <w:rPr>
          <w:rFonts w:ascii="Times New Roman" w:eastAsia="Times New Roman" w:hAnsi="Times New Roman" w:cs="Times New Roman"/>
          <w:spacing w:val="-1"/>
          <w:position w:val="5"/>
          <w:sz w:val="21"/>
          <w:szCs w:val="21"/>
        </w:rPr>
        <w:t>——</w:t>
      </w:r>
      <w:r>
        <w:rPr>
          <w:rFonts w:ascii="SimSun" w:eastAsia="SimSun" w:hAnsi="SimSun" w:cs="SimSun"/>
          <w:spacing w:val="-1"/>
          <w:position w:val="5"/>
          <w:sz w:val="21"/>
          <w:szCs w:val="21"/>
        </w:rPr>
        <w:t>车辆</w:t>
      </w:r>
      <w:r>
        <w:rPr>
          <w:rFonts w:ascii="Times New Roman" w:eastAsia="Times New Roman" w:hAnsi="Times New Roman" w:cs="Times New Roman"/>
          <w:spacing w:val="-1"/>
          <w:position w:val="5"/>
          <w:sz w:val="21"/>
          <w:szCs w:val="21"/>
        </w:rPr>
        <w:t>e</w:t>
      </w:r>
      <w:r>
        <w:rPr>
          <w:rFonts w:ascii="SimSun" w:eastAsia="SimSun" w:hAnsi="SimSun" w:cs="SimSun"/>
          <w:spacing w:val="-1"/>
          <w:position w:val="5"/>
          <w:sz w:val="21"/>
          <w:szCs w:val="21"/>
        </w:rPr>
        <w:t>在绿波路段的停车次数</w:t>
      </w:r>
      <w:r>
        <w:rPr>
          <w:rFonts w:ascii="Times New Roman" w:eastAsia="Times New Roman" w:hAnsi="Times New Roman" w:cs="Times New Roman"/>
          <w:spacing w:val="-1"/>
          <w:position w:val="5"/>
          <w:sz w:val="21"/>
          <w:szCs w:val="21"/>
        </w:rPr>
        <w:t>S</w:t>
      </w:r>
      <w:r>
        <w:rPr>
          <w:rFonts w:ascii="Times New Roman" w:eastAsia="Times New Roman" w:hAnsi="Times New Roman" w:cs="Times New Roman"/>
          <w:spacing w:val="-1"/>
          <w:position w:val="3"/>
          <w:sz w:val="13"/>
          <w:szCs w:val="13"/>
        </w:rPr>
        <w:t>e</w:t>
      </w:r>
      <w:r>
        <w:rPr>
          <w:rFonts w:ascii="SimSun" w:eastAsia="SimSun" w:hAnsi="SimSun" w:cs="SimSun"/>
          <w:spacing w:val="-1"/>
          <w:position w:val="5"/>
          <w:sz w:val="21"/>
          <w:szCs w:val="21"/>
        </w:rPr>
        <w:t>；</w:t>
      </w:r>
    </w:p>
    <w:p>
      <w:pPr>
        <w:spacing w:line="239" w:lineRule="auto"/>
        <w:ind w:left="422"/>
        <w:rPr>
          <w:rFonts w:ascii="SimSun" w:eastAsia="SimSun" w:hAnsi="SimSun" w:cs="SimSun"/>
          <w:sz w:val="21"/>
          <w:szCs w:val="21"/>
        </w:rPr>
      </w:pPr>
      <w:r>
        <w:rPr>
          <w:rFonts w:ascii="Times New Roman" w:eastAsia="Times New Roman" w:hAnsi="Times New Roman" w:cs="Times New Roman"/>
          <w:sz w:val="21"/>
          <w:szCs w:val="21"/>
        </w:rPr>
        <w:t>T</w:t>
      </w:r>
      <w:r>
        <w:rPr>
          <w:rFonts w:ascii="Times New Roman" w:eastAsia="Times New Roman" w:hAnsi="Times New Roman" w:cs="Times New Roman"/>
          <w:position w:val="-3"/>
          <w:sz w:val="13"/>
          <w:szCs w:val="13"/>
        </w:rPr>
        <w:t>e</w:t>
      </w:r>
      <w:r>
        <w:rPr>
          <w:rFonts w:ascii="Times New Roman" w:eastAsia="Times New Roman" w:hAnsi="Times New Roman" w:cs="Times New Roman"/>
          <w:sz w:val="21"/>
          <w:szCs w:val="21"/>
        </w:rPr>
        <w:t>——</w:t>
      </w:r>
      <w:r>
        <w:rPr>
          <w:rFonts w:ascii="SimSun" w:eastAsia="SimSun" w:hAnsi="SimSun" w:cs="SimSun"/>
          <w:sz w:val="21"/>
          <w:szCs w:val="21"/>
        </w:rPr>
        <w:t>车辆</w:t>
      </w:r>
      <w:r>
        <w:rPr>
          <w:rFonts w:ascii="Times New Roman" w:eastAsia="Times New Roman" w:hAnsi="Times New Roman" w:cs="Times New Roman"/>
          <w:sz w:val="21"/>
          <w:szCs w:val="21"/>
        </w:rPr>
        <w:t>e</w:t>
      </w:r>
      <w:r>
        <w:rPr>
          <w:rFonts w:ascii="SimSun" w:eastAsia="SimSun" w:hAnsi="SimSun" w:cs="SimSun"/>
          <w:sz w:val="21"/>
          <w:szCs w:val="21"/>
        </w:rPr>
        <w:t>通过绿波路段的时间；</w:t>
      </w:r>
    </w:p>
    <w:p>
      <w:pPr>
        <w:spacing w:before="40" w:line="282" w:lineRule="exact"/>
        <w:ind w:left="422"/>
        <w:rPr>
          <w:rFonts w:ascii="SimSun" w:eastAsia="SimSun" w:hAnsi="SimSun" w:cs="SimSun"/>
          <w:sz w:val="21"/>
          <w:szCs w:val="21"/>
        </w:rPr>
      </w:pPr>
      <w:r>
        <w:rPr>
          <w:rFonts w:ascii="Times New Roman" w:eastAsia="Times New Roman" w:hAnsi="Times New Roman" w:cs="Times New Roman"/>
          <w:position w:val="1"/>
          <w:sz w:val="21"/>
          <w:szCs w:val="21"/>
        </w:rPr>
        <w:t>T</w:t>
      </w:r>
      <w:r>
        <w:rPr>
          <w:rFonts w:ascii="Times New Roman" w:eastAsia="Times New Roman" w:hAnsi="Times New Roman" w:cs="Times New Roman"/>
          <w:position w:val="-1"/>
          <w:sz w:val="13"/>
          <w:szCs w:val="13"/>
        </w:rPr>
        <w:t>min</w:t>
      </w:r>
      <w:r>
        <w:rPr>
          <w:rFonts w:ascii="Times New Roman" w:eastAsia="Times New Roman" w:hAnsi="Times New Roman" w:cs="Times New Roman"/>
          <w:position w:val="1"/>
          <w:sz w:val="21"/>
          <w:szCs w:val="21"/>
        </w:rPr>
        <w:t>——</w:t>
      </w:r>
      <w:r>
        <w:rPr>
          <w:rFonts w:ascii="SimSun" w:eastAsia="SimSun" w:hAnsi="SimSun" w:cs="SimSun"/>
          <w:position w:val="1"/>
          <w:sz w:val="21"/>
          <w:szCs w:val="21"/>
        </w:rPr>
        <w:t>车辆通过绿波路段不停车所需时间。</w:t>
      </w:r>
    </w:p>
    <w:sdt>
      <w:sdtPr>
        <w:rPr>
          <w:rFonts w:ascii="SimSun" w:eastAsia="SimSun" w:hAnsi="SimSun" w:cs="SimSun"/>
          <w:sz w:val="21"/>
          <w:szCs w:val="21"/>
        </w:rPr>
        <w:id w:val="1173668703"/>
        <w:docPartObj>
          <w:docPartGallery w:val="Table of Contents"/>
          <w:docPartUnique/>
        </w:docPartObj>
      </w:sdtPr>
      <w:sdtEndPr>
        <w:rPr>
          <w:rFonts w:ascii="Times New Roman" w:eastAsia="Times New Roman" w:hAnsi="Times New Roman" w:cs="Times New Roman"/>
          <w:sz w:val="21"/>
          <w:szCs w:val="21"/>
        </w:rPr>
      </w:sdtEndPr>
      <w:sdtContent>
        <w:p>
          <w:pPr>
            <w:spacing w:before="30" w:line="221" w:lineRule="auto"/>
            <w:ind w:left="426"/>
            <w:rPr>
              <w:rFonts w:ascii="SimSun" w:eastAsia="SimSun" w:hAnsi="SimSun" w:cs="SimSun"/>
              <w:sz w:val="21"/>
              <w:szCs w:val="21"/>
            </w:rPr>
          </w:pPr>
          <w:r>
            <w:rPr>
              <w:rFonts w:ascii="SimSun" w:eastAsia="SimSun" w:hAnsi="SimSun" w:cs="SimSun"/>
              <w:spacing w:val="-2"/>
              <w:sz w:val="21"/>
              <w:szCs w:val="21"/>
            </w:rPr>
            <w:t>绿波路段总停车次数</w:t>
          </w:r>
          <w:r>
            <w:rPr>
              <w:rFonts w:ascii="Times New Roman" w:eastAsia="Times New Roman" w:hAnsi="Times New Roman" w:cs="Times New Roman"/>
              <w:spacing w:val="-2"/>
              <w:sz w:val="21"/>
              <w:szCs w:val="21"/>
            </w:rPr>
            <w:t>S</w:t>
          </w:r>
          <w:r>
            <w:rPr>
              <w:rFonts w:ascii="SimSun" w:eastAsia="SimSun" w:hAnsi="SimSun" w:cs="SimSun"/>
              <w:spacing w:val="-2"/>
              <w:sz w:val="21"/>
              <w:szCs w:val="21"/>
            </w:rPr>
            <w:t>计算见公式（</w:t>
          </w:r>
          <w:r>
            <w:rPr>
              <w:rFonts w:ascii="Times New Roman" w:eastAsia="Times New Roman" w:hAnsi="Times New Roman" w:cs="Times New Roman"/>
              <w:spacing w:val="-2"/>
              <w:sz w:val="21"/>
              <w:szCs w:val="21"/>
            </w:rPr>
            <w:t>4</w:t>
          </w:r>
          <w:r>
            <w:rPr>
              <w:rFonts w:ascii="SimSun" w:eastAsia="SimSun" w:hAnsi="SimSun" w:cs="SimSun"/>
              <w:spacing w:val="-2"/>
              <w:sz w:val="21"/>
              <w:szCs w:val="21"/>
            </w:rPr>
            <w:t>）。</w:t>
          </w:r>
        </w:p>
        <w:p>
          <w:pPr>
            <w:tabs>
              <w:tab w:val="right" w:leader="dot" w:pos="9354"/>
            </w:tabs>
            <w:spacing w:before="68" w:line="321" w:lineRule="exact"/>
            <w:ind w:left="4292"/>
            <w:rPr>
              <w:rFonts w:ascii="Times New Roman" w:eastAsia="Times New Roman" w:hAnsi="Times New Roman" w:cs="Times New Roman"/>
              <w:sz w:val="21"/>
              <w:szCs w:val="21"/>
            </w:rPr>
          </w:pPr>
          <w:r>
            <w:rPr>
              <w:rFonts w:ascii="Cambria Math" w:eastAsia="Cambria Math" w:hAnsi="Cambria Math" w:cs="Cambria Math"/>
              <w:spacing w:val="-4"/>
              <w:position w:val="5"/>
              <w:sz w:val="21"/>
              <w:szCs w:val="21"/>
            </w:rPr>
            <w:t>S</w:t>
          </w:r>
          <w:r>
            <w:rPr>
              <w:rFonts w:ascii="Cambria Math" w:eastAsia="Cambria Math" w:hAnsi="Cambria Math" w:cs="Cambria Math"/>
              <w:spacing w:val="35"/>
              <w:position w:val="5"/>
              <w:sz w:val="21"/>
              <w:szCs w:val="21"/>
            </w:rPr>
            <w:t xml:space="preserve"> </w:t>
          </w:r>
          <w:r>
            <w:rPr>
              <w:rFonts w:ascii="Cambria Math" w:eastAsia="Cambria Math" w:hAnsi="Cambria Math" w:cs="Cambria Math"/>
              <w:spacing w:val="-4"/>
              <w:position w:val="5"/>
              <w:sz w:val="21"/>
              <w:szCs w:val="21"/>
            </w:rPr>
            <w:t>=</w:t>
          </w:r>
          <w:r>
            <w:rPr>
              <w:rFonts w:ascii="Cambria Math" w:eastAsia="Cambria Math" w:hAnsi="Cambria Math" w:cs="Cambria Math"/>
              <w:spacing w:val="12"/>
              <w:w w:val="101"/>
              <w:position w:val="5"/>
              <w:sz w:val="21"/>
              <w:szCs w:val="21"/>
            </w:rPr>
            <w:t xml:space="preserve"> </w:t>
          </w:r>
          <w:r>
            <w:rPr>
              <w:rFonts w:ascii="Cambria Math" w:eastAsia="Cambria Math" w:hAnsi="Cambria Math" w:cs="Cambria Math"/>
              <w:spacing w:val="-4"/>
              <w:position w:val="5"/>
              <w:sz w:val="21"/>
              <w:szCs w:val="21"/>
            </w:rPr>
            <w:t>∑ s</w:t>
          </w:r>
          <w:r>
            <w:rPr>
              <w:rFonts w:ascii="Cambria Math" w:eastAsia="Cambria Math" w:hAnsi="Cambria Math" w:cs="Cambria Math"/>
              <w:spacing w:val="-4"/>
              <w:position w:val="1"/>
              <w:sz w:val="15"/>
              <w:szCs w:val="15"/>
            </w:rPr>
            <w:t xml:space="preserve">e    </w:t>
          </w:r>
          <w:r>
            <w:rPr>
              <w:rFonts w:ascii="Cambria Math" w:eastAsia="Cambria Math" w:hAnsi="Cambria Math" w:cs="Cambria Math"/>
              <w:position w:val="5"/>
              <w:sz w:val="15"/>
              <w:szCs w:val="15"/>
            </w:rPr>
            <w:tab/>
          </w:r>
          <w:r>
            <w:rPr>
              <w:rFonts w:ascii="Times New Roman" w:eastAsia="Times New Roman" w:hAnsi="Times New Roman" w:cs="Times New Roman"/>
              <w:spacing w:val="-6"/>
              <w:w w:val="78"/>
              <w:position w:val="5"/>
              <w:sz w:val="21"/>
              <w:szCs w:val="21"/>
            </w:rPr>
            <w:t>(</w:t>
          </w:r>
          <w:hyperlink w:anchor="bookmark3" w:history="1">
            <w:r>
              <w:rPr>
                <w:rFonts w:ascii="Times New Roman" w:eastAsia="Times New Roman" w:hAnsi="Times New Roman" w:cs="Times New Roman"/>
                <w:spacing w:val="-6"/>
                <w:w w:val="78"/>
                <w:position w:val="5"/>
                <w:sz w:val="21"/>
                <w:szCs w:val="21"/>
              </w:rPr>
              <w:t>4</w:t>
            </w:r>
          </w:hyperlink>
          <w:r>
            <w:rPr>
              <w:rFonts w:ascii="Times New Roman" w:eastAsia="Times New Roman" w:hAnsi="Times New Roman" w:cs="Times New Roman"/>
              <w:spacing w:val="-6"/>
              <w:w w:val="78"/>
              <w:position w:val="5"/>
              <w:sz w:val="21"/>
              <w:szCs w:val="21"/>
            </w:rPr>
            <w:t>)</w:t>
          </w:r>
        </w:p>
      </w:sdtContent>
    </w:sdt>
    <w:p>
      <w:pPr>
        <w:spacing w:before="70" w:line="221" w:lineRule="auto"/>
        <w:ind w:left="429"/>
        <w:rPr>
          <w:rFonts w:ascii="SimSun" w:eastAsia="SimSun" w:hAnsi="SimSun" w:cs="SimSun"/>
          <w:sz w:val="21"/>
          <w:szCs w:val="21"/>
        </w:rPr>
      </w:pPr>
      <w:r>
        <w:rPr>
          <w:rFonts w:ascii="SimSun" w:eastAsia="SimSun" w:hAnsi="SimSun" w:cs="SimSun"/>
          <w:spacing w:val="-13"/>
          <w:sz w:val="21"/>
          <w:szCs w:val="21"/>
        </w:rPr>
        <w:t>式中：</w:t>
      </w:r>
    </w:p>
    <w:p>
      <w:pPr>
        <w:spacing w:before="63" w:line="221" w:lineRule="auto"/>
        <w:ind w:left="429"/>
        <w:rPr>
          <w:rFonts w:ascii="SimSun" w:eastAsia="SimSun" w:hAnsi="SimSun" w:cs="SimSun"/>
          <w:sz w:val="21"/>
          <w:szCs w:val="21"/>
        </w:rPr>
      </w:pPr>
      <w:r>
        <w:rPr>
          <w:rFonts w:ascii="Times New Roman" w:eastAsia="Times New Roman" w:hAnsi="Times New Roman" w:cs="Times New Roman"/>
          <w:spacing w:val="-1"/>
          <w:sz w:val="21"/>
          <w:szCs w:val="21"/>
        </w:rPr>
        <w:t>S——</w:t>
      </w:r>
      <w:r>
        <w:rPr>
          <w:rFonts w:ascii="SimSun" w:eastAsia="SimSun" w:hAnsi="SimSun" w:cs="SimSun"/>
          <w:spacing w:val="-1"/>
          <w:sz w:val="21"/>
          <w:szCs w:val="21"/>
        </w:rPr>
        <w:t>绿波路段总停车次数</w:t>
      </w:r>
      <w:r>
        <w:rPr>
          <w:rFonts w:ascii="Times New Roman" w:eastAsia="Times New Roman" w:hAnsi="Times New Roman" w:cs="Times New Roman"/>
          <w:spacing w:val="-1"/>
          <w:sz w:val="21"/>
          <w:szCs w:val="21"/>
        </w:rPr>
        <w:t>S</w:t>
      </w:r>
      <w:r>
        <w:rPr>
          <w:rFonts w:ascii="SimSun" w:eastAsia="SimSun" w:hAnsi="SimSun" w:cs="SimSun"/>
          <w:spacing w:val="-1"/>
          <w:sz w:val="21"/>
          <w:szCs w:val="21"/>
        </w:rPr>
        <w:t>；</w:t>
      </w:r>
    </w:p>
    <w:p>
      <w:pPr>
        <w:spacing w:before="61" w:line="468" w:lineRule="exact"/>
        <w:ind w:left="429"/>
        <w:rPr>
          <w:rFonts w:ascii="SimSun" w:eastAsia="SimSun" w:hAnsi="SimSun" w:cs="SimSun"/>
          <w:sz w:val="21"/>
          <w:szCs w:val="21"/>
        </w:rPr>
      </w:pPr>
      <w:r>
        <w:rPr>
          <w:rFonts w:ascii="Times New Roman" w:eastAsia="Times New Roman" w:hAnsi="Times New Roman" w:cs="Times New Roman"/>
          <w:spacing w:val="-1"/>
          <w:position w:val="18"/>
          <w:sz w:val="21"/>
          <w:szCs w:val="21"/>
        </w:rPr>
        <w:t>S</w:t>
      </w:r>
      <w:r>
        <w:rPr>
          <w:rFonts w:ascii="Times New Roman" w:eastAsia="Times New Roman" w:hAnsi="Times New Roman" w:cs="Times New Roman"/>
          <w:spacing w:val="-1"/>
          <w:position w:val="16"/>
          <w:sz w:val="13"/>
          <w:szCs w:val="13"/>
        </w:rPr>
        <w:t>e</w:t>
      </w:r>
      <w:r>
        <w:rPr>
          <w:rFonts w:ascii="Times New Roman" w:eastAsia="Times New Roman" w:hAnsi="Times New Roman" w:cs="Times New Roman"/>
          <w:spacing w:val="-1"/>
          <w:position w:val="18"/>
          <w:sz w:val="21"/>
          <w:szCs w:val="21"/>
        </w:rPr>
        <w:t>——</w:t>
      </w:r>
      <w:r>
        <w:rPr>
          <w:rFonts w:ascii="SimSun" w:eastAsia="SimSun" w:hAnsi="SimSun" w:cs="SimSun"/>
          <w:spacing w:val="-1"/>
          <w:position w:val="18"/>
          <w:sz w:val="21"/>
          <w:szCs w:val="21"/>
        </w:rPr>
        <w:t>车辆</w:t>
      </w:r>
      <w:r>
        <w:rPr>
          <w:rFonts w:ascii="Times New Roman" w:eastAsia="Times New Roman" w:hAnsi="Times New Roman" w:cs="Times New Roman"/>
          <w:spacing w:val="-1"/>
          <w:position w:val="18"/>
          <w:sz w:val="21"/>
          <w:szCs w:val="21"/>
        </w:rPr>
        <w:t>e</w:t>
      </w:r>
      <w:r>
        <w:rPr>
          <w:rFonts w:ascii="SimSun" w:eastAsia="SimSun" w:hAnsi="SimSun" w:cs="SimSun"/>
          <w:spacing w:val="-1"/>
          <w:position w:val="18"/>
          <w:sz w:val="21"/>
          <w:szCs w:val="21"/>
        </w:rPr>
        <w:t>在绿波路段的停车次数</w:t>
      </w:r>
      <w:r>
        <w:rPr>
          <w:rFonts w:ascii="Times New Roman" w:eastAsia="Times New Roman" w:hAnsi="Times New Roman" w:cs="Times New Roman"/>
          <w:spacing w:val="-1"/>
          <w:position w:val="18"/>
          <w:sz w:val="21"/>
          <w:szCs w:val="21"/>
        </w:rPr>
        <w:t>S</w:t>
      </w:r>
      <w:r>
        <w:rPr>
          <w:rFonts w:ascii="Times New Roman" w:eastAsia="Times New Roman" w:hAnsi="Times New Roman" w:cs="Times New Roman"/>
          <w:spacing w:val="-1"/>
          <w:position w:val="16"/>
          <w:sz w:val="13"/>
          <w:szCs w:val="13"/>
        </w:rPr>
        <w:t>e</w:t>
      </w:r>
      <w:r>
        <w:rPr>
          <w:rFonts w:ascii="SimSun" w:eastAsia="SimSun" w:hAnsi="SimSun" w:cs="SimSun"/>
          <w:spacing w:val="-1"/>
          <w:position w:val="18"/>
          <w:sz w:val="21"/>
          <w:szCs w:val="21"/>
        </w:rPr>
        <w:t>。</w:t>
      </w:r>
    </w:p>
    <w:p>
      <w:pPr>
        <w:pStyle w:val="BodyText"/>
        <w:spacing w:line="219" w:lineRule="auto"/>
        <w:rPr>
          <w:sz w:val="21"/>
          <w:szCs w:val="21"/>
        </w:rPr>
      </w:pPr>
      <w:hyperlink r:id="rId21" w:history="1">
        <w:r>
          <w:rPr>
            <w:sz w:val="21"/>
            <w:szCs w:val="21"/>
          </w:rPr>
          <w:t>5.2.2.2</w:t>
        </w:r>
      </w:hyperlink>
      <w:r>
        <w:rPr>
          <w:sz w:val="21"/>
          <w:szCs w:val="21"/>
        </w:rPr>
        <w:t xml:space="preserve">  </w:t>
      </w:r>
      <w:r>
        <w:rPr>
          <w:sz w:val="21"/>
          <w:szCs w:val="21"/>
        </w:rPr>
        <w:t>交通流量</w:t>
      </w:r>
    </w:p>
    <w:sdt>
      <w:sdtPr>
        <w:rPr>
          <w:rFonts w:ascii="SimSun" w:eastAsia="SimSun" w:hAnsi="SimSun" w:cs="SimSun"/>
          <w:sz w:val="21"/>
          <w:szCs w:val="21"/>
        </w:rPr>
        <w:id w:val="29769819"/>
        <w:docPartObj>
          <w:docPartGallery w:val="Table of Contents"/>
          <w:docPartUnique/>
        </w:docPartObj>
      </w:sdtPr>
      <w:sdtEndPr>
        <w:rPr>
          <w:rFonts w:ascii="Times New Roman" w:eastAsia="Times New Roman" w:hAnsi="Times New Roman" w:cs="Times New Roman"/>
          <w:sz w:val="21"/>
          <w:szCs w:val="21"/>
        </w:rPr>
      </w:sdtEndPr>
      <w:sdtContent>
        <w:p>
          <w:pPr>
            <w:spacing w:before="219" w:line="221" w:lineRule="auto"/>
            <w:ind w:left="429"/>
            <w:rPr>
              <w:rFonts w:ascii="SimSun" w:eastAsia="SimSun" w:hAnsi="SimSun" w:cs="SimSun"/>
              <w:sz w:val="21"/>
              <w:szCs w:val="21"/>
            </w:rPr>
          </w:pPr>
          <w:r>
            <w:rPr>
              <w:rFonts w:ascii="SimSun" w:eastAsia="SimSun" w:hAnsi="SimSun" w:cs="SimSun"/>
              <w:spacing w:val="-2"/>
              <w:sz w:val="21"/>
              <w:szCs w:val="21"/>
            </w:rPr>
            <w:t>交通流量计算见公式（</w:t>
          </w:r>
          <w:r>
            <w:rPr>
              <w:rFonts w:ascii="Times New Roman" w:eastAsia="Times New Roman" w:hAnsi="Times New Roman" w:cs="Times New Roman"/>
              <w:spacing w:val="-2"/>
              <w:sz w:val="21"/>
              <w:szCs w:val="21"/>
            </w:rPr>
            <w:t>5</w:t>
          </w:r>
          <w:r>
            <w:rPr>
              <w:rFonts w:ascii="SimSun" w:eastAsia="SimSun" w:hAnsi="SimSun" w:cs="SimSun"/>
              <w:spacing w:val="-2"/>
              <w:sz w:val="21"/>
              <w:szCs w:val="21"/>
            </w:rPr>
            <w:t>）。</w:t>
          </w:r>
        </w:p>
        <w:p>
          <w:pPr>
            <w:tabs>
              <w:tab w:val="right" w:leader="dot" w:pos="9354"/>
            </w:tabs>
            <w:spacing w:before="75" w:line="211" w:lineRule="auto"/>
            <w:ind w:left="3712"/>
            <w:rPr>
              <w:rFonts w:ascii="Times New Roman" w:eastAsia="Times New Roman" w:hAnsi="Times New Roman" w:cs="Times New Roman"/>
              <w:sz w:val="21"/>
              <w:szCs w:val="21"/>
            </w:rPr>
          </w:pPr>
          <w:r>
            <w:rPr>
              <w:rFonts w:ascii="Cambria Math" w:eastAsia="Cambria Math" w:hAnsi="Cambria Math" w:cs="Cambria Math"/>
              <w:spacing w:val="-4"/>
              <w:sz w:val="21"/>
              <w:szCs w:val="21"/>
            </w:rPr>
            <w:t>Q</w:t>
          </w:r>
          <w:r>
            <w:rPr>
              <w:rFonts w:ascii="Cambria Math" w:eastAsia="Cambria Math" w:hAnsi="Cambria Math" w:cs="Cambria Math"/>
              <w:spacing w:val="43"/>
              <w:sz w:val="21"/>
              <w:szCs w:val="21"/>
            </w:rPr>
            <w:t xml:space="preserve"> </w:t>
          </w:r>
          <w:r>
            <w:rPr>
              <w:rFonts w:ascii="Cambria Math" w:eastAsia="Cambria Math" w:hAnsi="Cambria Math" w:cs="Cambria Math"/>
              <w:spacing w:val="-4"/>
              <w:sz w:val="21"/>
              <w:szCs w:val="21"/>
            </w:rPr>
            <w:t>=</w:t>
          </w:r>
          <w:r>
            <w:rPr>
              <w:rFonts w:ascii="Cambria Math" w:eastAsia="Cambria Math" w:hAnsi="Cambria Math" w:cs="Cambria Math"/>
              <w:spacing w:val="22"/>
              <w:w w:val="101"/>
              <w:sz w:val="21"/>
              <w:szCs w:val="21"/>
            </w:rPr>
            <w:t xml:space="preserve"> </w:t>
          </w:r>
          <w:r>
            <w:rPr>
              <w:rFonts w:ascii="Cambria Math" w:eastAsia="Cambria Math" w:hAnsi="Cambria Math" w:cs="Cambria Math"/>
              <w:spacing w:val="-4"/>
              <w:sz w:val="21"/>
              <w:szCs w:val="21"/>
            </w:rPr>
            <w:t>q</w:t>
          </w:r>
          <w:r>
            <w:rPr>
              <w:rFonts w:ascii="Cambria Math" w:eastAsia="Cambria Math" w:hAnsi="Cambria Math" w:cs="Cambria Math"/>
              <w:spacing w:val="-4"/>
              <w:position w:val="-4"/>
              <w:sz w:val="15"/>
              <w:szCs w:val="15"/>
            </w:rPr>
            <w:t xml:space="preserve">1  </w:t>
          </w:r>
          <w:r>
            <w:rPr>
              <w:rFonts w:ascii="Cambria Math" w:eastAsia="Cambria Math" w:hAnsi="Cambria Math" w:cs="Cambria Math"/>
              <w:spacing w:val="-4"/>
              <w:sz w:val="21"/>
              <w:szCs w:val="21"/>
            </w:rPr>
            <w:t>+</w:t>
          </w:r>
          <w:r>
            <w:rPr>
              <w:rFonts w:ascii="Cambria Math" w:eastAsia="Cambria Math" w:hAnsi="Cambria Math" w:cs="Cambria Math"/>
              <w:spacing w:val="13"/>
              <w:w w:val="101"/>
              <w:sz w:val="21"/>
              <w:szCs w:val="21"/>
            </w:rPr>
            <w:t xml:space="preserve"> </w:t>
          </w:r>
          <w:r>
            <w:rPr>
              <w:rFonts w:ascii="Cambria Math" w:eastAsia="Cambria Math" w:hAnsi="Cambria Math" w:cs="Cambria Math"/>
              <w:spacing w:val="-4"/>
              <w:sz w:val="21"/>
              <w:szCs w:val="21"/>
            </w:rPr>
            <w:t>2q</w:t>
          </w:r>
          <w:r>
            <w:rPr>
              <w:rFonts w:ascii="Cambria Math" w:eastAsia="Cambria Math" w:hAnsi="Cambria Math" w:cs="Cambria Math"/>
              <w:spacing w:val="-4"/>
              <w:position w:val="-4"/>
              <w:sz w:val="15"/>
              <w:szCs w:val="15"/>
            </w:rPr>
            <w:t xml:space="preserve">2  </w:t>
          </w:r>
          <w:r>
            <w:rPr>
              <w:rFonts w:ascii="Cambria Math" w:eastAsia="Cambria Math" w:hAnsi="Cambria Math" w:cs="Cambria Math"/>
              <w:spacing w:val="-4"/>
              <w:sz w:val="21"/>
              <w:szCs w:val="21"/>
            </w:rPr>
            <w:t>+</w:t>
          </w:r>
          <w:r>
            <w:rPr>
              <w:rFonts w:ascii="Cambria Math" w:eastAsia="Cambria Math" w:hAnsi="Cambria Math" w:cs="Cambria Math"/>
              <w:spacing w:val="13"/>
              <w:w w:val="101"/>
              <w:sz w:val="21"/>
              <w:szCs w:val="21"/>
            </w:rPr>
            <w:t xml:space="preserve"> </w:t>
          </w:r>
          <w:r>
            <w:rPr>
              <w:rFonts w:ascii="Cambria Math" w:eastAsia="Cambria Math" w:hAnsi="Cambria Math" w:cs="Cambria Math"/>
              <w:spacing w:val="-4"/>
              <w:sz w:val="21"/>
              <w:szCs w:val="21"/>
            </w:rPr>
            <w:t>2.5q</w:t>
          </w:r>
          <w:r>
            <w:rPr>
              <w:rFonts w:ascii="Cambria Math" w:eastAsia="Cambria Math" w:hAnsi="Cambria Math" w:cs="Cambria Math"/>
              <w:spacing w:val="-4"/>
              <w:position w:val="-4"/>
              <w:sz w:val="15"/>
              <w:szCs w:val="15"/>
            </w:rPr>
            <w:t xml:space="preserve">3  </w:t>
          </w:r>
          <w:r>
            <w:rPr>
              <w:rFonts w:ascii="Cambria Math" w:eastAsia="Cambria Math" w:hAnsi="Cambria Math" w:cs="Cambria Math"/>
              <w:sz w:val="15"/>
              <w:szCs w:val="15"/>
            </w:rPr>
            <w:tab/>
          </w:r>
          <w:r>
            <w:rPr>
              <w:rFonts w:ascii="Times New Roman" w:eastAsia="Times New Roman" w:hAnsi="Times New Roman" w:cs="Times New Roman"/>
              <w:spacing w:val="-11"/>
              <w:w w:val="82"/>
              <w:sz w:val="21"/>
              <w:szCs w:val="21"/>
            </w:rPr>
            <w:t>(</w:t>
          </w:r>
          <w:hyperlink w:anchor="bookmark4" w:history="1">
            <w:r>
              <w:rPr>
                <w:rFonts w:ascii="Times New Roman" w:eastAsia="Times New Roman" w:hAnsi="Times New Roman" w:cs="Times New Roman"/>
                <w:spacing w:val="-10"/>
                <w:w w:val="82"/>
                <w:sz w:val="21"/>
                <w:szCs w:val="21"/>
              </w:rPr>
              <w:t>5</w:t>
            </w:r>
            <w:r>
              <w:rPr>
                <w:rFonts w:ascii="Times New Roman" w:eastAsia="Times New Roman" w:hAnsi="Times New Roman" w:cs="Times New Roman"/>
                <w:spacing w:val="-9"/>
                <w:w w:val="82"/>
                <w:sz w:val="21"/>
                <w:szCs w:val="21"/>
              </w:rPr>
              <w:t>)</w:t>
            </w:r>
          </w:hyperlink>
        </w:p>
      </w:sdtContent>
    </w:sdt>
    <w:p>
      <w:pPr>
        <w:spacing w:before="14" w:line="221" w:lineRule="auto"/>
        <w:ind w:left="429"/>
        <w:rPr>
          <w:rFonts w:ascii="SimSun" w:eastAsia="SimSun" w:hAnsi="SimSun" w:cs="SimSun"/>
          <w:sz w:val="21"/>
          <w:szCs w:val="21"/>
        </w:rPr>
      </w:pPr>
      <w:r>
        <w:rPr>
          <w:rFonts w:ascii="SimSun" w:eastAsia="SimSun" w:hAnsi="SimSun" w:cs="SimSun"/>
          <w:spacing w:val="-13"/>
          <w:sz w:val="21"/>
          <w:szCs w:val="21"/>
        </w:rPr>
        <w:t>式中：</w:t>
      </w:r>
    </w:p>
    <w:p>
      <w:pPr>
        <w:spacing w:before="60" w:line="217" w:lineRule="auto"/>
        <w:ind w:left="424"/>
        <w:rPr>
          <w:rFonts w:ascii="SimSun" w:eastAsia="SimSun" w:hAnsi="SimSun" w:cs="SimSun"/>
          <w:sz w:val="21"/>
          <w:szCs w:val="21"/>
        </w:rPr>
      </w:pPr>
      <w:r>
        <w:rPr>
          <w:rFonts w:ascii="Times New Roman" w:eastAsia="Times New Roman" w:hAnsi="Times New Roman" w:cs="Times New Roman"/>
          <w:spacing w:val="-4"/>
          <w:sz w:val="21"/>
          <w:szCs w:val="21"/>
        </w:rPr>
        <w:t>Q——</w:t>
      </w:r>
      <w:r>
        <w:rPr>
          <w:rFonts w:ascii="SimSun" w:eastAsia="SimSun" w:hAnsi="SimSun" w:cs="SimSun"/>
          <w:spacing w:val="-4"/>
          <w:sz w:val="21"/>
          <w:szCs w:val="21"/>
        </w:rPr>
        <w:t>交通流量；</w:t>
      </w:r>
    </w:p>
    <w:p>
      <w:pPr>
        <w:spacing w:before="65" w:line="214" w:lineRule="auto"/>
        <w:ind w:left="423"/>
        <w:rPr>
          <w:rFonts w:ascii="SimSun" w:eastAsia="SimSun" w:hAnsi="SimSun" w:cs="SimSun"/>
          <w:sz w:val="21"/>
          <w:szCs w:val="21"/>
        </w:rPr>
      </w:pPr>
      <w:r>
        <w:rPr>
          <w:rFonts w:ascii="Times New Roman" w:eastAsia="Times New Roman" w:hAnsi="Times New Roman" w:cs="Times New Roman"/>
          <w:spacing w:val="-3"/>
          <w:sz w:val="21"/>
          <w:szCs w:val="21"/>
        </w:rPr>
        <w:t>q</w:t>
      </w:r>
      <w:r>
        <w:rPr>
          <w:rFonts w:ascii="Times New Roman" w:eastAsia="Times New Roman" w:hAnsi="Times New Roman" w:cs="Times New Roman"/>
          <w:spacing w:val="-3"/>
          <w:position w:val="-3"/>
          <w:sz w:val="13"/>
          <w:szCs w:val="13"/>
        </w:rPr>
        <w:t>1</w:t>
      </w:r>
      <w:r>
        <w:rPr>
          <w:rFonts w:ascii="Times New Roman" w:eastAsia="Times New Roman" w:hAnsi="Times New Roman" w:cs="Times New Roman"/>
          <w:spacing w:val="-3"/>
          <w:sz w:val="21"/>
          <w:szCs w:val="21"/>
        </w:rPr>
        <w:t>——</w:t>
      </w:r>
      <w:r>
        <w:rPr>
          <w:rFonts w:ascii="SimSun" w:eastAsia="SimSun" w:hAnsi="SimSun" w:cs="SimSun"/>
          <w:spacing w:val="-3"/>
          <w:sz w:val="21"/>
          <w:szCs w:val="21"/>
        </w:rPr>
        <w:t>小客车数量；</w:t>
      </w:r>
    </w:p>
    <w:p>
      <w:pPr>
        <w:spacing w:before="69" w:line="312" w:lineRule="exact"/>
        <w:ind w:left="423"/>
        <w:rPr>
          <w:rFonts w:ascii="SimSun" w:eastAsia="SimSun" w:hAnsi="SimSun" w:cs="SimSun"/>
          <w:sz w:val="21"/>
          <w:szCs w:val="21"/>
        </w:rPr>
      </w:pPr>
      <w:r>
        <w:rPr>
          <w:rFonts w:ascii="Times New Roman" w:eastAsia="Times New Roman" w:hAnsi="Times New Roman" w:cs="Times New Roman"/>
          <w:position w:val="7"/>
          <w:sz w:val="21"/>
          <w:szCs w:val="21"/>
        </w:rPr>
        <w:t>q</w:t>
      </w:r>
      <w:r>
        <w:rPr>
          <w:rFonts w:ascii="Times New Roman" w:eastAsia="Times New Roman" w:hAnsi="Times New Roman" w:cs="Times New Roman"/>
          <w:position w:val="4"/>
          <w:sz w:val="13"/>
          <w:szCs w:val="13"/>
        </w:rPr>
        <w:t>2</w:t>
      </w:r>
      <w:r>
        <w:rPr>
          <w:rFonts w:ascii="Times New Roman" w:eastAsia="Times New Roman" w:hAnsi="Times New Roman" w:cs="Times New Roman"/>
          <w:position w:val="7"/>
          <w:sz w:val="21"/>
          <w:szCs w:val="21"/>
        </w:rPr>
        <w:t>——</w:t>
      </w:r>
      <w:r>
        <w:rPr>
          <w:rFonts w:ascii="SimSun" w:eastAsia="SimSun" w:hAnsi="SimSun" w:cs="SimSun"/>
          <w:position w:val="7"/>
          <w:sz w:val="21"/>
          <w:szCs w:val="21"/>
        </w:rPr>
        <w:t>大型客车数量；</w:t>
      </w:r>
    </w:p>
    <w:p>
      <w:pPr>
        <w:spacing w:before="1" w:line="213" w:lineRule="auto"/>
        <w:ind w:left="423"/>
        <w:rPr>
          <w:rFonts w:ascii="SimSun" w:eastAsia="SimSun" w:hAnsi="SimSun" w:cs="SimSun"/>
          <w:sz w:val="21"/>
          <w:szCs w:val="21"/>
        </w:rPr>
      </w:pPr>
      <w:r>
        <w:rPr>
          <w:rFonts w:ascii="Times New Roman" w:eastAsia="Times New Roman" w:hAnsi="Times New Roman" w:cs="Times New Roman"/>
          <w:sz w:val="21"/>
          <w:szCs w:val="21"/>
        </w:rPr>
        <w:t>q</w:t>
      </w:r>
      <w:r>
        <w:rPr>
          <w:rFonts w:ascii="Times New Roman" w:eastAsia="Times New Roman" w:hAnsi="Times New Roman" w:cs="Times New Roman"/>
          <w:position w:val="-3"/>
          <w:sz w:val="13"/>
          <w:szCs w:val="13"/>
        </w:rPr>
        <w:t>3</w:t>
      </w:r>
      <w:r>
        <w:rPr>
          <w:rFonts w:ascii="Times New Roman" w:eastAsia="Times New Roman" w:hAnsi="Times New Roman" w:cs="Times New Roman"/>
          <w:sz w:val="21"/>
          <w:szCs w:val="21"/>
        </w:rPr>
        <w:t>——</w:t>
      </w:r>
      <w:r>
        <w:rPr>
          <w:rFonts w:ascii="SimSun" w:eastAsia="SimSun" w:hAnsi="SimSun" w:cs="SimSun"/>
          <w:sz w:val="21"/>
          <w:szCs w:val="21"/>
        </w:rPr>
        <w:t>大型货车数量。</w:t>
      </w:r>
    </w:p>
    <w:p>
      <w:pPr>
        <w:pStyle w:val="BodyText"/>
        <w:spacing w:before="225" w:line="220" w:lineRule="auto"/>
        <w:rPr>
          <w:sz w:val="21"/>
          <w:szCs w:val="21"/>
        </w:rPr>
      </w:pPr>
      <w:hyperlink r:id="rId22" w:history="1">
        <w:r>
          <w:rPr>
            <w:sz w:val="21"/>
            <w:szCs w:val="21"/>
          </w:rPr>
          <w:t>5.2.2.3</w:t>
        </w:r>
      </w:hyperlink>
      <w:r>
        <w:rPr>
          <w:sz w:val="21"/>
          <w:szCs w:val="21"/>
        </w:rPr>
        <w:t xml:space="preserve">  </w:t>
      </w:r>
      <w:r>
        <w:rPr>
          <w:sz w:val="21"/>
          <w:szCs w:val="21"/>
        </w:rPr>
        <w:t>平均行程时间</w:t>
      </w: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https://d.book118.com/418134132132006042</w:t>
        </w:r>
      </w:hyperlink>
    </w:p>
    <w:p>
      <w:pPr>
        <w:pStyle w:val="BodyText"/>
        <w:spacing w:before="225" w:line="220" w:lineRule="auto"/>
        <w:rPr>
          <w:sz w:val="21"/>
          <w:szCs w:val="21"/>
        </w:rPr>
      </w:pPr>
    </w:p>
    <w:sectPr>
      <w:headerReference w:type="default" r:id="rId24"/>
      <w:footerReference w:type="default" r:id="rId25"/>
      <w:pgSz w:w="11907" w:h="16839"/>
      <w:pgMar w:top="400" w:right="1129" w:bottom="400" w:left="1422" w:header="0" w:footer="0"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5.2.2.1"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2.png" /><Relationship Id="rId21" Type="http://schemas.openxmlformats.org/officeDocument/2006/relationships/hyperlink" Target="5.2.2.2" TargetMode="External" /><Relationship Id="rId22" Type="http://schemas.openxmlformats.org/officeDocument/2006/relationships/hyperlink" Target="5.2.2.3" TargetMode="External" /><Relationship Id="rId23" Type="http://schemas.openxmlformats.org/officeDocument/2006/relationships/hyperlink" Target="https://d.book118.com/418134132132006042" TargetMode="Externa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xb21cn</dc:creator>
  <cp:revision>0</cp:revision>
  <dcterms:created xsi:type="dcterms:W3CDTF">2024-03-06T08:08:22Z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2024-03-06T08:34:23Z</vt:filetime>
  </property>
  <property fmtid="{D5CDD505-2E9C-101B-9397-08002B2CF9AE}" pid="3" name="CRO">
    <vt:lpwstr>wqlLaW5nc29mdCBQREYgdG8gV1BTIDkw</vt:lpwstr>
  </property>
</Properties>
</file>