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line="266" w:lineRule="auto"/>
      </w:pPr>
    </w:p>
    <w:p>
      <w:pPr>
        <w:pStyle w:val="BodyText"/>
        <w:spacing w:line="266" w:lineRule="auto"/>
      </w:pPr>
    </w:p>
    <w:p>
      <w:pPr>
        <w:pStyle w:val="BodyText"/>
        <w:spacing w:line="266" w:lineRule="auto"/>
      </w:pPr>
    </w:p>
    <w:p>
      <w:pPr>
        <w:pStyle w:val="BodyText"/>
        <w:spacing w:line="266" w:lineRule="auto"/>
      </w:pPr>
    </w:p>
    <w:p>
      <w:pPr>
        <w:pStyle w:val="BodyText"/>
        <w:spacing w:line="266" w:lineRule="auto"/>
      </w:pPr>
    </w:p>
    <w:p>
      <w:pPr>
        <w:pStyle w:val="BodyText"/>
        <w:spacing w:line="266" w:lineRule="auto"/>
      </w:pPr>
    </w:p>
    <w:p>
      <w:pPr>
        <w:pStyle w:val="BodyText"/>
        <w:spacing w:line="267" w:lineRule="auto"/>
      </w:pPr>
    </w:p>
    <w:p>
      <w:pPr>
        <w:pStyle w:val="BodyText"/>
        <w:spacing w:line="267" w:lineRule="auto"/>
      </w:pPr>
    </w:p>
    <w:p>
      <w:pPr>
        <w:pStyle w:val="BodyText"/>
        <w:spacing w:before="159" w:line="220" w:lineRule="auto"/>
        <w:ind w:left="1209"/>
        <w:rPr>
          <w:rFonts w:ascii="SimHei" w:eastAsia="SimHei" w:hAnsi="SimHei" w:cs="SimHei"/>
          <w:sz w:val="49"/>
          <w:szCs w:val="49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-1614162</wp:posOffset>
            </wp:positionV>
            <wp:extent cx="12192000" cy="685800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E57A00"/>
          <w:position w:val="-2"/>
          <w:sz w:val="37"/>
          <w:szCs w:val="37"/>
        </w:rPr>
        <w:t>FOOD</w:t>
      </w:r>
      <w:r>
        <w:rPr>
          <w:b/>
          <w:bCs/>
          <w:color w:val="E57A00"/>
          <w:spacing w:val="41"/>
          <w:position w:val="-2"/>
          <w:sz w:val="37"/>
          <w:szCs w:val="37"/>
        </w:rPr>
        <w:t xml:space="preserve"> </w:t>
      </w:r>
      <w:r>
        <w:rPr>
          <w:b/>
          <w:bCs/>
          <w:color w:val="E57A00"/>
          <w:position w:val="-2"/>
          <w:sz w:val="37"/>
          <w:szCs w:val="37"/>
        </w:rPr>
        <w:t>INDUSTRY</w:t>
      </w:r>
      <w:r>
        <w:rPr>
          <w:b/>
          <w:bCs/>
          <w:color w:val="E57A00"/>
          <w:spacing w:val="40"/>
          <w:position w:val="-2"/>
          <w:sz w:val="37"/>
          <w:szCs w:val="37"/>
        </w:rPr>
        <w:t xml:space="preserve"> </w:t>
      </w:r>
      <w:r>
        <w:rPr>
          <w:b/>
          <w:bCs/>
          <w:color w:val="E57A00"/>
          <w:position w:val="-2"/>
          <w:sz w:val="37"/>
          <w:szCs w:val="37"/>
        </w:rPr>
        <w:t>PUBLIC</w:t>
      </w:r>
      <w:r>
        <w:rPr>
          <w:b/>
          <w:bCs/>
          <w:color w:val="E57A00"/>
          <w:spacing w:val="30"/>
          <w:position w:val="-2"/>
          <w:sz w:val="37"/>
          <w:szCs w:val="37"/>
        </w:rPr>
        <w:t xml:space="preserve"> </w:t>
      </w:r>
      <w:r>
        <w:rPr>
          <w:b/>
          <w:bCs/>
          <w:color w:val="E57A00"/>
          <w:position w:val="-2"/>
          <w:sz w:val="37"/>
          <w:szCs w:val="37"/>
        </w:rPr>
        <w:t>OPINION</w:t>
      </w:r>
      <w:r>
        <w:rPr>
          <w:b/>
          <w:bCs/>
          <w:color w:val="E57A00"/>
          <w:spacing w:val="40"/>
          <w:position w:val="-2"/>
          <w:sz w:val="37"/>
          <w:szCs w:val="37"/>
        </w:rPr>
        <w:t xml:space="preserve"> </w:t>
      </w:r>
      <w:r>
        <w:rPr>
          <w:b/>
          <w:bCs/>
          <w:color w:val="E57A00"/>
          <w:position w:val="-2"/>
          <w:sz w:val="37"/>
          <w:szCs w:val="37"/>
        </w:rPr>
        <w:t>MONTHLY</w:t>
      </w:r>
      <w:r>
        <w:rPr>
          <w:b/>
          <w:bCs/>
          <w:color w:val="E57A00"/>
          <w:spacing w:val="40"/>
          <w:position w:val="-2"/>
          <w:sz w:val="37"/>
          <w:szCs w:val="37"/>
        </w:rPr>
        <w:t xml:space="preserve"> </w:t>
      </w:r>
      <w:r>
        <w:rPr>
          <w:b/>
          <w:bCs/>
          <w:color w:val="E57A00"/>
          <w:position w:val="-2"/>
          <w:sz w:val="37"/>
          <w:szCs w:val="37"/>
        </w:rPr>
        <w:t>REPORT</w:t>
      </w:r>
      <w:r>
        <w:rPr>
          <w:b/>
          <w:bCs/>
          <w:color w:val="E57A00"/>
          <w:spacing w:val="9"/>
          <w:position w:val="-2"/>
          <w:sz w:val="37"/>
          <w:szCs w:val="37"/>
        </w:rPr>
        <w:t xml:space="preserve">                      </w:t>
      </w:r>
      <w:r>
        <w:rPr>
          <w:rFonts w:ascii="SimHei" w:eastAsia="SimHei" w:hAnsi="SimHei" w:cs="SimHei"/>
          <w:color w:val="E57A00"/>
          <w:spacing w:val="9"/>
          <w:position w:val="3"/>
          <w:sz w:val="49"/>
          <w:szCs w:val="49"/>
        </w:rPr>
        <w:t>2023年10月</w:t>
      </w: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spacing w:before="247" w:line="221" w:lineRule="auto"/>
        <w:ind w:left="1080"/>
        <w:outlineLvl w:val="0"/>
        <w:rPr>
          <w:rFonts w:ascii="SimHei" w:eastAsia="SimHei" w:hAnsi="SimHei" w:cs="SimHei"/>
          <w:sz w:val="76"/>
          <w:szCs w:val="76"/>
        </w:rPr>
      </w:pPr>
      <w:r>
        <w:rPr>
          <w:rFonts w:ascii="SimHei" w:eastAsia="SimHei" w:hAnsi="SimHei" w:cs="SimHei"/>
          <w:b/>
          <w:bCs/>
          <w:spacing w:val="25"/>
          <w:sz w:val="76"/>
          <w:szCs w:val="76"/>
        </w:rPr>
        <w:t>食品餐饮行业舆情分析报告</w:t>
      </w:r>
    </w:p>
    <w:p>
      <w:pPr>
        <w:spacing w:before="286" w:line="221" w:lineRule="auto"/>
        <w:ind w:left="7280"/>
        <w:rPr>
          <w:rFonts w:ascii="SimHei" w:eastAsia="SimHei" w:hAnsi="SimHei" w:cs="SimHei"/>
          <w:sz w:val="32"/>
          <w:szCs w:val="32"/>
        </w:rPr>
      </w:pPr>
      <w:r>
        <w:rPr>
          <w:rFonts w:ascii="SimHei" w:eastAsia="SimHei" w:hAnsi="SimHei" w:cs="SimHei"/>
          <w:color w:val="E57A00"/>
          <w:sz w:val="32"/>
          <w:szCs w:val="32"/>
        </w:rPr>
        <w:t>——老乡鸡周年庆免费请吃饭钟薛高被曝拖欠薪资</w:t>
      </w:r>
    </w:p>
    <w:p>
      <w:pPr>
        <w:pStyle w:val="BodyText"/>
        <w:spacing w:line="395" w:lineRule="auto"/>
      </w:pPr>
    </w:p>
    <w:p>
      <w:pPr>
        <w:spacing w:before="88" w:line="221" w:lineRule="auto"/>
        <w:ind w:left="1190"/>
        <w:rPr>
          <w:rFonts w:ascii="SimHei" w:eastAsia="SimHei" w:hAnsi="SimHei" w:cs="SimHei"/>
          <w:sz w:val="27"/>
          <w:szCs w:val="27"/>
        </w:rPr>
      </w:pPr>
      <w:r>
        <w:rPr>
          <w:rFonts w:ascii="SimHei" w:eastAsia="SimHei" w:hAnsi="SimHei" w:cs="SimHei"/>
          <w:spacing w:val="-10"/>
          <w:sz w:val="27"/>
          <w:szCs w:val="27"/>
        </w:rPr>
        <w:t>百分点舆情中心出品</w:t>
      </w: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  <w:sectPr>
          <w:headerReference w:type="default" r:id="rId5"/>
          <w:pgSz w:w="19200" w:h="10800"/>
          <w:pgMar w:top="400" w:right="0" w:bottom="0" w:left="0" w:header="0" w:footer="0" w:gutter="0"/>
          <w:cols w:space="708"/>
        </w:sectPr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before="88" w:line="222" w:lineRule="auto"/>
        <w:ind w:left="14409"/>
        <w:rPr>
          <w:sz w:val="27"/>
          <w:szCs w:val="27"/>
        </w:rPr>
      </w:pPr>
      <w:r>
        <w:rPr>
          <w:b/>
          <w:bCs/>
          <w:color w:val="FFFFFF"/>
          <w:spacing w:val="-7"/>
          <w:position w:val="1"/>
          <w:sz w:val="27"/>
          <w:szCs w:val="27"/>
        </w:rPr>
        <w:t>PERCENT</w:t>
      </w:r>
      <w:r>
        <w:rPr>
          <w:b/>
          <w:bCs/>
          <w:color w:val="FFFFFF"/>
          <w:spacing w:val="33"/>
          <w:position w:val="1"/>
          <w:sz w:val="27"/>
          <w:szCs w:val="27"/>
        </w:rPr>
        <w:t xml:space="preserve">  </w:t>
      </w:r>
      <w:r>
        <w:rPr>
          <w:rFonts w:ascii="SimHei" w:eastAsia="SimHei" w:hAnsi="SimHei" w:cs="SimHei"/>
          <w:b/>
          <w:bCs/>
          <w:color w:val="FFFFFF"/>
          <w:spacing w:val="-7"/>
          <w:position w:val="1"/>
          <w:sz w:val="27"/>
          <w:szCs w:val="27"/>
        </w:rPr>
        <w:t>百分点</w:t>
      </w:r>
      <w:r>
        <w:rPr>
          <w:rFonts w:ascii="SimHei" w:eastAsia="SimHei" w:hAnsi="SimHei" w:cs="SimHei"/>
          <w:color w:val="FFFFFF"/>
          <w:spacing w:val="5"/>
          <w:position w:val="1"/>
          <w:sz w:val="27"/>
          <w:szCs w:val="27"/>
        </w:rPr>
        <w:t xml:space="preserve">      </w:t>
      </w:r>
      <w:r>
        <w:rPr>
          <w:b/>
          <w:bCs/>
          <w:color w:val="FFFFFF"/>
          <w:spacing w:val="-7"/>
          <w:position w:val="-1"/>
          <w:sz w:val="27"/>
          <w:szCs w:val="27"/>
        </w:rPr>
        <w:t>Mediaforce</w:t>
      </w:r>
    </w:p>
    <w:p>
      <w:pPr>
        <w:spacing w:line="222" w:lineRule="auto"/>
        <w:rPr>
          <w:sz w:val="27"/>
          <w:szCs w:val="27"/>
        </w:rPr>
        <w:sectPr>
          <w:headerReference w:type="default" r:id="rId6"/>
          <w:type w:val="nextPage"/>
          <w:pgSz w:w="19200" w:h="10800"/>
          <w:pgMar w:top="400" w:right="0" w:bottom="0" w:left="0" w:header="0" w:footer="0" w:gutter="0"/>
          <w:pgNumType w:start="2"/>
          <w:cols w:space="708"/>
          <w:titlePg w:val="0"/>
        </w:sectPr>
      </w:pPr>
    </w:p>
    <w:p>
      <w:pPr>
        <w:pStyle w:val="BodyText"/>
        <w:spacing w:before="70" w:line="198" w:lineRule="auto"/>
        <w:ind w:left="17909"/>
        <w:rPr>
          <w:sz w:val="20"/>
          <w:szCs w:val="20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-253806</wp:posOffset>
            </wp:positionV>
            <wp:extent cx="12192000" cy="685800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009687"/>
          <w:spacing w:val="-5"/>
          <w:sz w:val="20"/>
          <w:szCs w:val="20"/>
        </w:rPr>
        <w:t>Mediaforce</w:t>
      </w:r>
    </w:p>
    <w:p>
      <w:pPr>
        <w:pStyle w:val="BodyText"/>
        <w:spacing w:line="248" w:lineRule="auto"/>
      </w:pPr>
    </w:p>
    <w:p>
      <w:pPr>
        <w:spacing w:before="127" w:line="221" w:lineRule="auto"/>
        <w:ind w:left="12755"/>
        <w:rPr>
          <w:rFonts w:ascii="SimHei" w:eastAsia="SimHei" w:hAnsi="SimHei" w:cs="SimHei"/>
          <w:sz w:val="39"/>
          <w:szCs w:val="39"/>
        </w:rPr>
      </w:pPr>
      <w:r>
        <w:rPr>
          <w:rFonts w:ascii="SimHei" w:eastAsia="SimHei" w:hAnsi="SimHei" w:cs="SimHei"/>
          <w:b/>
          <w:bCs/>
          <w:color w:val="E57A00"/>
          <w:spacing w:val="5"/>
          <w:sz w:val="39"/>
          <w:szCs w:val="39"/>
        </w:rPr>
        <w:t>报告说明</w:t>
      </w:r>
    </w:p>
    <w:p>
      <w:pPr>
        <w:pStyle w:val="BodyText"/>
        <w:spacing w:line="300" w:lineRule="auto"/>
      </w:pPr>
    </w:p>
    <w:p>
      <w:pPr>
        <w:pStyle w:val="BodyText"/>
        <w:spacing w:line="301" w:lineRule="auto"/>
      </w:pPr>
    </w:p>
    <w:p>
      <w:pPr>
        <w:spacing w:before="78" w:line="213" w:lineRule="auto"/>
        <w:ind w:left="8899"/>
        <w:rPr>
          <w:rFonts w:ascii="SimHei" w:eastAsia="SimHei" w:hAnsi="SimHei" w:cs="SimHei"/>
          <w:sz w:val="24"/>
          <w:szCs w:val="24"/>
        </w:rPr>
      </w:pPr>
      <w:r>
        <w:rPr>
          <w:rFonts w:ascii="SimHei" w:eastAsia="SimHei" w:hAnsi="SimHei" w:cs="SimHei"/>
          <w:sz w:val="24"/>
          <w:szCs w:val="24"/>
        </w:rPr>
        <w:t>本月度报告主要聚焦广义上的食品饮料及餐饮行业，以网络</w:t>
      </w:r>
      <w:r>
        <w:rPr>
          <w:rFonts w:ascii="SimHei" w:eastAsia="SimHei" w:hAnsi="SimHei" w:cs="SimHei"/>
          <w:spacing w:val="-1"/>
          <w:sz w:val="24"/>
          <w:szCs w:val="24"/>
        </w:rPr>
        <w:t>舆情为主要切入点，结合新</w:t>
      </w:r>
    </w:p>
    <w:p>
      <w:pPr>
        <w:spacing w:before="163" w:line="213" w:lineRule="auto"/>
        <w:ind w:left="8899"/>
        <w:rPr>
          <w:rFonts w:ascii="SimHei" w:eastAsia="SimHei" w:hAnsi="SimHei" w:cs="SimHei"/>
          <w:sz w:val="24"/>
          <w:szCs w:val="24"/>
        </w:rPr>
      </w:pPr>
      <w:r>
        <w:rPr>
          <w:rFonts w:ascii="SimHei" w:eastAsia="SimHei" w:hAnsi="SimHei" w:cs="SimHei"/>
          <w:spacing w:val="-1"/>
          <w:sz w:val="24"/>
          <w:szCs w:val="24"/>
        </w:rPr>
        <w:t>舆情环境下的全媒体信息，对当月的行业动态、热点事件进行</w:t>
      </w:r>
      <w:r>
        <w:rPr>
          <w:rFonts w:ascii="SimHei" w:eastAsia="SimHei" w:hAnsi="SimHei" w:cs="SimHei"/>
          <w:spacing w:val="-2"/>
          <w:sz w:val="24"/>
          <w:szCs w:val="24"/>
        </w:rPr>
        <w:t>全面深入分析。</w:t>
      </w:r>
    </w:p>
    <w:p>
      <w:pPr>
        <w:pStyle w:val="BodyText"/>
        <w:spacing w:line="258" w:lineRule="auto"/>
      </w:pPr>
    </w:p>
    <w:p>
      <w:pPr>
        <w:pStyle w:val="BodyText"/>
        <w:spacing w:line="259" w:lineRule="auto"/>
      </w:pPr>
    </w:p>
    <w:p>
      <w:pPr>
        <w:spacing w:before="91" w:line="222" w:lineRule="auto"/>
        <w:ind w:left="8903"/>
        <w:rPr>
          <w:rFonts w:ascii="SimHei" w:eastAsia="SimHei" w:hAnsi="SimHei" w:cs="SimHei"/>
          <w:sz w:val="28"/>
          <w:szCs w:val="28"/>
        </w:rPr>
      </w:pPr>
      <w:r>
        <w:rPr>
          <w:rFonts w:ascii="SimHei" w:eastAsia="SimHei" w:hAnsi="SimHei" w:cs="SimHei"/>
          <w:b/>
          <w:bCs/>
          <w:spacing w:val="-5"/>
          <w:sz w:val="28"/>
          <w:szCs w:val="28"/>
        </w:rPr>
        <w:t>行业范围及代表企业</w:t>
      </w:r>
    </w:p>
    <w:p>
      <w:pPr>
        <w:spacing w:before="135" w:line="213" w:lineRule="auto"/>
        <w:ind w:left="8899"/>
        <w:rPr>
          <w:rFonts w:ascii="SimHei" w:eastAsia="SimHei" w:hAnsi="SimHei" w:cs="SimHei"/>
          <w:sz w:val="24"/>
          <w:szCs w:val="24"/>
        </w:rPr>
      </w:pPr>
      <w:r>
        <w:rPr>
          <w:rFonts w:ascii="SimHei" w:eastAsia="SimHei" w:hAnsi="SimHei" w:cs="SimHei"/>
          <w:spacing w:val="1"/>
          <w:sz w:val="24"/>
          <w:szCs w:val="24"/>
        </w:rPr>
        <w:t>◆根据行业范围定义，本报告将食品饮料及餐饮行业分为如下几</w:t>
      </w:r>
      <w:r>
        <w:rPr>
          <w:rFonts w:ascii="SimHei" w:eastAsia="SimHei" w:hAnsi="SimHei" w:cs="SimHei"/>
          <w:sz w:val="24"/>
          <w:szCs w:val="24"/>
        </w:rPr>
        <w:t>个细分领域：连锁快</w:t>
      </w:r>
    </w:p>
    <w:p>
      <w:pPr>
        <w:spacing w:before="165" w:line="303" w:lineRule="auto"/>
        <w:ind w:left="9180" w:right="1150"/>
        <w:rPr>
          <w:rFonts w:ascii="SimHei" w:eastAsia="SimHei" w:hAnsi="SimHei" w:cs="SimHei"/>
          <w:sz w:val="24"/>
          <w:szCs w:val="24"/>
        </w:rPr>
      </w:pPr>
      <w:r>
        <w:rPr>
          <w:rFonts w:ascii="SimHei" w:eastAsia="SimHei" w:hAnsi="SimHei" w:cs="SimHei"/>
          <w:sz w:val="24"/>
          <w:szCs w:val="24"/>
        </w:rPr>
        <w:t>餐、茶饮甜品、方便速食、休闲零食、乳饮酒水、生鲜电</w:t>
      </w:r>
      <w:r>
        <w:rPr>
          <w:rFonts w:ascii="SimHei" w:eastAsia="SimHei" w:hAnsi="SimHei" w:cs="SimHei"/>
          <w:spacing w:val="-1"/>
          <w:sz w:val="24"/>
          <w:szCs w:val="24"/>
        </w:rPr>
        <w:t>商等，并及时追踪每个细分</w:t>
      </w:r>
      <w:r>
        <w:rPr>
          <w:rFonts w:ascii="SimHei" w:eastAsia="SimHei" w:hAnsi="SimHei" w:cs="SimHei"/>
          <w:sz w:val="24"/>
          <w:szCs w:val="24"/>
        </w:rPr>
        <w:t xml:space="preserve"> </w:t>
      </w:r>
      <w:r>
        <w:rPr>
          <w:rFonts w:ascii="SimHei" w:eastAsia="SimHei" w:hAnsi="SimHei" w:cs="SimHei"/>
          <w:sz w:val="24"/>
          <w:szCs w:val="24"/>
        </w:rPr>
        <w:t>版块下代表企业的动态，如肯德基、麦当劳、海底捞、</w:t>
      </w:r>
      <w:r>
        <w:rPr>
          <w:rFonts w:ascii="SimHei" w:eastAsia="SimHei" w:hAnsi="SimHei" w:cs="SimHei"/>
          <w:spacing w:val="-1"/>
          <w:sz w:val="24"/>
          <w:szCs w:val="24"/>
        </w:rPr>
        <w:t>星巴克、瑞幸咖啡、喜茶、奈</w:t>
      </w:r>
      <w:r>
        <w:rPr>
          <w:rFonts w:ascii="SimHei" w:eastAsia="SimHei" w:hAnsi="SimHei" w:cs="SimHei"/>
          <w:sz w:val="24"/>
          <w:szCs w:val="24"/>
        </w:rPr>
        <w:t xml:space="preserve"> </w:t>
      </w:r>
      <w:r>
        <w:rPr>
          <w:rFonts w:ascii="SimHei" w:eastAsia="SimHei" w:hAnsi="SimHei" w:cs="SimHei"/>
          <w:spacing w:val="-1"/>
          <w:sz w:val="24"/>
          <w:szCs w:val="24"/>
        </w:rPr>
        <w:t>雪的茶、贵州茅台、康师傅、统一、娃哈哈、农夫山泉、可口可乐、良品铺子</w:t>
      </w:r>
      <w:r>
        <w:rPr>
          <w:rFonts w:ascii="SimHei" w:eastAsia="SimHei" w:hAnsi="SimHei" w:cs="SimHei"/>
          <w:spacing w:val="-2"/>
          <w:sz w:val="24"/>
          <w:szCs w:val="24"/>
        </w:rPr>
        <w:t>、三只</w:t>
      </w:r>
      <w:r>
        <w:rPr>
          <w:rFonts w:ascii="SimHei" w:eastAsia="SimHei" w:hAnsi="SimHei" w:cs="SimHei"/>
          <w:sz w:val="24"/>
          <w:szCs w:val="24"/>
        </w:rPr>
        <w:t xml:space="preserve"> </w:t>
      </w:r>
      <w:r>
        <w:rPr>
          <w:rFonts w:ascii="SimHei" w:eastAsia="SimHei" w:hAnsi="SimHei" w:cs="SimHei"/>
          <w:spacing w:val="-1"/>
          <w:sz w:val="24"/>
          <w:szCs w:val="24"/>
        </w:rPr>
        <w:t>松鼠、元气森林、伊利、蒙牛、三元食品等。</w:t>
      </w:r>
    </w:p>
    <w:p>
      <w:pPr>
        <w:pStyle w:val="BodyText"/>
        <w:spacing w:line="284" w:lineRule="auto"/>
      </w:pPr>
    </w:p>
    <w:p>
      <w:pPr>
        <w:pStyle w:val="BodyText"/>
        <w:spacing w:line="285" w:lineRule="auto"/>
      </w:pPr>
    </w:p>
    <w:p>
      <w:pPr>
        <w:spacing w:before="91" w:line="224" w:lineRule="auto"/>
        <w:ind w:left="8903"/>
        <w:rPr>
          <w:rFonts w:ascii="SimHei" w:eastAsia="SimHei" w:hAnsi="SimHei" w:cs="SimHei"/>
          <w:sz w:val="28"/>
          <w:szCs w:val="28"/>
        </w:rPr>
      </w:pPr>
      <w:r>
        <w:rPr>
          <w:rFonts w:ascii="SimHei" w:eastAsia="SimHei" w:hAnsi="SimHei" w:cs="SimHei"/>
          <w:b/>
          <w:bCs/>
          <w:spacing w:val="-5"/>
          <w:sz w:val="28"/>
          <w:szCs w:val="28"/>
        </w:rPr>
        <w:t>报告结构</w:t>
      </w:r>
    </w:p>
    <w:p>
      <w:pPr>
        <w:spacing w:before="141" w:line="291" w:lineRule="auto"/>
        <w:ind w:left="9179" w:right="1130" w:hanging="280"/>
        <w:rPr>
          <w:rFonts w:ascii="SimHei" w:eastAsia="SimHei" w:hAnsi="SimHei" w:cs="SimHei"/>
          <w:sz w:val="24"/>
          <w:szCs w:val="24"/>
        </w:rPr>
      </w:pPr>
      <w:r>
        <w:rPr>
          <w:rFonts w:ascii="SimHei" w:eastAsia="SimHei" w:hAnsi="SimHei" w:cs="SimHei"/>
          <w:spacing w:val="1"/>
          <w:sz w:val="24"/>
          <w:szCs w:val="24"/>
        </w:rPr>
        <w:t>◆本报告以行业内热点舆情事件分析为核心内容，选</w:t>
      </w:r>
      <w:r>
        <w:rPr>
          <w:rFonts w:ascii="SimHei" w:eastAsia="SimHei" w:hAnsi="SimHei" w:cs="SimHei"/>
          <w:sz w:val="24"/>
          <w:szCs w:val="24"/>
        </w:rPr>
        <w:t>题以当月舆情事件的热度和代表性</w:t>
      </w:r>
      <w:r>
        <w:rPr>
          <w:rFonts w:ascii="SimHei" w:eastAsia="SimHei" w:hAnsi="SimHei" w:cs="SimHei"/>
          <w:sz w:val="24"/>
          <w:szCs w:val="24"/>
        </w:rPr>
        <w:t xml:space="preserve"> </w:t>
      </w:r>
      <w:r>
        <w:rPr>
          <w:rFonts w:ascii="SimHei" w:eastAsia="SimHei" w:hAnsi="SimHei" w:cs="SimHei"/>
          <w:sz w:val="24"/>
          <w:szCs w:val="24"/>
        </w:rPr>
        <w:t>为标准。此版块将分析事件的舆情概况、网友观点及媒体观点，同时深入分析事件对</w:t>
      </w:r>
      <w:r>
        <w:rPr>
          <w:rFonts w:ascii="SimHei" w:eastAsia="SimHei" w:hAnsi="SimHei" w:cs="SimHei"/>
          <w:spacing w:val="8"/>
          <w:sz w:val="24"/>
          <w:szCs w:val="24"/>
        </w:rPr>
        <w:t xml:space="preserve"> </w:t>
      </w:r>
      <w:r>
        <w:rPr>
          <w:rFonts w:ascii="SimHei" w:eastAsia="SimHei" w:hAnsi="SimHei" w:cs="SimHei"/>
          <w:spacing w:val="-1"/>
          <w:sz w:val="24"/>
          <w:szCs w:val="24"/>
        </w:rPr>
        <w:t>关联企业、整体行业的影响，以期给读者传递全新</w:t>
      </w:r>
      <w:r>
        <w:rPr>
          <w:rFonts w:ascii="SimHei" w:eastAsia="SimHei" w:hAnsi="SimHei" w:cs="SimHei"/>
          <w:spacing w:val="-2"/>
          <w:sz w:val="24"/>
          <w:szCs w:val="24"/>
        </w:rPr>
        <w:t>的、深入的、有效的行业观察。</w:t>
      </w:r>
    </w:p>
    <w:p>
      <w:pPr>
        <w:spacing w:before="162" w:line="277" w:lineRule="auto"/>
        <w:ind w:left="9179" w:right="1160" w:hanging="280"/>
        <w:rPr>
          <w:rFonts w:ascii="SimHei" w:eastAsia="SimHei" w:hAnsi="SimHei" w:cs="SimHei"/>
          <w:sz w:val="24"/>
          <w:szCs w:val="24"/>
        </w:rPr>
        <w:sectPr>
          <w:headerReference w:type="default" r:id="rId8"/>
          <w:pgSz w:w="19200" w:h="10800"/>
          <w:pgMar w:top="400" w:right="0" w:bottom="0" w:left="0" w:header="0" w:footer="0" w:gutter="0"/>
          <w:pgNumType w:start="3"/>
          <w:cols w:space="708"/>
        </w:sectPr>
      </w:pPr>
      <w:r>
        <w:rPr>
          <w:rFonts w:ascii="SimHei" w:eastAsia="SimHei" w:hAnsi="SimHei" w:cs="SimHei"/>
          <w:sz w:val="24"/>
          <w:szCs w:val="24"/>
        </w:rPr>
        <w:t>◆此外，本报告还提供当月政策与监管动态分析以及本行业动态概览，可协助读者在短</w:t>
      </w:r>
      <w:r>
        <w:rPr>
          <w:rFonts w:ascii="SimHei" w:eastAsia="SimHei" w:hAnsi="SimHei" w:cs="SimHei"/>
          <w:spacing w:val="18"/>
          <w:sz w:val="24"/>
          <w:szCs w:val="24"/>
        </w:rPr>
        <w:t xml:space="preserve"> </w:t>
      </w:r>
      <w:r>
        <w:rPr>
          <w:rFonts w:ascii="SimHei" w:eastAsia="SimHei" w:hAnsi="SimHei" w:cs="SimHei"/>
          <w:spacing w:val="-2"/>
          <w:sz w:val="24"/>
          <w:szCs w:val="24"/>
        </w:rPr>
        <w:t>时间内快速了解全行业动态。</w:t>
      </w:r>
    </w:p>
    <w:p>
      <w:pPr>
        <w:spacing w:before="140" w:line="276" w:lineRule="auto"/>
        <w:ind w:left="9179" w:right="1151" w:hanging="280"/>
        <w:rPr>
          <w:rFonts w:ascii="SimHei" w:eastAsia="SimHei" w:hAnsi="SimHei" w:cs="SimHei"/>
          <w:sz w:val="24"/>
          <w:szCs w:val="24"/>
        </w:rPr>
      </w:pPr>
      <w:r>
        <w:rPr>
          <w:rFonts w:ascii="SimHei" w:eastAsia="SimHei" w:hAnsi="SimHei" w:cs="SimHei"/>
          <w:spacing w:val="1"/>
          <w:sz w:val="24"/>
          <w:szCs w:val="24"/>
        </w:rPr>
        <w:t>◆分析师观察为报告整体内容的综合，以热点舆情事件为立足</w:t>
      </w:r>
      <w:r>
        <w:rPr>
          <w:rFonts w:ascii="SimHei" w:eastAsia="SimHei" w:hAnsi="SimHei" w:cs="SimHei"/>
          <w:sz w:val="24"/>
          <w:szCs w:val="24"/>
        </w:rPr>
        <w:t>点，总结事件特点，探索</w:t>
      </w:r>
      <w:r>
        <w:rPr>
          <w:rFonts w:ascii="SimHei" w:eastAsia="SimHei" w:hAnsi="SimHei" w:cs="SimHei"/>
          <w:sz w:val="24"/>
          <w:szCs w:val="24"/>
        </w:rPr>
        <w:t xml:space="preserve"> </w:t>
      </w:r>
      <w:r>
        <w:rPr>
          <w:rFonts w:ascii="SimHei" w:eastAsia="SimHei" w:hAnsi="SimHei" w:cs="SimHei"/>
          <w:spacing w:val="-2"/>
          <w:sz w:val="24"/>
          <w:szCs w:val="24"/>
        </w:rPr>
        <w:t>对行业的影响，并简单预测行业风向和发展趋势。</w:t>
      </w:r>
    </w:p>
    <w:p>
      <w:pPr>
        <w:spacing w:line="276" w:lineRule="auto"/>
        <w:rPr>
          <w:rFonts w:ascii="SimHei" w:eastAsia="SimHei" w:hAnsi="SimHei" w:cs="SimHei"/>
          <w:sz w:val="24"/>
          <w:szCs w:val="24"/>
        </w:rPr>
        <w:sectPr>
          <w:headerReference w:type="default" r:id="rId9"/>
          <w:type w:val="nextPage"/>
          <w:pgSz w:w="19200" w:h="10800"/>
          <w:pgMar w:top="400" w:right="0" w:bottom="0" w:left="0" w:header="0" w:footer="0" w:gutter="0"/>
          <w:pgNumType w:start="4"/>
          <w:cols w:space="708"/>
          <w:titlePg w:val="0"/>
        </w:sectPr>
      </w:pPr>
    </w:p>
    <w:p>
      <w:pPr>
        <w:pStyle w:val="BodyText"/>
        <w:spacing w:before="70" w:line="198" w:lineRule="auto"/>
        <w:ind w:left="17909"/>
        <w:rPr>
          <w:sz w:val="20"/>
          <w:szCs w:val="20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-253806</wp:posOffset>
            </wp:positionV>
            <wp:extent cx="12192000" cy="685800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009687"/>
          <w:spacing w:val="-5"/>
          <w:sz w:val="20"/>
          <w:szCs w:val="20"/>
        </w:rPr>
        <w:t>Mediaforce</w:t>
      </w:r>
    </w:p>
    <w:p>
      <w:pPr>
        <w:spacing w:before="367" w:line="221" w:lineRule="auto"/>
        <w:ind w:left="12745"/>
        <w:rPr>
          <w:rFonts w:ascii="SimHei" w:eastAsia="SimHei" w:hAnsi="SimHei" w:cs="SimHei"/>
          <w:sz w:val="40"/>
          <w:szCs w:val="40"/>
        </w:rPr>
      </w:pPr>
      <w:r>
        <w:rPr>
          <w:rFonts w:ascii="SimHei" w:eastAsia="SimHei" w:hAnsi="SimHei" w:cs="SimHei"/>
          <w:b/>
          <w:bCs/>
          <w:color w:val="E57A00"/>
          <w:spacing w:val="-7"/>
          <w:sz w:val="40"/>
          <w:szCs w:val="40"/>
        </w:rPr>
        <w:t>研究方法</w:t>
      </w:r>
    </w:p>
    <w:p>
      <w:pPr>
        <w:pStyle w:val="BodyText"/>
        <w:spacing w:line="299" w:lineRule="auto"/>
      </w:pPr>
    </w:p>
    <w:p>
      <w:pPr>
        <w:pStyle w:val="BodyText"/>
        <w:spacing w:line="300" w:lineRule="auto"/>
      </w:pPr>
    </w:p>
    <w:p>
      <w:pPr>
        <w:spacing w:before="78" w:line="213" w:lineRule="auto"/>
        <w:ind w:left="8929"/>
        <w:rPr>
          <w:rFonts w:ascii="SimHei" w:eastAsia="SimHei" w:hAnsi="SimHei" w:cs="SimHei"/>
          <w:sz w:val="24"/>
          <w:szCs w:val="24"/>
        </w:rPr>
      </w:pPr>
      <w:r>
        <w:rPr>
          <w:rFonts w:ascii="SimHei" w:eastAsia="SimHei" w:hAnsi="SimHei" w:cs="SimHei"/>
          <w:sz w:val="24"/>
          <w:szCs w:val="24"/>
        </w:rPr>
        <w:t>本报告数据主要来源于百分点舆情洞察系统，基于百分点科</w:t>
      </w:r>
      <w:r>
        <w:rPr>
          <w:rFonts w:ascii="SimHei" w:eastAsia="SimHei" w:hAnsi="SimHei" w:cs="SimHei"/>
          <w:spacing w:val="-1"/>
          <w:sz w:val="24"/>
          <w:szCs w:val="24"/>
        </w:rPr>
        <w:t>技自身对行业长期观察获得</w:t>
      </w:r>
    </w:p>
    <w:p>
      <w:pPr>
        <w:spacing w:before="163" w:line="213" w:lineRule="auto"/>
        <w:ind w:left="8929"/>
        <w:rPr>
          <w:rFonts w:ascii="SimHei" w:eastAsia="SimHei" w:hAnsi="SimHei" w:cs="SimHei"/>
          <w:sz w:val="24"/>
          <w:szCs w:val="24"/>
        </w:rPr>
      </w:pPr>
      <w:r>
        <w:rPr>
          <w:rFonts w:ascii="SimHei" w:eastAsia="SimHei" w:hAnsi="SimHei" w:cs="SimHei"/>
          <w:spacing w:val="-2"/>
          <w:sz w:val="24"/>
          <w:szCs w:val="24"/>
        </w:rPr>
        <w:t>的行业知识，并运用案头研究、交叉学科研</w:t>
      </w:r>
      <w:r>
        <w:rPr>
          <w:rFonts w:ascii="SimHei" w:eastAsia="SimHei" w:hAnsi="SimHei" w:cs="SimHei"/>
          <w:spacing w:val="-3"/>
          <w:sz w:val="24"/>
          <w:szCs w:val="24"/>
        </w:rPr>
        <w:t>究等方法。</w:t>
      </w:r>
    </w:p>
    <w:p>
      <w:pPr>
        <w:pStyle w:val="BodyText"/>
        <w:spacing w:line="280" w:lineRule="auto"/>
      </w:pPr>
    </w:p>
    <w:p>
      <w:pPr>
        <w:pStyle w:val="BodyText"/>
        <w:spacing w:line="280" w:lineRule="auto"/>
      </w:pPr>
    </w:p>
    <w:p>
      <w:pPr>
        <w:spacing w:before="78" w:line="222" w:lineRule="auto"/>
        <w:ind w:left="8933"/>
        <w:rPr>
          <w:rFonts w:ascii="SimHei" w:eastAsia="SimHei" w:hAnsi="SimHei" w:cs="SimHei"/>
          <w:sz w:val="24"/>
          <w:szCs w:val="24"/>
        </w:rPr>
      </w:pPr>
      <w:r>
        <w:rPr>
          <w:rFonts w:ascii="SimHei" w:eastAsia="SimHei" w:hAnsi="SimHei" w:cs="SimHei"/>
          <w:b/>
          <w:bCs/>
          <w:spacing w:val="30"/>
          <w:sz w:val="24"/>
          <w:szCs w:val="24"/>
        </w:rPr>
        <w:t>全媒体信息覆盖</w:t>
      </w:r>
    </w:p>
    <w:p>
      <w:pPr>
        <w:pStyle w:val="BodyText"/>
        <w:spacing w:before="151" w:line="297" w:lineRule="auto"/>
        <w:ind w:left="9179" w:right="1319" w:hanging="250"/>
        <w:rPr>
          <w:rFonts w:ascii="SimHei" w:eastAsia="SimHei" w:hAnsi="SimHei" w:cs="SimHei"/>
          <w:sz w:val="24"/>
          <w:szCs w:val="24"/>
        </w:rPr>
      </w:pPr>
      <w:r>
        <w:rPr>
          <w:rFonts w:ascii="SimHei" w:eastAsia="SimHei" w:hAnsi="SimHei" w:cs="SimHei"/>
          <w:spacing w:val="1"/>
          <w:sz w:val="24"/>
          <w:szCs w:val="24"/>
        </w:rPr>
        <w:t>◆百分点舆情洞察系统覆盖新舆情环境下的全媒体信息，包括新</w:t>
      </w:r>
      <w:r>
        <w:rPr>
          <w:rFonts w:ascii="SimHei" w:eastAsia="SimHei" w:hAnsi="SimHei" w:cs="SimHei"/>
          <w:sz w:val="24"/>
          <w:szCs w:val="24"/>
        </w:rPr>
        <w:t>闻资讯、报刊、自媒</w:t>
      </w:r>
      <w:r>
        <w:rPr>
          <w:rFonts w:ascii="SimHei" w:eastAsia="SimHei" w:hAnsi="SimHei" w:cs="SimHei"/>
          <w:sz w:val="24"/>
          <w:szCs w:val="24"/>
        </w:rPr>
        <w:t xml:space="preserve"> </w:t>
      </w:r>
      <w:r>
        <w:rPr>
          <w:rFonts w:ascii="SimHei" w:eastAsia="SimHei" w:hAnsi="SimHei" w:cs="SimHei"/>
          <w:spacing w:val="-1"/>
          <w:sz w:val="24"/>
          <w:szCs w:val="24"/>
        </w:rPr>
        <w:t>体、微博、微信、问答、视频、评论等十多项信源渠道，横跨</w:t>
      </w:r>
      <w:r>
        <w:rPr>
          <w:spacing w:val="-1"/>
          <w:sz w:val="24"/>
          <w:szCs w:val="24"/>
        </w:rPr>
        <w:t>PC</w:t>
      </w:r>
      <w:r>
        <w:rPr>
          <w:rFonts w:ascii="SimHei" w:eastAsia="SimHei" w:hAnsi="SimHei" w:cs="SimHei"/>
          <w:spacing w:val="-1"/>
          <w:sz w:val="24"/>
          <w:szCs w:val="24"/>
        </w:rPr>
        <w:t>及移动端、境内外</w:t>
      </w:r>
      <w:r>
        <w:rPr>
          <w:rFonts w:ascii="SimHei" w:eastAsia="SimHei" w:hAnsi="SimHei" w:cs="SimHei"/>
          <w:spacing w:val="3"/>
          <w:sz w:val="24"/>
          <w:szCs w:val="24"/>
        </w:rPr>
        <w:t xml:space="preserve"> </w:t>
      </w:r>
      <w:r>
        <w:rPr>
          <w:rFonts w:ascii="SimHei" w:eastAsia="SimHei" w:hAnsi="SimHei" w:cs="SimHei"/>
          <w:spacing w:val="1"/>
          <w:sz w:val="24"/>
          <w:szCs w:val="24"/>
        </w:rPr>
        <w:t>240多万个信源点。</w:t>
      </w:r>
    </w:p>
    <w:p>
      <w:pPr>
        <w:pStyle w:val="BodyText"/>
        <w:spacing w:line="269" w:lineRule="auto"/>
      </w:pPr>
    </w:p>
    <w:p>
      <w:pPr>
        <w:pStyle w:val="BodyText"/>
        <w:spacing w:line="269" w:lineRule="auto"/>
      </w:pPr>
    </w:p>
    <w:p>
      <w:pPr>
        <w:spacing w:before="79" w:line="222" w:lineRule="auto"/>
        <w:ind w:left="8933"/>
        <w:rPr>
          <w:rFonts w:ascii="SimHei" w:eastAsia="SimHei" w:hAnsi="SimHei" w:cs="SimHei"/>
          <w:sz w:val="24"/>
          <w:szCs w:val="24"/>
        </w:rPr>
      </w:pPr>
      <w:r>
        <w:rPr>
          <w:rFonts w:ascii="SimHei" w:eastAsia="SimHei" w:hAnsi="SimHei" w:cs="SimHei"/>
          <w:b/>
          <w:bCs/>
          <w:spacing w:val="32"/>
          <w:sz w:val="24"/>
          <w:szCs w:val="24"/>
        </w:rPr>
        <w:t>智能精准分析</w:t>
      </w:r>
    </w:p>
    <w:p>
      <w:pPr>
        <w:spacing w:before="174" w:line="420" w:lineRule="exact"/>
        <w:ind w:left="8929"/>
        <w:rPr>
          <w:rFonts w:ascii="SimHei" w:eastAsia="SimHei" w:hAnsi="SimHei" w:cs="SimHei"/>
          <w:sz w:val="24"/>
          <w:szCs w:val="24"/>
        </w:rPr>
      </w:pPr>
      <w:r>
        <w:rPr>
          <w:rFonts w:ascii="SimHei" w:eastAsia="SimHei" w:hAnsi="SimHei" w:cs="SimHei"/>
          <w:position w:val="13"/>
          <w:sz w:val="24"/>
          <w:szCs w:val="24"/>
        </w:rPr>
        <w:t>◆深度探索人工智能在自然语言处理方面的应用，包括机器智能负</w:t>
      </w:r>
      <w:r>
        <w:rPr>
          <w:rFonts w:ascii="SimHei" w:eastAsia="SimHei" w:hAnsi="SimHei" w:cs="SimHei"/>
          <w:spacing w:val="-1"/>
          <w:position w:val="13"/>
          <w:sz w:val="24"/>
          <w:szCs w:val="24"/>
        </w:rPr>
        <w:t>面判断、重点信息智</w:t>
      </w:r>
    </w:p>
    <w:p>
      <w:pPr>
        <w:spacing w:before="1" w:line="212" w:lineRule="auto"/>
        <w:ind w:left="9180"/>
        <w:rPr>
          <w:rFonts w:ascii="SimHei" w:eastAsia="SimHei" w:hAnsi="SimHei" w:cs="SimHei"/>
          <w:sz w:val="24"/>
          <w:szCs w:val="24"/>
        </w:rPr>
      </w:pPr>
      <w:r>
        <w:rPr>
          <w:rFonts w:ascii="SimHei" w:eastAsia="SimHei" w:hAnsi="SimHei" w:cs="SimHei"/>
          <w:spacing w:val="-1"/>
          <w:sz w:val="24"/>
          <w:szCs w:val="24"/>
        </w:rPr>
        <w:t>能排序，结合行业细分特点和用户日常使用习惯，智能调整负面信息、重点信息定</w:t>
      </w:r>
    </w:p>
    <w:p>
      <w:pPr>
        <w:spacing w:before="143" w:line="213" w:lineRule="auto"/>
        <w:ind w:left="9180"/>
        <w:rPr>
          <w:rFonts w:ascii="SimHei" w:eastAsia="SimHei" w:hAnsi="SimHei" w:cs="SimHei"/>
          <w:sz w:val="24"/>
          <w:szCs w:val="24"/>
        </w:rPr>
      </w:pPr>
      <w:r>
        <w:rPr>
          <w:rFonts w:ascii="SimHei" w:eastAsia="SimHei" w:hAnsi="SimHei" w:cs="SimHei"/>
          <w:spacing w:val="-2"/>
          <w:sz w:val="24"/>
          <w:szCs w:val="24"/>
        </w:rPr>
        <w:t>义，实现更智能的舆情分析效果。</w:t>
      </w:r>
    </w:p>
    <w:p>
      <w:pPr>
        <w:pStyle w:val="BodyText"/>
        <w:spacing w:line="289" w:lineRule="auto"/>
      </w:pPr>
    </w:p>
    <w:p>
      <w:pPr>
        <w:pStyle w:val="BodyText"/>
        <w:spacing w:line="289" w:lineRule="auto"/>
      </w:pPr>
    </w:p>
    <w:p>
      <w:pPr>
        <w:spacing w:before="78" w:line="221" w:lineRule="auto"/>
        <w:ind w:left="8933"/>
        <w:rPr>
          <w:rFonts w:ascii="SimHei" w:eastAsia="SimHei" w:hAnsi="SimHei" w:cs="SimHei"/>
          <w:sz w:val="24"/>
          <w:szCs w:val="24"/>
        </w:rPr>
        <w:sectPr>
          <w:headerReference w:type="default" r:id="rId11"/>
          <w:pgSz w:w="19200" w:h="10800"/>
          <w:pgMar w:top="400" w:right="0" w:bottom="0" w:left="0" w:header="0" w:footer="0" w:gutter="0"/>
          <w:pgNumType w:start="5"/>
          <w:cols w:space="708"/>
        </w:sectPr>
      </w:pPr>
      <w:r>
        <w:rPr>
          <w:rFonts w:ascii="SimHei" w:eastAsia="SimHei" w:hAnsi="SimHei" w:cs="SimHei"/>
          <w:b/>
          <w:bCs/>
          <w:spacing w:val="27"/>
          <w:sz w:val="24"/>
          <w:szCs w:val="24"/>
        </w:rPr>
        <w:t>专业舆情服务</w:t>
      </w:r>
    </w:p>
    <w:p>
      <w:pPr>
        <w:spacing w:before="158" w:line="291" w:lineRule="auto"/>
        <w:ind w:left="9179" w:right="1132" w:hanging="250"/>
        <w:rPr>
          <w:rFonts w:ascii="SimHei" w:eastAsia="SimHei" w:hAnsi="SimHei" w:cs="SimHei"/>
          <w:sz w:val="24"/>
          <w:szCs w:val="24"/>
        </w:rPr>
      </w:pPr>
      <w:r>
        <w:rPr>
          <w:rFonts w:ascii="SimHei" w:eastAsia="SimHei" w:hAnsi="SimHei" w:cs="SimHei"/>
          <w:sz w:val="24"/>
          <w:szCs w:val="24"/>
        </w:rPr>
        <w:t>◆百分点舆情团队拥有数十位资深舆情分析专家，为跨行业、跨领域的客户提供深度报</w:t>
      </w:r>
      <w:r>
        <w:rPr>
          <w:rFonts w:ascii="SimHei" w:eastAsia="SimHei" w:hAnsi="SimHei" w:cs="SimHei"/>
          <w:spacing w:val="16"/>
          <w:sz w:val="24"/>
          <w:szCs w:val="24"/>
        </w:rPr>
        <w:t xml:space="preserve"> </w:t>
      </w:r>
      <w:r>
        <w:rPr>
          <w:rFonts w:ascii="SimHei" w:eastAsia="SimHei" w:hAnsi="SimHei" w:cs="SimHei"/>
          <w:sz w:val="24"/>
          <w:szCs w:val="24"/>
        </w:rPr>
        <w:t>告定制、事件分析、舆情处置方案建议等专业舆情</w:t>
      </w:r>
      <w:r>
        <w:rPr>
          <w:rFonts w:ascii="SimHei" w:eastAsia="SimHei" w:hAnsi="SimHei" w:cs="SimHei"/>
          <w:spacing w:val="-1"/>
          <w:sz w:val="24"/>
          <w:szCs w:val="24"/>
        </w:rPr>
        <w:t>服务，凭借深度解读视角和资深服</w:t>
      </w:r>
      <w:r>
        <w:rPr>
          <w:rFonts w:ascii="SimHei" w:eastAsia="SimHei" w:hAnsi="SimHei" w:cs="SimHei"/>
          <w:sz w:val="24"/>
          <w:szCs w:val="24"/>
        </w:rPr>
        <w:t xml:space="preserve"> </w:t>
      </w:r>
      <w:r>
        <w:rPr>
          <w:rFonts w:ascii="SimHei" w:eastAsia="SimHei" w:hAnsi="SimHei" w:cs="SimHei"/>
          <w:spacing w:val="-2"/>
          <w:sz w:val="24"/>
          <w:szCs w:val="24"/>
        </w:rPr>
        <w:t>务经验，提供无忧舆情服务体验。</w:t>
      </w:r>
    </w:p>
    <w:p>
      <w:pPr>
        <w:spacing w:line="291" w:lineRule="auto"/>
        <w:rPr>
          <w:rFonts w:ascii="SimHei" w:eastAsia="SimHei" w:hAnsi="SimHei" w:cs="SimHei"/>
          <w:sz w:val="24"/>
          <w:szCs w:val="24"/>
        </w:rPr>
        <w:sectPr>
          <w:headerReference w:type="default" r:id="rId12"/>
          <w:type w:val="nextPage"/>
          <w:pgSz w:w="19200" w:h="10800"/>
          <w:pgMar w:top="400" w:right="0" w:bottom="0" w:left="0" w:header="0" w:footer="0" w:gutter="0"/>
          <w:pgNumType w:start="6"/>
          <w:cols w:space="708"/>
          <w:titlePg w:val="0"/>
        </w:sectPr>
      </w:pPr>
    </w:p>
    <w:p>
      <w:pPr>
        <w:pStyle w:val="BodyText"/>
        <w:spacing w:before="70" w:line="198" w:lineRule="auto"/>
        <w:ind w:left="17909"/>
        <w:rPr>
          <w:sz w:val="20"/>
          <w:szCs w:val="20"/>
        </w:rPr>
      </w:pPr>
      <w:r>
        <w:drawing>
          <wp:anchor distT="0" distB="0" distL="0" distR="0" simplePos="0" relativeHeight="251664384" behindDoc="0" locked="0" layoutInCell="0" allowOverlap="1">
            <wp:simplePos x="0" y="0"/>
            <wp:positionH relativeFrom="page">
              <wp:posOffset>10877580</wp:posOffset>
            </wp:positionH>
            <wp:positionV relativeFrom="page">
              <wp:posOffset>152384</wp:posOffset>
            </wp:positionV>
            <wp:extent cx="419039" cy="34290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9039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-253806</wp:posOffset>
            </wp:positionV>
            <wp:extent cx="12192000" cy="685800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2336" behindDoc="0" locked="0" layoutInCell="0" allowOverlap="1">
            <wp:simplePos x="0" y="0"/>
            <wp:positionH relativeFrom="page">
              <wp:posOffset>10299680</wp:posOffset>
            </wp:positionH>
            <wp:positionV relativeFrom="page">
              <wp:posOffset>641360</wp:posOffset>
            </wp:positionV>
            <wp:extent cx="1765279" cy="1416039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65279" cy="1416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25" style="width:67pt;height:64.5pt;margin-top:285pt;margin-left:611pt;mso-position-horizontal-relative:page;mso-position-vertical-relative:page;position:absolute;z-index:251663360" coordorigin="0,0" coordsize="1340,1290" o:allowincell="f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340;height:1290;position:absolute" filled="f" stroked="f">
              <v:imagedata r:id="rId1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1380;height:1486;left:-20;position:absolute;top:-20" filled="f" stroked="f">
              <o:lock v:ext="edit" aspectratio="f"/>
              <v:textbox inset="0,0,0,0">
                <w:txbxContent>
                  <w:p>
                    <w:pPr>
                      <w:pStyle w:val="BodyText"/>
                      <w:spacing w:line="430" w:lineRule="auto"/>
                    </w:pPr>
                  </w:p>
                  <w:p>
                    <w:pPr>
                      <w:spacing w:before="169" w:line="183" w:lineRule="auto"/>
                      <w:ind w:left="407"/>
                      <w:rPr>
                        <w:rFonts w:ascii="SimSun" w:eastAsia="SimSun" w:hAnsi="SimSun" w:cs="SimSun"/>
                        <w:sz w:val="52"/>
                        <w:szCs w:val="52"/>
                      </w:rPr>
                    </w:pPr>
                    <w:r>
                      <w:rPr>
                        <w:rFonts w:ascii="SimSun" w:eastAsia="SimSun" w:hAnsi="SimSun" w:cs="SimSun"/>
                        <w:b/>
                        <w:bCs/>
                        <w:color w:val="FFFFFF"/>
                        <w:spacing w:val="-12"/>
                        <w:sz w:val="52"/>
                        <w:szCs w:val="52"/>
                      </w:rPr>
                      <w:t>04</w:t>
                    </w:r>
                  </w:p>
                </w:txbxContent>
              </v:textbox>
            </v:shape>
          </v:group>
        </w:pict>
      </w:r>
      <w:r>
        <w:pict>
          <v:shape id="_x0000_s1028" type="#_x0000_t202" style="width:24.4pt;height:25.3pt;margin-top:312.88pt;margin-left:793.33pt;mso-position-horizontal-relative:page;mso-position-vertical-relative:page;position:absolute;z-index:251667456" o:allowincell="f" filled="f" stroked="f">
            <o:lock v:ext="edit" aspectratio="f"/>
            <v:textbox inset="0,0,0,0">
              <w:txbxContent>
                <w:p>
                  <w:pPr>
                    <w:spacing w:before="20" w:line="183" w:lineRule="auto"/>
                    <w:ind w:left="20"/>
                    <w:rPr>
                      <w:rFonts w:ascii="SimSun" w:eastAsia="SimSun" w:hAnsi="SimSun" w:cs="SimSun"/>
                      <w:sz w:val="47"/>
                      <w:szCs w:val="47"/>
                    </w:rPr>
                  </w:pPr>
                  <w:r>
                    <w:rPr>
                      <w:rFonts w:ascii="SimSun" w:eastAsia="SimSun" w:hAnsi="SimSun" w:cs="SimSun"/>
                      <w:b/>
                      <w:bCs/>
                      <w:color w:val="FFFFFF"/>
                      <w:spacing w:val="-11"/>
                      <w:sz w:val="47"/>
                      <w:szCs w:val="47"/>
                    </w:rPr>
                    <w:t>05</w:t>
                  </w:r>
                </w:p>
              </w:txbxContent>
            </v:textbox>
          </v:shape>
        </w:pict>
      </w:r>
      <w:r>
        <w:pict>
          <v:shape id="_x0000_s1029" type="#_x0000_t202" style="width:26.8pt;height:27.9pt;margin-top:313.01pt;margin-left:133.37pt;mso-position-horizontal-relative:page;mso-position-vertical-relative:page;position:absolute;z-index:251665408" o:allowincell="f" filled="f" stroked="f">
            <o:lock v:ext="edit" aspectratio="f"/>
            <v:textbox inset="0,0,0,0">
              <w:txbxContent>
                <w:p>
                  <w:pPr>
                    <w:spacing w:before="19" w:line="184" w:lineRule="auto"/>
                    <w:ind w:left="20"/>
                    <w:rPr>
                      <w:rFonts w:ascii="SimSun" w:eastAsia="SimSun" w:hAnsi="SimSun" w:cs="SimSun"/>
                      <w:sz w:val="52"/>
                      <w:szCs w:val="52"/>
                    </w:rPr>
                  </w:pPr>
                  <w:r>
                    <w:rPr>
                      <w:rFonts w:ascii="SimSun" w:eastAsia="SimSun" w:hAnsi="SimSun" w:cs="SimSun"/>
                      <w:b/>
                      <w:bCs/>
                      <w:color w:val="FFFFFF"/>
                      <w:spacing w:val="-12"/>
                      <w:sz w:val="52"/>
                      <w:szCs w:val="52"/>
                    </w:rPr>
                    <w:t>01</w:t>
                  </w:r>
                </w:p>
              </w:txbxContent>
            </v:textbox>
          </v:shape>
        </w:pict>
      </w:r>
      <w:r>
        <w:pict>
          <v:shape id="_x0000_s1030" type="#_x0000_t202" style="width:26.8pt;height:27.8pt;margin-top:313.11pt;margin-left:463.87pt;mso-position-horizontal-relative:page;mso-position-vertical-relative:page;position:absolute;z-index:251666432" o:allowincell="f" filled="f" stroked="f">
            <o:lock v:ext="edit" aspectratio="f"/>
            <v:textbox inset="0,0,0,0">
              <w:txbxContent>
                <w:p>
                  <w:pPr>
                    <w:spacing w:before="20" w:line="183" w:lineRule="auto"/>
                    <w:ind w:left="20"/>
                    <w:rPr>
                      <w:rFonts w:ascii="SimSun" w:eastAsia="SimSun" w:hAnsi="SimSun" w:cs="SimSun"/>
                      <w:sz w:val="52"/>
                      <w:szCs w:val="52"/>
                    </w:rPr>
                  </w:pPr>
                  <w:r>
                    <w:rPr>
                      <w:rFonts w:ascii="SimSun" w:eastAsia="SimSun" w:hAnsi="SimSun" w:cs="SimSun"/>
                      <w:b/>
                      <w:bCs/>
                      <w:color w:val="FFFFFF"/>
                      <w:spacing w:val="-12"/>
                      <w:sz w:val="52"/>
                      <w:szCs w:val="52"/>
                    </w:rPr>
                    <w:t>03</w:t>
                  </w:r>
                </w:p>
              </w:txbxContent>
            </v:textbox>
          </v:shape>
        </w:pict>
      </w:r>
      <w:r>
        <w:rPr>
          <w:color w:val="009687"/>
          <w:spacing w:val="-2"/>
          <w:sz w:val="20"/>
          <w:szCs w:val="20"/>
        </w:rPr>
        <w:t>Mediaforce</w:t>
      </w:r>
    </w:p>
    <w:p>
      <w:pPr>
        <w:pStyle w:val="BodyText"/>
        <w:spacing w:line="261" w:lineRule="auto"/>
      </w:pPr>
    </w:p>
    <w:p>
      <w:pPr>
        <w:pStyle w:val="BodyText"/>
        <w:spacing w:line="261" w:lineRule="auto"/>
      </w:pPr>
    </w:p>
    <w:p>
      <w:pPr>
        <w:spacing w:before="250" w:line="222" w:lineRule="auto"/>
        <w:ind w:left="8810"/>
        <w:rPr>
          <w:rFonts w:ascii="SimHei" w:eastAsia="SimHei" w:hAnsi="SimHei" w:cs="SimHei"/>
          <w:sz w:val="77"/>
          <w:szCs w:val="77"/>
        </w:rPr>
      </w:pPr>
      <w:r>
        <w:rPr>
          <w:rFonts w:ascii="SimHei" w:eastAsia="SimHei" w:hAnsi="SimHei" w:cs="SimHei"/>
          <w:b/>
          <w:bCs/>
          <w:color w:val="E57A00"/>
          <w:spacing w:val="-72"/>
          <w:sz w:val="77"/>
          <w:szCs w:val="77"/>
        </w:rPr>
        <w:t>目</w:t>
      </w:r>
      <w:r>
        <w:rPr>
          <w:rFonts w:ascii="SimHei" w:eastAsia="SimHei" w:hAnsi="SimHei" w:cs="SimHei"/>
          <w:color w:val="E57A00"/>
          <w:spacing w:val="-85"/>
          <w:sz w:val="77"/>
          <w:szCs w:val="77"/>
        </w:rPr>
        <w:t xml:space="preserve"> </w:t>
      </w:r>
      <w:r>
        <w:rPr>
          <w:rFonts w:ascii="SimHei" w:eastAsia="SimHei" w:hAnsi="SimHei" w:cs="SimHei"/>
          <w:b/>
          <w:bCs/>
          <w:color w:val="E57A00"/>
          <w:spacing w:val="-72"/>
          <w:sz w:val="77"/>
          <w:szCs w:val="77"/>
        </w:rPr>
        <w:t>录</w:t>
      </w:r>
    </w:p>
    <w:p>
      <w:pPr>
        <w:pStyle w:val="BodyText"/>
        <w:spacing w:line="307" w:lineRule="auto"/>
      </w:pPr>
    </w:p>
    <w:p>
      <w:pPr>
        <w:pStyle w:val="BodyText"/>
        <w:spacing w:before="149" w:line="198" w:lineRule="auto"/>
        <w:ind w:left="8110"/>
        <w:rPr>
          <w:sz w:val="52"/>
          <w:szCs w:val="52"/>
        </w:rPr>
      </w:pPr>
      <w:r>
        <w:rPr>
          <w:b/>
          <w:bCs/>
          <w:color w:val="E57A00"/>
          <w:spacing w:val="-3"/>
          <w:sz w:val="52"/>
          <w:szCs w:val="52"/>
        </w:rPr>
        <w:t>CONTENTS</w:t>
      </w:r>
    </w:p>
    <w:p>
      <w:pPr>
        <w:pStyle w:val="BodyText"/>
        <w:spacing w:line="262" w:lineRule="auto"/>
      </w:pPr>
    </w:p>
    <w:p>
      <w:pPr>
        <w:pStyle w:val="BodyText"/>
        <w:spacing w:line="262" w:lineRule="auto"/>
      </w:pPr>
    </w:p>
    <w:p>
      <w:pPr>
        <w:pStyle w:val="BodyText"/>
        <w:spacing w:line="262" w:lineRule="auto"/>
      </w:pPr>
    </w:p>
    <w:p>
      <w:pPr>
        <w:pStyle w:val="BodyText"/>
        <w:spacing w:line="262" w:lineRule="auto"/>
      </w:pPr>
    </w:p>
    <w:p>
      <w:pPr>
        <w:pStyle w:val="BodyText"/>
        <w:spacing w:line="262" w:lineRule="auto"/>
      </w:pPr>
    </w:p>
    <w:p>
      <w:pPr>
        <w:pStyle w:val="BodyText"/>
        <w:spacing w:line="262" w:lineRule="auto"/>
      </w:pPr>
    </w:p>
    <w:p>
      <w:pPr>
        <w:pStyle w:val="BodyText"/>
        <w:spacing w:line="263" w:lineRule="auto"/>
      </w:pPr>
    </w:p>
    <w:p>
      <w:pPr>
        <w:pStyle w:val="BodyText"/>
        <w:spacing w:line="263" w:lineRule="auto"/>
      </w:pPr>
    </w:p>
    <w:p>
      <w:pPr>
        <w:pStyle w:val="BodyText"/>
        <w:spacing w:line="263" w:lineRule="auto"/>
      </w:pPr>
    </w:p>
    <w:p>
      <w:pPr>
        <w:pStyle w:val="BodyText"/>
        <w:spacing w:line="1310" w:lineRule="exact"/>
        <w:ind w:firstLine="5640"/>
      </w:pPr>
      <w:r>
        <w:rPr>
          <w:position w:val="-26"/>
        </w:rPr>
        <w:pict>
          <v:shape id="_x0000_i1031" type="#_x0000_t202" style="width:67pt;height:65.55pt;mso-position-horizontal-relative:char;mso-position-vertical-relative:line" filled="t" fillcolor="#a5a5a5" stroked="f">
            <o:lock v:ext="edit" aspectratio="f"/>
            <v:textbox inset="0,0,0,0">
              <w:txbxContent>
                <w:p>
                  <w:pPr>
                    <w:spacing w:line="42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169" w:line="183" w:lineRule="auto"/>
                    <w:ind w:left="337"/>
                    <w:rPr>
                      <w:rFonts w:ascii="SimSun" w:eastAsia="SimSun" w:hAnsi="SimSun" w:cs="SimSun"/>
                      <w:sz w:val="52"/>
                      <w:szCs w:val="52"/>
                    </w:rPr>
                  </w:pPr>
                  <w:r>
                    <w:rPr>
                      <w:rFonts w:ascii="SimSun" w:eastAsia="SimSun" w:hAnsi="SimSun" w:cs="SimSun"/>
                      <w:b/>
                      <w:bCs/>
                      <w:color w:val="FFFFFF"/>
                      <w:spacing w:val="-12"/>
                      <w:sz w:val="52"/>
                      <w:szCs w:val="52"/>
                    </w:rPr>
                    <w:t>02</w:t>
                  </w:r>
                </w:p>
              </w:txbxContent>
            </v:textbox>
            <w10:wrap type="none"/>
          </v:shape>
        </w:pict>
      </w:r>
    </w:p>
    <w:p>
      <w:pPr>
        <w:pStyle w:val="BodyText"/>
        <w:spacing w:line="304" w:lineRule="auto"/>
      </w:pPr>
    </w:p>
    <w:p>
      <w:pPr>
        <w:pStyle w:val="BodyText"/>
        <w:spacing w:line="304" w:lineRule="auto"/>
      </w:pPr>
    </w:p>
    <w:p>
      <w:pPr>
        <w:pStyle w:val="BodyText"/>
        <w:spacing w:line="304" w:lineRule="auto"/>
        <w:sectPr>
          <w:headerReference w:type="default" r:id="rId17"/>
          <w:pgSz w:w="19200" w:h="10800"/>
          <w:pgMar w:top="400" w:right="0" w:bottom="0" w:left="0" w:header="0" w:footer="0" w:gutter="0"/>
          <w:pgNumType w:start="7"/>
          <w:cols w:space="708"/>
        </w:sectPr>
      </w:pPr>
    </w:p>
    <w:p>
      <w:pPr>
        <w:spacing w:before="104" w:line="222" w:lineRule="auto"/>
        <w:ind w:left="1880"/>
        <w:rPr>
          <w:rFonts w:ascii="SimHei" w:eastAsia="SimHei" w:hAnsi="SimHei" w:cs="SimHei"/>
          <w:sz w:val="32"/>
          <w:szCs w:val="32"/>
        </w:rPr>
      </w:pPr>
      <w:r>
        <w:rPr>
          <w:rFonts w:ascii="SimHei" w:eastAsia="SimHei" w:hAnsi="SimHei" w:cs="SimHei"/>
          <w:color w:val="E57A00"/>
          <w:spacing w:val="2"/>
          <w:sz w:val="32"/>
          <w:szCs w:val="32"/>
        </w:rPr>
        <w:t>政策与监管动态</w:t>
      </w:r>
      <w:r>
        <w:rPr>
          <w:rFonts w:ascii="SimHei" w:eastAsia="SimHei" w:hAnsi="SimHei" w:cs="SimHei"/>
          <w:color w:val="E57A00"/>
          <w:spacing w:val="2"/>
          <w:sz w:val="32"/>
          <w:szCs w:val="32"/>
        </w:rPr>
        <w:t xml:space="preserve">       </w:t>
      </w:r>
      <w:r>
        <w:rPr>
          <w:rFonts w:ascii="SimHei" w:eastAsia="SimHei" w:hAnsi="SimHei" w:cs="SimHei"/>
          <w:spacing w:val="2"/>
          <w:sz w:val="32"/>
          <w:szCs w:val="32"/>
        </w:rPr>
        <w:t>月度事件盘点</w:t>
      </w:r>
      <w:r>
        <w:rPr>
          <w:rFonts w:ascii="SimHei" w:eastAsia="SimHei" w:hAnsi="SimHei" w:cs="SimHei"/>
          <w:spacing w:val="2"/>
          <w:sz w:val="32"/>
          <w:szCs w:val="32"/>
        </w:rPr>
        <w:t xml:space="preserve">         </w:t>
      </w:r>
      <w:r>
        <w:rPr>
          <w:rFonts w:ascii="SimHei" w:eastAsia="SimHei" w:hAnsi="SimHei" w:cs="SimHei"/>
          <w:spacing w:val="2"/>
          <w:sz w:val="32"/>
          <w:szCs w:val="32"/>
        </w:rPr>
        <w:t>重点事件解</w:t>
      </w:r>
      <w:r>
        <w:rPr>
          <w:rFonts w:ascii="SimHei" w:eastAsia="SimHei" w:hAnsi="SimHei" w:cs="SimHei"/>
          <w:spacing w:val="1"/>
          <w:sz w:val="32"/>
          <w:szCs w:val="32"/>
        </w:rPr>
        <w:t>读</w:t>
      </w:r>
      <w:r>
        <w:rPr>
          <w:rFonts w:ascii="SimHei" w:eastAsia="SimHei" w:hAnsi="SimHei" w:cs="SimHei"/>
          <w:spacing w:val="1"/>
          <w:sz w:val="32"/>
          <w:szCs w:val="32"/>
        </w:rPr>
        <w:t xml:space="preserve">        </w:t>
      </w:r>
      <w:r>
        <w:rPr>
          <w:rFonts w:ascii="SimHei" w:eastAsia="SimHei" w:hAnsi="SimHei" w:cs="SimHei"/>
          <w:spacing w:val="1"/>
          <w:sz w:val="32"/>
          <w:szCs w:val="32"/>
        </w:rPr>
        <w:t>热点事件分析</w:t>
      </w:r>
      <w:r>
        <w:rPr>
          <w:rFonts w:ascii="SimHei" w:eastAsia="SimHei" w:hAnsi="SimHei" w:cs="SimHei"/>
          <w:spacing w:val="1"/>
          <w:sz w:val="32"/>
          <w:szCs w:val="32"/>
        </w:rPr>
        <w:t xml:space="preserve">          </w:t>
      </w:r>
      <w:r>
        <w:rPr>
          <w:rFonts w:ascii="SimHei" w:eastAsia="SimHei" w:hAnsi="SimHei" w:cs="SimHei"/>
          <w:spacing w:val="1"/>
          <w:sz w:val="32"/>
          <w:szCs w:val="32"/>
        </w:rPr>
        <w:t>分析师观察</w:t>
      </w:r>
    </w:p>
    <w:p>
      <w:pPr>
        <w:spacing w:line="222" w:lineRule="auto"/>
        <w:rPr>
          <w:rFonts w:ascii="SimHei" w:eastAsia="SimHei" w:hAnsi="SimHei" w:cs="SimHei"/>
          <w:sz w:val="32"/>
          <w:szCs w:val="32"/>
        </w:rPr>
        <w:sectPr>
          <w:headerReference w:type="default" r:id="rId18"/>
          <w:type w:val="nextPage"/>
          <w:pgSz w:w="19200" w:h="10800"/>
          <w:pgMar w:top="400" w:right="0" w:bottom="0" w:left="0" w:header="0" w:footer="0" w:gutter="0"/>
          <w:pgNumType w:start="8"/>
          <w:cols w:space="708"/>
          <w:titlePg w:val="0"/>
        </w:sectPr>
      </w:pPr>
    </w:p>
    <w:p>
      <w:pPr>
        <w:pStyle w:val="BodyText"/>
        <w:spacing w:before="70" w:line="140" w:lineRule="exact"/>
        <w:ind w:right="19"/>
        <w:jc w:val="right"/>
        <w:rPr>
          <w:sz w:val="20"/>
          <w:szCs w:val="20"/>
        </w:rPr>
      </w:pPr>
      <w:r>
        <mc:AlternateContent>
          <mc:Choice Requires="wps">
            <w:drawing>
              <wp:anchor distT="0" distB="0" distL="0" distR="0" simplePos="0" relativeHeight="251670528" behindDoc="0" locked="0" layoutInCell="0" allowOverlap="1">
                <wp:simplePos x="0" y="0"/>
                <wp:positionH relativeFrom="page">
                  <wp:posOffset>8722311</wp:posOffset>
                </wp:positionH>
                <wp:positionV relativeFrom="page">
                  <wp:posOffset>5609970</wp:posOffset>
                </wp:positionV>
                <wp:extent cx="250825" cy="180975"/>
                <wp:effectExtent l="0" t="0" r="0" b="0"/>
                <wp:wrapNone/>
                <wp:docPr id="14" name="TextBox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8722311" y="5609970"/>
                          <a:ext cx="250825" cy="18097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57" w:line="225" w:lineRule="auto"/>
                              <w:ind w:left="20"/>
                              <w:rPr>
                                <w:rFonts w:ascii="SimSun" w:eastAsia="SimSun" w:hAnsi="SimSun" w:cs="SimSun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16"/>
                                <w:sz w:val="17"/>
                                <w:szCs w:val="17"/>
                              </w:rPr>
                              <w:t>:</w:t>
                            </w:r>
                            <w:r>
                              <w:rPr>
                                <w:rFonts w:ascii="SimSun" w:eastAsia="SimSun" w:hAnsi="SimSun" w:cs="SimSun"/>
                                <w:spacing w:val="57"/>
                                <w:w w:val="101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SimSun" w:eastAsia="SimSun" w:hAnsi="SimSun" w:cs="SimSun"/>
                                <w:spacing w:val="-16"/>
                                <w:sz w:val="17"/>
                                <w:szCs w:val="17"/>
                              </w:rPr>
                              <w:t>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4" o:spid="_x0000_s1032" type="#_x0000_t202" style="width:19.75pt;height:14.25pt;margin-top:441.73pt;margin-left:686.8pt;mso-position-horizontal-relative:page;mso-position-vertical-relative:page;mso-wrap-distance-bottom:0;mso-wrap-distance-left:0;mso-wrap-distance-right:0;mso-wrap-distance-top:0;position:absolute;rotation:90;v-text-anchor:top;z-index:251669504" o:allowincell="f" filled="f" fillcolor="this" stroked="f">
                <v:textbox inset="0,0,0,0">
                  <w:txbxContent>
                    <w:p>
                      <w:pPr>
                        <w:spacing w:before="57" w:line="225" w:lineRule="auto"/>
                        <w:ind w:left="20"/>
                        <w:rPr>
                          <w:rFonts w:ascii="SimSun" w:eastAsia="SimSun" w:hAnsi="SimSun" w:cs="SimSun"/>
                          <w:sz w:val="17"/>
                          <w:szCs w:val="17"/>
                        </w:rPr>
                      </w:pPr>
                      <w:r>
                        <w:rPr>
                          <w:rFonts w:ascii="SimSun" w:eastAsia="SimSun" w:hAnsi="SimSun" w:cs="SimSun"/>
                          <w:spacing w:val="-16"/>
                          <w:sz w:val="17"/>
                          <w:szCs w:val="17"/>
                        </w:rPr>
                        <w:t>:</w:t>
                      </w:r>
                      <w:r>
                        <w:rPr>
                          <w:rFonts w:ascii="SimSun" w:eastAsia="SimSun" w:hAnsi="SimSun" w:cs="SimSun"/>
                          <w:spacing w:val="57"/>
                          <w:w w:val="101"/>
                          <w:sz w:val="17"/>
                          <w:szCs w:val="17"/>
                        </w:rPr>
                        <w:t xml:space="preserve"> </w:t>
                      </w:r>
                      <w:r>
                        <w:rPr>
                          <w:rFonts w:ascii="SimSun" w:eastAsia="SimSun" w:hAnsi="SimSun" w:cs="SimSun"/>
                          <w:spacing w:val="-16"/>
                          <w:sz w:val="17"/>
                          <w:szCs w:val="17"/>
                        </w:rPr>
                        <w:t>照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72576" behindDoc="0" locked="0" layoutInCell="0" allowOverlap="1">
                <wp:simplePos x="0" y="0"/>
                <wp:positionH relativeFrom="page">
                  <wp:posOffset>8797279</wp:posOffset>
                </wp:positionH>
                <wp:positionV relativeFrom="page">
                  <wp:posOffset>5535479</wp:posOffset>
                </wp:positionV>
                <wp:extent cx="475615" cy="174625"/>
                <wp:effectExtent l="0" t="0" r="0" b="0"/>
                <wp:wrapNone/>
                <wp:docPr id="16" name="TextBox 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8797279" y="5535479"/>
                          <a:ext cx="475615" cy="17462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52" w:line="219" w:lineRule="auto"/>
                              <w:jc w:val="right"/>
                              <w:rPr>
                                <w:rFonts w:ascii="SimSun" w:eastAsia="SimSun" w:hAnsi="SimSun" w:cs="SimSun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24"/>
                                <w:sz w:val="17"/>
                                <w:szCs w:val="17"/>
                              </w:rPr>
                              <w:t>明</w:t>
                            </w:r>
                            <w:r>
                              <w:rPr>
                                <w:rFonts w:ascii="SimSun" w:eastAsia="SimSun" w:hAnsi="SimSun" w:cs="SimSun"/>
                                <w:spacing w:val="35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SimSun" w:eastAsia="SimSun" w:hAnsi="SimSun" w:cs="SimSun"/>
                                <w:spacing w:val="-24"/>
                                <w:sz w:val="17"/>
                                <w:szCs w:val="17"/>
                              </w:rPr>
                              <w:t>不</w:t>
                            </w:r>
                            <w:r>
                              <w:rPr>
                                <w:rFonts w:ascii="SimSun" w:eastAsia="SimSun" w:hAnsi="SimSun" w:cs="SimSun"/>
                                <w:spacing w:val="49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SimSun" w:eastAsia="SimSun" w:hAnsi="SimSun" w:cs="SimSun"/>
                                <w:spacing w:val="-9"/>
                                <w:sz w:val="17"/>
                                <w:szCs w:val="17"/>
                              </w:rPr>
                              <w:t>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6" o:spid="_x0000_s1033" type="#_x0000_t202" style="width:37.45pt;height:13.75pt;margin-top:435.86pt;margin-left:692.7pt;mso-position-horizontal-relative:page;mso-position-vertical-relative:page;mso-wrap-distance-bottom:0;mso-wrap-distance-left:0;mso-wrap-distance-right:0;mso-wrap-distance-top:0;position:absolute;rotation:90;v-text-anchor:top;z-index:251671552" o:allowincell="f" filled="f" fillcolor="this" stroked="f">
                <v:textbox inset="0,0,0,0">
                  <w:txbxContent>
                    <w:p>
                      <w:pPr>
                        <w:spacing w:before="52" w:line="219" w:lineRule="auto"/>
                        <w:jc w:val="right"/>
                        <w:rPr>
                          <w:rFonts w:ascii="SimSun" w:eastAsia="SimSun" w:hAnsi="SimSun" w:cs="SimSun"/>
                          <w:sz w:val="17"/>
                          <w:szCs w:val="17"/>
                        </w:rPr>
                      </w:pPr>
                      <w:r>
                        <w:rPr>
                          <w:rFonts w:ascii="SimSun" w:eastAsia="SimSun" w:hAnsi="SimSun" w:cs="SimSun"/>
                          <w:spacing w:val="-24"/>
                          <w:sz w:val="17"/>
                          <w:szCs w:val="17"/>
                        </w:rPr>
                        <w:t>明</w:t>
                      </w:r>
                      <w:r>
                        <w:rPr>
                          <w:rFonts w:ascii="SimSun" w:eastAsia="SimSun" w:hAnsi="SimSun" w:cs="SimSun"/>
                          <w:spacing w:val="35"/>
                          <w:sz w:val="17"/>
                          <w:szCs w:val="17"/>
                        </w:rPr>
                        <w:t xml:space="preserve"> </w:t>
                      </w:r>
                      <w:r>
                        <w:rPr>
                          <w:rFonts w:ascii="SimSun" w:eastAsia="SimSun" w:hAnsi="SimSun" w:cs="SimSun"/>
                          <w:spacing w:val="-24"/>
                          <w:sz w:val="17"/>
                          <w:szCs w:val="17"/>
                        </w:rPr>
                        <w:t>不</w:t>
                      </w:r>
                      <w:r>
                        <w:rPr>
                          <w:rFonts w:ascii="SimSun" w:eastAsia="SimSun" w:hAnsi="SimSun" w:cs="SimSun"/>
                          <w:spacing w:val="49"/>
                          <w:sz w:val="17"/>
                          <w:szCs w:val="17"/>
                        </w:rPr>
                        <w:t xml:space="preserve"> </w:t>
                      </w:r>
                      <w:r>
                        <w:rPr>
                          <w:rFonts w:ascii="SimSun" w:eastAsia="SimSun" w:hAnsi="SimSun" w:cs="SimSun"/>
                          <w:spacing w:val="-9"/>
                          <w:sz w:val="17"/>
                          <w:szCs w:val="17"/>
                        </w:rPr>
                        <w:t>己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668480" behindDoc="0" locked="0" layoutInCell="0" allowOverlap="1">
            <wp:simplePos x="0" y="0"/>
            <wp:positionH relativeFrom="page">
              <wp:posOffset>10877580</wp:posOffset>
            </wp:positionH>
            <wp:positionV relativeFrom="page">
              <wp:posOffset>133319</wp:posOffset>
            </wp:positionV>
            <wp:extent cx="438181" cy="381030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8181" cy="381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009687"/>
          <w:spacing w:val="-5"/>
          <w:position w:val="-3"/>
          <w:sz w:val="20"/>
          <w:szCs w:val="20"/>
        </w:rPr>
        <w:t>Mediaforce</w:t>
      </w:r>
    </w:p>
    <w:p>
      <w:pPr>
        <w:rPr>
          <w:rFonts w:ascii="SimHei" w:eastAsia="SimHei" w:hAnsi="SimHei" w:cs="SimHei"/>
          <w:sz w:val="38"/>
          <w:szCs w:val="38"/>
        </w:rPr>
      </w:pPr>
      <w:r>
        <w:rPr>
          <w:rFonts w:ascii="SimHei" w:eastAsia="SimHei" w:hAnsi="SimHei" w:cs="SimHei"/>
          <w:color w:val="E57A00"/>
          <w:position w:val="-26"/>
          <w:sz w:val="38"/>
          <w:szCs w:val="38"/>
        </w:rPr>
        <w:drawing>
          <wp:inline distT="0" distB="0" distL="0" distR="0">
            <wp:extent cx="431840" cy="412748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31840" cy="412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eastAsia="SimHei" w:hAnsi="SimHei" w:cs="SimHei"/>
          <w:color w:val="E57A00"/>
          <w:spacing w:val="-24"/>
          <w:sz w:val="38"/>
          <w:szCs w:val="38"/>
        </w:rPr>
        <w:t xml:space="preserve"> </w:t>
      </w:r>
      <w:r>
        <w:rPr>
          <w:rFonts w:ascii="SimHei" w:eastAsia="SimHei" w:hAnsi="SimHei" w:cs="SimHei"/>
          <w:b/>
          <w:bCs/>
          <w:color w:val="E57A00"/>
          <w:spacing w:val="14"/>
          <w:sz w:val="38"/>
          <w:szCs w:val="38"/>
        </w:rPr>
        <w:t>上海就含糖饮料健康提示标识的制作样式及设置规范向社会公</w:t>
      </w:r>
      <w:r>
        <w:rPr>
          <w:rFonts w:ascii="SimHei" w:eastAsia="SimHei" w:hAnsi="SimHei" w:cs="SimHei"/>
          <w:b/>
          <w:bCs/>
          <w:color w:val="E57A00"/>
          <w:spacing w:val="13"/>
          <w:sz w:val="38"/>
          <w:szCs w:val="38"/>
        </w:rPr>
        <w:t>开征求意见</w:t>
      </w:r>
    </w:p>
    <w:p>
      <w:pPr>
        <w:pStyle w:val="BodyText"/>
        <w:spacing w:line="339" w:lineRule="auto"/>
      </w:pPr>
    </w:p>
    <w:p>
      <w:pPr>
        <w:spacing w:before="65" w:line="402" w:lineRule="auto"/>
        <w:ind w:left="259" w:right="750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19"/>
          <w:sz w:val="20"/>
          <w:szCs w:val="20"/>
        </w:rPr>
        <w:t>为贯彻落实《上海市爱国卫生与健康促进条例》</w:t>
      </w:r>
      <w:r>
        <w:rPr>
          <w:rFonts w:ascii="SimHei" w:eastAsia="SimHei" w:hAnsi="SimHei" w:cs="SimHei"/>
          <w:spacing w:val="100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19"/>
          <w:sz w:val="20"/>
          <w:szCs w:val="20"/>
        </w:rPr>
        <w:t>《上海市人民政府关于深入推进爱国卫生运动的实施意见》</w:t>
      </w:r>
      <w:r>
        <w:rPr>
          <w:rFonts w:ascii="SimHei" w:eastAsia="SimHei" w:hAnsi="SimHei" w:cs="SimHei"/>
          <w:spacing w:val="51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19"/>
          <w:sz w:val="20"/>
          <w:szCs w:val="20"/>
        </w:rPr>
        <w:t>《</w:t>
      </w:r>
      <w:r>
        <w:rPr>
          <w:rFonts w:ascii="SimHei" w:eastAsia="SimHei" w:hAnsi="SimHei" w:cs="SimHei"/>
          <w:spacing w:val="-29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19"/>
          <w:sz w:val="20"/>
          <w:szCs w:val="20"/>
        </w:rPr>
        <w:t>上</w:t>
      </w:r>
      <w:r>
        <w:rPr>
          <w:rFonts w:ascii="SimHei" w:eastAsia="SimHei" w:hAnsi="SimHei" w:cs="SimHei"/>
          <w:spacing w:val="-46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19"/>
          <w:sz w:val="20"/>
          <w:szCs w:val="20"/>
        </w:rPr>
        <w:t>海</w:t>
      </w:r>
      <w:r>
        <w:rPr>
          <w:rFonts w:ascii="SimHei" w:eastAsia="SimHei" w:hAnsi="SimHei" w:cs="SimHei"/>
          <w:spacing w:val="-44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19"/>
          <w:sz w:val="20"/>
          <w:szCs w:val="20"/>
        </w:rPr>
        <w:t>市</w:t>
      </w:r>
      <w:r>
        <w:rPr>
          <w:rFonts w:ascii="SimHei" w:eastAsia="SimHei" w:hAnsi="SimHei" w:cs="SimHei"/>
          <w:spacing w:val="-34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19"/>
          <w:sz w:val="20"/>
          <w:szCs w:val="20"/>
        </w:rPr>
        <w:t>国</w:t>
      </w:r>
      <w:r>
        <w:rPr>
          <w:rFonts w:ascii="SimHei" w:eastAsia="SimHei" w:hAnsi="SimHei" w:cs="SimHei"/>
          <w:spacing w:val="-34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19"/>
          <w:sz w:val="20"/>
          <w:szCs w:val="20"/>
        </w:rPr>
        <w:t>民</w:t>
      </w:r>
      <w:r>
        <w:rPr>
          <w:rFonts w:ascii="SimHei" w:eastAsia="SimHei" w:hAnsi="SimHei" w:cs="SimHei"/>
          <w:spacing w:val="-42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19"/>
          <w:sz w:val="20"/>
          <w:szCs w:val="20"/>
        </w:rPr>
        <w:t>营</w:t>
      </w:r>
      <w:r>
        <w:rPr>
          <w:rFonts w:ascii="SimHei" w:eastAsia="SimHei" w:hAnsi="SimHei" w:cs="SimHei"/>
          <w:spacing w:val="-46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19"/>
          <w:sz w:val="20"/>
          <w:szCs w:val="20"/>
        </w:rPr>
        <w:t>养</w:t>
      </w:r>
      <w:r>
        <w:rPr>
          <w:rFonts w:ascii="SimHei" w:eastAsia="SimHei" w:hAnsi="SimHei" w:cs="SimHei"/>
          <w:spacing w:val="-45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19"/>
          <w:sz w:val="20"/>
          <w:szCs w:val="20"/>
        </w:rPr>
        <w:t>计</w:t>
      </w:r>
      <w:r>
        <w:rPr>
          <w:rFonts w:ascii="SimHei" w:eastAsia="SimHei" w:hAnsi="SimHei" w:cs="SimHei"/>
          <w:spacing w:val="-47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19"/>
          <w:sz w:val="20"/>
          <w:szCs w:val="20"/>
        </w:rPr>
        <w:t>划</w:t>
      </w:r>
      <w:r>
        <w:rPr>
          <w:rFonts w:ascii="SimHei" w:eastAsia="SimHei" w:hAnsi="SimHei" w:cs="SimHei"/>
          <w:spacing w:val="-9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19"/>
          <w:sz w:val="20"/>
          <w:szCs w:val="20"/>
        </w:rPr>
        <w:t>(</w:t>
      </w:r>
      <w:r>
        <w:rPr>
          <w:rFonts w:ascii="SimHei" w:eastAsia="SimHei" w:hAnsi="SimHei" w:cs="SimHei"/>
          <w:spacing w:val="-47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19"/>
          <w:sz w:val="20"/>
          <w:szCs w:val="20"/>
        </w:rPr>
        <w:t>2</w:t>
      </w:r>
      <w:r>
        <w:rPr>
          <w:rFonts w:ascii="SimHei" w:eastAsia="SimHei" w:hAnsi="SimHei" w:cs="SimHei"/>
          <w:spacing w:val="-48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19"/>
          <w:sz w:val="20"/>
          <w:szCs w:val="20"/>
        </w:rPr>
        <w:t>0</w:t>
      </w:r>
      <w:r>
        <w:rPr>
          <w:rFonts w:ascii="SimHei" w:eastAsia="SimHei" w:hAnsi="SimHei" w:cs="SimHei"/>
          <w:spacing w:val="-36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19"/>
          <w:sz w:val="20"/>
          <w:szCs w:val="20"/>
        </w:rPr>
        <w:t>1</w:t>
      </w:r>
      <w:r>
        <w:rPr>
          <w:rFonts w:ascii="SimHei" w:eastAsia="SimHei" w:hAnsi="SimHei" w:cs="SimHei"/>
          <w:spacing w:val="-51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19"/>
          <w:sz w:val="20"/>
          <w:szCs w:val="20"/>
        </w:rPr>
        <w:t>9</w:t>
      </w:r>
      <w:r>
        <w:rPr>
          <w:rFonts w:ascii="SimHei" w:eastAsia="SimHei" w:hAnsi="SimHei" w:cs="SimHei"/>
          <w:spacing w:val="-50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18"/>
          <w:sz w:val="20"/>
          <w:szCs w:val="20"/>
        </w:rPr>
        <w:t>-</w:t>
      </w:r>
      <w:r>
        <w:rPr>
          <w:rFonts w:ascii="SimHei" w:eastAsia="SimHei" w:hAnsi="SimHei" w:cs="SimHei"/>
          <w:spacing w:val="-48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18"/>
          <w:sz w:val="20"/>
          <w:szCs w:val="20"/>
        </w:rPr>
        <w:t>2</w:t>
      </w:r>
      <w:r>
        <w:rPr>
          <w:rFonts w:ascii="SimHei" w:eastAsia="SimHei" w:hAnsi="SimHei" w:cs="SimHei"/>
          <w:spacing w:val="-47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18"/>
          <w:sz w:val="20"/>
          <w:szCs w:val="20"/>
        </w:rPr>
        <w:t>0</w:t>
      </w:r>
      <w:r>
        <w:rPr>
          <w:rFonts w:ascii="SimHei" w:eastAsia="SimHei" w:hAnsi="SimHei" w:cs="SimHei"/>
          <w:spacing w:val="-46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18"/>
          <w:sz w:val="20"/>
          <w:szCs w:val="20"/>
        </w:rPr>
        <w:t>3</w:t>
      </w:r>
      <w:r>
        <w:rPr>
          <w:rFonts w:ascii="SimHei" w:eastAsia="SimHei" w:hAnsi="SimHei" w:cs="SimHei"/>
          <w:spacing w:val="-48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18"/>
          <w:sz w:val="20"/>
          <w:szCs w:val="20"/>
        </w:rPr>
        <w:t>0</w:t>
      </w:r>
      <w:r>
        <w:rPr>
          <w:rFonts w:ascii="SimHei" w:eastAsia="SimHei" w:hAnsi="SimHei" w:cs="SimHei"/>
          <w:spacing w:val="-45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18"/>
          <w:sz w:val="20"/>
          <w:szCs w:val="20"/>
        </w:rPr>
        <w:t>年</w:t>
      </w:r>
      <w:r>
        <w:rPr>
          <w:rFonts w:ascii="SimHei" w:eastAsia="SimHei" w:hAnsi="SimHei" w:cs="SimHei"/>
          <w:spacing w:val="-50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18"/>
          <w:sz w:val="20"/>
          <w:szCs w:val="20"/>
        </w:rPr>
        <w:t>)</w:t>
      </w:r>
      <w:r>
        <w:rPr>
          <w:rFonts w:ascii="SimHei" w:eastAsia="SimHei" w:hAnsi="SimHei" w:cs="SimHei"/>
          <w:spacing w:val="-40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18"/>
          <w:sz w:val="20"/>
          <w:szCs w:val="20"/>
        </w:rPr>
        <w:t>实</w:t>
      </w:r>
      <w:r>
        <w:rPr>
          <w:rFonts w:ascii="SimHei" w:eastAsia="SimHei" w:hAnsi="SimHei" w:cs="SimHei"/>
          <w:spacing w:val="-48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18"/>
          <w:sz w:val="20"/>
          <w:szCs w:val="20"/>
        </w:rPr>
        <w:t>施</w:t>
      </w:r>
      <w:r>
        <w:rPr>
          <w:rFonts w:ascii="SimHei" w:eastAsia="SimHei" w:hAnsi="SimHei" w:cs="SimHei"/>
          <w:spacing w:val="-42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18"/>
          <w:sz w:val="20"/>
          <w:szCs w:val="20"/>
        </w:rPr>
        <w:t>方</w:t>
      </w:r>
      <w:r>
        <w:rPr>
          <w:rFonts w:ascii="SimHei" w:eastAsia="SimHei" w:hAnsi="SimHei" w:cs="SimHei"/>
          <w:spacing w:val="-44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18"/>
          <w:sz w:val="20"/>
          <w:szCs w:val="20"/>
        </w:rPr>
        <w:t>案</w:t>
      </w:r>
      <w:r>
        <w:rPr>
          <w:rFonts w:ascii="SimHei" w:eastAsia="SimHei" w:hAnsi="SimHei" w:cs="SimHei"/>
          <w:spacing w:val="-40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18"/>
          <w:sz w:val="20"/>
          <w:szCs w:val="20"/>
        </w:rPr>
        <w:t>》</w:t>
      </w:r>
      <w:r>
        <w:rPr>
          <w:rFonts w:ascii="SimHei" w:eastAsia="SimHei" w:hAnsi="SimHei" w:cs="SimHei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3"/>
          <w:sz w:val="20"/>
          <w:szCs w:val="20"/>
        </w:rPr>
        <w:t>和</w:t>
      </w:r>
      <w:r>
        <w:rPr>
          <w:rFonts w:ascii="SimHei" w:eastAsia="SimHei" w:hAnsi="SimHei" w:cs="SimHei"/>
          <w:spacing w:val="-50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3"/>
          <w:sz w:val="20"/>
          <w:szCs w:val="20"/>
        </w:rPr>
        <w:t>《</w:t>
      </w:r>
      <w:r>
        <w:rPr>
          <w:rFonts w:ascii="SimHei" w:eastAsia="SimHei" w:hAnsi="SimHei" w:cs="SimHei"/>
          <w:spacing w:val="-30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3"/>
          <w:sz w:val="20"/>
          <w:szCs w:val="20"/>
        </w:rPr>
        <w:t>健</w:t>
      </w:r>
      <w:r>
        <w:rPr>
          <w:rFonts w:ascii="SimHei" w:eastAsia="SimHei" w:hAnsi="SimHei" w:cs="SimHei"/>
          <w:spacing w:val="-46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3"/>
          <w:sz w:val="20"/>
          <w:szCs w:val="20"/>
        </w:rPr>
        <w:t>康</w:t>
      </w:r>
      <w:r>
        <w:rPr>
          <w:rFonts w:ascii="SimHei" w:eastAsia="SimHei" w:hAnsi="SimHei" w:cs="SimHei"/>
          <w:spacing w:val="-40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3"/>
          <w:sz w:val="20"/>
          <w:szCs w:val="20"/>
        </w:rPr>
        <w:t>上</w:t>
      </w:r>
      <w:r>
        <w:rPr>
          <w:rFonts w:ascii="SimHei" w:eastAsia="SimHei" w:hAnsi="SimHei" w:cs="SimHei"/>
          <w:spacing w:val="-44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3"/>
          <w:sz w:val="20"/>
          <w:szCs w:val="20"/>
        </w:rPr>
        <w:t>海</w:t>
      </w:r>
      <w:r>
        <w:rPr>
          <w:rFonts w:ascii="SimHei" w:eastAsia="SimHei" w:hAnsi="SimHei" w:cs="SimHei"/>
          <w:spacing w:val="-43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3"/>
          <w:sz w:val="20"/>
          <w:szCs w:val="20"/>
        </w:rPr>
        <w:t>行</w:t>
      </w:r>
      <w:r>
        <w:rPr>
          <w:rFonts w:ascii="SimHei" w:eastAsia="SimHei" w:hAnsi="SimHei" w:cs="SimHei"/>
          <w:spacing w:val="-43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3"/>
          <w:sz w:val="20"/>
          <w:szCs w:val="20"/>
        </w:rPr>
        <w:t>动</w:t>
      </w:r>
      <w:r>
        <w:rPr>
          <w:rFonts w:ascii="SimHei" w:eastAsia="SimHei" w:hAnsi="SimHei" w:cs="SimHei"/>
          <w:spacing w:val="24"/>
          <w:sz w:val="20"/>
          <w:szCs w:val="20"/>
        </w:rPr>
        <w:t xml:space="preserve">  </w:t>
      </w:r>
      <w:r>
        <w:rPr>
          <w:rFonts w:ascii="SimHei" w:eastAsia="SimHei" w:hAnsi="SimHei" w:cs="SimHei"/>
          <w:spacing w:val="3"/>
          <w:sz w:val="20"/>
          <w:szCs w:val="20"/>
        </w:rPr>
        <w:t>(2019</w:t>
      </w:r>
      <w:r>
        <w:rPr>
          <w:rFonts w:ascii="SimHei" w:eastAsia="SimHei" w:hAnsi="SimHei" w:cs="SimHei"/>
          <w:spacing w:val="-54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3"/>
          <w:sz w:val="20"/>
          <w:szCs w:val="20"/>
        </w:rPr>
        <w:t>-</w:t>
      </w:r>
      <w:r>
        <w:rPr>
          <w:rFonts w:ascii="SimHei" w:eastAsia="SimHei" w:hAnsi="SimHei" w:cs="SimHei"/>
          <w:spacing w:val="-52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41"/>
          <w:sz w:val="20"/>
          <w:szCs w:val="20"/>
        </w:rPr>
        <w:t>2030年)》中有关含糖饮料控制的工作要求，积极鼓励含糖饮料销售者在有关商品销售区域规范设置健康提</w:t>
      </w:r>
      <w:r>
        <w:rPr>
          <w:rFonts w:ascii="SimHei" w:eastAsia="SimHei" w:hAnsi="SimHei" w:cs="SimHei"/>
          <w:spacing w:val="40"/>
          <w:sz w:val="20"/>
          <w:szCs w:val="20"/>
        </w:rPr>
        <w:t>示标识，提升居民对含</w:t>
      </w:r>
    </w:p>
    <w:p>
      <w:pPr>
        <w:spacing w:line="212" w:lineRule="auto"/>
        <w:ind w:left="259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34"/>
          <w:sz w:val="20"/>
          <w:szCs w:val="20"/>
        </w:rPr>
        <w:t>糖饮料过多摄入的健康危害意识，培育本市市民健康生活方式，上海现</w:t>
      </w:r>
      <w:r>
        <w:rPr>
          <w:rFonts w:ascii="SimHei" w:eastAsia="SimHei" w:hAnsi="SimHei" w:cs="SimHei"/>
          <w:spacing w:val="33"/>
          <w:sz w:val="20"/>
          <w:szCs w:val="20"/>
        </w:rPr>
        <w:t>向社会公开征求对《含糖饮料健康提示标识的制作样式及设置规范</w:t>
      </w:r>
      <w:r>
        <w:rPr>
          <w:rFonts w:ascii="SimHei" w:eastAsia="SimHei" w:hAnsi="SimHei" w:cs="SimHei"/>
          <w:spacing w:val="33"/>
          <w:sz w:val="20"/>
          <w:szCs w:val="20"/>
        </w:rPr>
        <w:t xml:space="preserve">  </w:t>
      </w:r>
      <w:r>
        <w:rPr>
          <w:rFonts w:ascii="SimHei" w:eastAsia="SimHei" w:hAnsi="SimHei" w:cs="SimHei"/>
          <w:spacing w:val="33"/>
          <w:sz w:val="20"/>
          <w:szCs w:val="20"/>
        </w:rPr>
        <w:t>(</w:t>
      </w:r>
      <w:r>
        <w:rPr>
          <w:rFonts w:ascii="SimHei" w:eastAsia="SimHei" w:hAnsi="SimHei" w:cs="SimHei"/>
          <w:spacing w:val="-34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33"/>
          <w:sz w:val="20"/>
          <w:szCs w:val="20"/>
        </w:rPr>
        <w:t>征</w:t>
      </w:r>
      <w:r>
        <w:rPr>
          <w:rFonts w:ascii="SimHei" w:eastAsia="SimHei" w:hAnsi="SimHei" w:cs="SimHei"/>
          <w:spacing w:val="-31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33"/>
          <w:sz w:val="20"/>
          <w:szCs w:val="20"/>
        </w:rPr>
        <w:t>求</w:t>
      </w:r>
      <w:r>
        <w:rPr>
          <w:rFonts w:ascii="SimHei" w:eastAsia="SimHei" w:hAnsi="SimHei" w:cs="SimHei"/>
          <w:spacing w:val="-32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33"/>
          <w:sz w:val="20"/>
          <w:szCs w:val="20"/>
        </w:rPr>
        <w:t>意</w:t>
      </w:r>
      <w:r>
        <w:rPr>
          <w:rFonts w:ascii="SimHei" w:eastAsia="SimHei" w:hAnsi="SimHei" w:cs="SimHei"/>
          <w:spacing w:val="-32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33"/>
          <w:sz w:val="20"/>
          <w:szCs w:val="20"/>
        </w:rPr>
        <w:t>见</w:t>
      </w:r>
      <w:r>
        <w:rPr>
          <w:rFonts w:ascii="SimHei" w:eastAsia="SimHei" w:hAnsi="SimHei" w:cs="SimHei"/>
          <w:spacing w:val="-34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33"/>
          <w:sz w:val="20"/>
          <w:szCs w:val="20"/>
        </w:rPr>
        <w:t>稿</w:t>
      </w:r>
      <w:r>
        <w:rPr>
          <w:rFonts w:ascii="SimHei" w:eastAsia="SimHei" w:hAnsi="SimHei" w:cs="SimHei"/>
          <w:spacing w:val="-37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33"/>
          <w:sz w:val="20"/>
          <w:szCs w:val="20"/>
        </w:rPr>
        <w:t>)</w:t>
      </w:r>
      <w:r>
        <w:rPr>
          <w:rFonts w:ascii="SimHei" w:eastAsia="SimHei" w:hAnsi="SimHei" w:cs="SimHei"/>
          <w:spacing w:val="-27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33"/>
          <w:sz w:val="20"/>
          <w:szCs w:val="20"/>
        </w:rPr>
        <w:t>》</w:t>
      </w:r>
      <w:r>
        <w:rPr>
          <w:rFonts w:ascii="SimHei" w:eastAsia="SimHei" w:hAnsi="SimHei" w:cs="SimHei"/>
          <w:spacing w:val="-22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33"/>
          <w:sz w:val="20"/>
          <w:szCs w:val="20"/>
        </w:rPr>
        <w:t>的</w:t>
      </w:r>
    </w:p>
    <w:p>
      <w:pPr>
        <w:spacing w:line="217" w:lineRule="exact"/>
      </w:pPr>
    </w:p>
    <w:p>
      <w:pPr>
        <w:spacing w:line="217" w:lineRule="exact"/>
        <w:sectPr>
          <w:headerReference w:type="default" r:id="rId21"/>
          <w:footerReference w:type="default" r:id="rId22"/>
          <w:pgSz w:w="19200" w:h="10800"/>
          <w:pgMar w:top="400" w:right="259" w:bottom="454" w:left="989" w:header="0" w:footer="233" w:gutter="0"/>
          <w:pgNumType w:start="9"/>
          <w:cols w:num="1" w:space="708" w:equalWidth="0">
            <w:col w:w="17951" w:space="0"/>
          </w:cols>
        </w:sectPr>
      </w:pPr>
    </w:p>
    <w:p>
      <w:pPr>
        <w:spacing w:before="1" w:line="220" w:lineRule="auto"/>
        <w:ind w:left="259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26"/>
          <w:sz w:val="20"/>
          <w:szCs w:val="20"/>
        </w:rPr>
        <w:t>意见建议。</w:t>
      </w:r>
    </w:p>
    <w:p>
      <w:pPr>
        <w:pStyle w:val="BodyText"/>
        <w:spacing w:line="274" w:lineRule="auto"/>
      </w:pPr>
    </w:p>
    <w:p>
      <w:pPr>
        <w:pStyle w:val="BodyText"/>
        <w:spacing w:line="275" w:lineRule="auto"/>
      </w:pPr>
    </w:p>
    <w:p>
      <w:pPr>
        <w:spacing w:before="66" w:line="222" w:lineRule="auto"/>
        <w:ind w:left="340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color w:val="E47900"/>
          <w:spacing w:val="17"/>
          <w:sz w:val="20"/>
          <w:szCs w:val="20"/>
        </w:rPr>
        <w:t>》</w:t>
      </w:r>
      <w:r>
        <w:rPr>
          <w:rFonts w:ascii="SimHei" w:eastAsia="SimHei" w:hAnsi="SimHei" w:cs="SimHei"/>
          <w:color w:val="E47900"/>
          <w:spacing w:val="-51"/>
          <w:sz w:val="20"/>
          <w:szCs w:val="20"/>
        </w:rPr>
        <w:t xml:space="preserve"> </w:t>
      </w:r>
      <w:r>
        <w:rPr>
          <w:rFonts w:ascii="SimHei" w:eastAsia="SimHei" w:hAnsi="SimHei" w:cs="SimHei"/>
          <w:b/>
          <w:bCs/>
          <w:color w:val="E47900"/>
          <w:spacing w:val="17"/>
          <w:sz w:val="20"/>
          <w:szCs w:val="20"/>
        </w:rPr>
        <w:t>含糖饮料健康提示标识制作样式</w:t>
      </w:r>
    </w:p>
    <w:p>
      <w:pPr>
        <w:spacing w:before="73" w:line="213" w:lineRule="auto"/>
        <w:ind w:left="340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3"/>
          <w:sz w:val="20"/>
          <w:szCs w:val="20"/>
        </w:rPr>
        <w:t>口含糖饮料健康提示标识包括三款，分别为：</w:t>
      </w:r>
    </w:p>
    <w:p>
      <w:pPr>
        <w:spacing w:before="96" w:line="246" w:lineRule="auto"/>
        <w:ind w:left="342" w:right="1019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b/>
          <w:bCs/>
          <w:spacing w:val="7"/>
          <w:sz w:val="20"/>
          <w:szCs w:val="20"/>
        </w:rPr>
        <w:t>口长期过量摄入添加糖健康提示标识(红色标识):建议“不喝</w:t>
      </w:r>
      <w:r>
        <w:rPr>
          <w:rFonts w:ascii="SimHei" w:eastAsia="SimHei" w:hAnsi="SimHei" w:cs="SimHei"/>
          <w:b/>
          <w:bCs/>
          <w:spacing w:val="6"/>
          <w:sz w:val="20"/>
          <w:szCs w:val="20"/>
        </w:rPr>
        <w:t>或少喝含糖饮料”。</w:t>
      </w:r>
      <w:r>
        <w:rPr>
          <w:rFonts w:ascii="SimHei" w:eastAsia="SimHei" w:hAnsi="SimHei" w:cs="SimHei"/>
          <w:spacing w:val="6"/>
          <w:sz w:val="20"/>
          <w:szCs w:val="20"/>
        </w:rPr>
        <w:t xml:space="preserve"> </w:t>
      </w:r>
      <w:r>
        <w:rPr>
          <w:rFonts w:ascii="SimHei" w:eastAsia="SimHei" w:hAnsi="SimHei" w:cs="SimHei"/>
          <w:b/>
          <w:bCs/>
          <w:spacing w:val="7"/>
          <w:sz w:val="20"/>
          <w:szCs w:val="20"/>
        </w:rPr>
        <w:t>口</w:t>
      </w:r>
      <w:r>
        <w:rPr>
          <w:rFonts w:ascii="SimHei" w:eastAsia="SimHei" w:hAnsi="SimHei" w:cs="SimHei"/>
          <w:spacing w:val="7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7"/>
          <w:sz w:val="20"/>
          <w:szCs w:val="20"/>
        </w:rPr>
        <w:t>每日添加糖摄入限量提示标识(橙色标识</w:t>
      </w:r>
      <w:r>
        <w:rPr>
          <w:rFonts w:ascii="SimHei" w:eastAsia="SimHei" w:hAnsi="SimHei" w:cs="SimHei"/>
          <w:spacing w:val="6"/>
          <w:sz w:val="20"/>
          <w:szCs w:val="20"/>
        </w:rPr>
        <w:t>):提醒“每日添加糖摄入少于25克”。</w:t>
      </w:r>
    </w:p>
    <w:p>
      <w:pPr>
        <w:spacing w:before="50" w:line="236" w:lineRule="auto"/>
        <w:ind w:left="609" w:right="1009" w:hanging="267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b/>
          <w:bCs/>
          <w:spacing w:val="10"/>
          <w:sz w:val="20"/>
          <w:szCs w:val="20"/>
        </w:rPr>
        <w:t>口</w:t>
      </w:r>
      <w:r>
        <w:rPr>
          <w:rFonts w:ascii="SimHei" w:eastAsia="SimHei" w:hAnsi="SimHei" w:cs="SimHei"/>
          <w:spacing w:val="10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10"/>
          <w:sz w:val="20"/>
          <w:szCs w:val="20"/>
        </w:rPr>
        <w:t>饮料选择指导提示标识(绿色标识):绿色标识</w:t>
      </w:r>
      <w:r>
        <w:rPr>
          <w:rFonts w:ascii="SimHei" w:eastAsia="SimHei" w:hAnsi="SimHei" w:cs="SimHei"/>
          <w:spacing w:val="9"/>
          <w:sz w:val="20"/>
          <w:szCs w:val="20"/>
        </w:rPr>
        <w:t>指导市民“看懂营养成分表”,指</w:t>
      </w:r>
      <w:r>
        <w:rPr>
          <w:rFonts w:ascii="SimHei" w:eastAsia="SimHei" w:hAnsi="SimHei" w:cs="SimHei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-2"/>
          <w:sz w:val="20"/>
          <w:szCs w:val="20"/>
        </w:rPr>
        <w:t>导消费者优化消费选择，理性选择饮品。</w:t>
      </w:r>
    </w:p>
    <w:p>
      <w:pPr>
        <w:pStyle w:val="BodyText"/>
        <w:spacing w:line="338" w:lineRule="auto"/>
      </w:pPr>
    </w:p>
    <w:p>
      <w:pPr>
        <w:spacing w:before="65" w:line="222" w:lineRule="auto"/>
        <w:ind w:left="340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color w:val="E47900"/>
          <w:spacing w:val="17"/>
          <w:sz w:val="20"/>
          <w:szCs w:val="20"/>
        </w:rPr>
        <w:t>&gt;</w:t>
      </w:r>
      <w:r>
        <w:rPr>
          <w:rFonts w:ascii="SimHei" w:eastAsia="SimHei" w:hAnsi="SimHei" w:cs="SimHei"/>
          <w:color w:val="E47900"/>
          <w:spacing w:val="51"/>
          <w:sz w:val="20"/>
          <w:szCs w:val="20"/>
        </w:rPr>
        <w:t xml:space="preserve"> </w:t>
      </w:r>
      <w:r>
        <w:rPr>
          <w:rFonts w:ascii="SimHei" w:eastAsia="SimHei" w:hAnsi="SimHei" w:cs="SimHei"/>
          <w:b/>
          <w:bCs/>
          <w:color w:val="E47900"/>
          <w:spacing w:val="17"/>
          <w:sz w:val="20"/>
          <w:szCs w:val="20"/>
        </w:rPr>
        <w:t>含糖饮料健康提示标识设置规范</w:t>
      </w:r>
    </w:p>
    <w:p>
      <w:pPr>
        <w:spacing w:before="83" w:line="236" w:lineRule="auto"/>
        <w:ind w:left="609" w:right="1002" w:hanging="267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b/>
          <w:bCs/>
          <w:color w:val="E57A00"/>
          <w:spacing w:val="1"/>
          <w:sz w:val="20"/>
          <w:szCs w:val="20"/>
        </w:rPr>
        <w:t>口含糖饮料健康提示标识尺寸：根</w:t>
      </w:r>
      <w:r>
        <w:rPr>
          <w:rFonts w:ascii="SimHei" w:eastAsia="SimHei" w:hAnsi="SimHei" w:cs="SimHei"/>
          <w:spacing w:val="1"/>
          <w:sz w:val="20"/>
          <w:szCs w:val="20"/>
        </w:rPr>
        <w:t>据应用场景不同，含糖饮料健康提示标识尺寸分为</w:t>
      </w:r>
      <w:r>
        <w:rPr>
          <w:rFonts w:ascii="SimHei" w:eastAsia="SimHei" w:hAnsi="SimHei" w:cs="SimHei"/>
          <w:spacing w:val="4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-1"/>
          <w:sz w:val="20"/>
          <w:szCs w:val="20"/>
        </w:rPr>
        <w:t>大版、中版、小版标识，以及双面立体三角牌。</w:t>
      </w:r>
    </w:p>
    <w:p>
      <w:pPr>
        <w:spacing w:before="75" w:line="241" w:lineRule="auto"/>
        <w:ind w:left="611" w:right="1007" w:hanging="269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b/>
          <w:bCs/>
          <w:color w:val="E57A00"/>
          <w:spacing w:val="-1"/>
          <w:sz w:val="20"/>
          <w:szCs w:val="20"/>
        </w:rPr>
        <w:t>口应用场景及要求：</w:t>
      </w:r>
      <w:r>
        <w:rPr>
          <w:rFonts w:ascii="SimHei" w:eastAsia="SimHei" w:hAnsi="SimHei" w:cs="SimHei"/>
          <w:color w:val="E57A00"/>
          <w:spacing w:val="-1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-1"/>
          <w:sz w:val="20"/>
          <w:szCs w:val="20"/>
        </w:rPr>
        <w:t>含糖饮料健康提示标识应用场景分</w:t>
      </w:r>
      <w:r>
        <w:rPr>
          <w:rFonts w:ascii="SimHei" w:eastAsia="SimHei" w:hAnsi="SimHei" w:cs="SimHei"/>
          <w:spacing w:val="-2"/>
          <w:sz w:val="20"/>
          <w:szCs w:val="20"/>
        </w:rPr>
        <w:t>为线上、线下含糖饮料售卖场</w:t>
      </w:r>
      <w:r>
        <w:rPr>
          <w:rFonts w:ascii="SimHei" w:eastAsia="SimHei" w:hAnsi="SimHei" w:cs="SimHei"/>
          <w:sz w:val="20"/>
          <w:szCs w:val="20"/>
        </w:rPr>
        <w:t xml:space="preserve"> </w:t>
      </w:r>
      <w:r>
        <w:rPr>
          <w:rFonts w:ascii="SimHei" w:eastAsia="SimHei" w:hAnsi="SimHei" w:cs="SimHei"/>
          <w:b/>
          <w:bCs/>
          <w:spacing w:val="-2"/>
          <w:sz w:val="20"/>
          <w:szCs w:val="20"/>
        </w:rPr>
        <w:t>所，其中线下含糖</w:t>
      </w:r>
      <w:r>
        <w:rPr>
          <w:rFonts w:ascii="SimHei" w:eastAsia="SimHei" w:hAnsi="SimHei" w:cs="SimHei"/>
          <w:spacing w:val="-2"/>
          <w:sz w:val="20"/>
          <w:szCs w:val="20"/>
        </w:rPr>
        <w:t>饮料售卖场所包括预包装和现制现售含糖饮料场所。</w:t>
      </w:r>
    </w:p>
    <w:p>
      <w:pPr>
        <w:spacing w:before="72" w:line="265" w:lineRule="auto"/>
        <w:ind w:left="609" w:right="969" w:hanging="267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b/>
          <w:bCs/>
          <w:color w:val="E57A00"/>
          <w:spacing w:val="2"/>
          <w:sz w:val="20"/>
          <w:szCs w:val="20"/>
        </w:rPr>
        <w:t>口标识设置规范：</w:t>
      </w:r>
      <w:r>
        <w:rPr>
          <w:rFonts w:ascii="SimHei" w:eastAsia="SimHei" w:hAnsi="SimHei" w:cs="SimHei"/>
          <w:spacing w:val="2"/>
          <w:sz w:val="20"/>
          <w:szCs w:val="20"/>
        </w:rPr>
        <w:t>标识应放置于醒目位置；标识设置高度应与人视线水平高度基本一</w:t>
      </w:r>
      <w:r>
        <w:rPr>
          <w:rFonts w:ascii="SimHei" w:eastAsia="SimHei" w:hAnsi="SimHei" w:cs="SimHei"/>
          <w:spacing w:val="16"/>
          <w:sz w:val="20"/>
          <w:szCs w:val="20"/>
        </w:rPr>
        <w:t xml:space="preserve"> </w:t>
      </w:r>
      <w:r>
        <w:rPr>
          <w:rFonts w:ascii="SimHei" w:eastAsia="SimHei" w:hAnsi="SimHei" w:cs="SimHei"/>
          <w:sz w:val="20"/>
          <w:szCs w:val="20"/>
        </w:rPr>
        <w:t>致；标识设置数量根据使用场景作不同规定，如：含糖饮</w:t>
      </w:r>
      <w:r>
        <w:rPr>
          <w:rFonts w:ascii="SimHei" w:eastAsia="SimHei" w:hAnsi="SimHei" w:cs="SimHei"/>
          <w:spacing w:val="-1"/>
          <w:sz w:val="20"/>
          <w:szCs w:val="20"/>
        </w:rPr>
        <w:t>料货架要求每个货架一块</w:t>
      </w:r>
      <w:r>
        <w:rPr>
          <w:rFonts w:ascii="SimHei" w:eastAsia="SimHei" w:hAnsi="SimHei" w:cs="SimHei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-1"/>
          <w:sz w:val="20"/>
          <w:szCs w:val="20"/>
        </w:rPr>
        <w:t>标识，每台含糖饮料开门式冰箱、自动售卖机设置三类标识各一块，每家奶</w:t>
      </w:r>
      <w:r>
        <w:rPr>
          <w:rFonts w:ascii="SimHei" w:eastAsia="SimHei" w:hAnsi="SimHei" w:cs="SimHei"/>
          <w:spacing w:val="-2"/>
          <w:sz w:val="20"/>
          <w:szCs w:val="20"/>
        </w:rPr>
        <w:t>茶店、</w:t>
      </w:r>
      <w:r>
        <w:rPr>
          <w:rFonts w:ascii="SimHei" w:eastAsia="SimHei" w:hAnsi="SimHei" w:cs="SimHei"/>
          <w:spacing w:val="-2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-2"/>
          <w:sz w:val="20"/>
          <w:szCs w:val="20"/>
        </w:rPr>
        <w:t>咖啡店、餐厅等点餐台三类标识各一块等。</w:t>
      </w:r>
    </w:p>
    <w:p>
      <w:pPr>
        <w:pStyle w:val="BodyText"/>
        <w:spacing w:line="311" w:lineRule="auto"/>
      </w:pPr>
    </w:p>
    <w:p>
      <w:pPr>
        <w:spacing w:before="65" w:line="222" w:lineRule="auto"/>
        <w:ind w:left="340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color w:val="E47900"/>
          <w:spacing w:val="17"/>
          <w:sz w:val="20"/>
          <w:szCs w:val="20"/>
        </w:rPr>
        <w:t>》</w:t>
      </w:r>
      <w:r>
        <w:rPr>
          <w:rFonts w:ascii="SimHei" w:eastAsia="SimHei" w:hAnsi="SimHei" w:cs="SimHei"/>
          <w:color w:val="E47900"/>
          <w:spacing w:val="-44"/>
          <w:sz w:val="20"/>
          <w:szCs w:val="20"/>
        </w:rPr>
        <w:t xml:space="preserve"> </w:t>
      </w:r>
      <w:r>
        <w:rPr>
          <w:rFonts w:ascii="SimHei" w:eastAsia="SimHei" w:hAnsi="SimHei" w:cs="SimHei"/>
          <w:b/>
          <w:bCs/>
          <w:color w:val="E47900"/>
          <w:spacing w:val="17"/>
          <w:sz w:val="20"/>
          <w:szCs w:val="20"/>
        </w:rPr>
        <w:t>注意事项</w:t>
      </w:r>
    </w:p>
    <w:p>
      <w:pPr>
        <w:spacing w:before="73" w:line="245" w:lineRule="auto"/>
        <w:ind w:left="609" w:right="1028" w:hanging="267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b/>
          <w:bCs/>
          <w:spacing w:val="-1"/>
          <w:sz w:val="20"/>
          <w:szCs w:val="20"/>
        </w:rPr>
        <w:t>口</w:t>
      </w:r>
      <w:r>
        <w:rPr>
          <w:rFonts w:ascii="SimHei" w:eastAsia="SimHei" w:hAnsi="SimHei" w:cs="SimHei"/>
          <w:spacing w:val="-1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-1"/>
          <w:sz w:val="20"/>
          <w:szCs w:val="20"/>
        </w:rPr>
        <w:t>含糖饮料健康提示标识规格一般不小于本规</w:t>
      </w:r>
      <w:r>
        <w:rPr>
          <w:rFonts w:ascii="SimHei" w:eastAsia="SimHei" w:hAnsi="SimHei" w:cs="SimHei"/>
          <w:spacing w:val="-2"/>
          <w:sz w:val="20"/>
          <w:szCs w:val="20"/>
        </w:rPr>
        <w:t>范中规定的尺寸和数量，特殊环境下可</w:t>
      </w:r>
      <w:r>
        <w:rPr>
          <w:rFonts w:ascii="SimHei" w:eastAsia="SimHei" w:hAnsi="SimHei" w:cs="SimHei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-3"/>
          <w:sz w:val="20"/>
          <w:szCs w:val="20"/>
        </w:rPr>
        <w:t>酌情缩减，但要做到醒目、规范。</w:t>
      </w:r>
    </w:p>
    <w:p>
      <w:pPr>
        <w:spacing w:before="78" w:line="221" w:lineRule="auto"/>
        <w:ind w:left="342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b/>
          <w:bCs/>
          <w:spacing w:val="-4"/>
          <w:sz w:val="20"/>
          <w:szCs w:val="20"/>
        </w:rPr>
        <w:t>口</w:t>
      </w:r>
      <w:r>
        <w:rPr>
          <w:rFonts w:ascii="SimHei" w:eastAsia="SimHei" w:hAnsi="SimHei" w:cs="SimHei"/>
          <w:spacing w:val="-9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-4"/>
          <w:sz w:val="20"/>
          <w:szCs w:val="20"/>
        </w:rPr>
        <w:t>标识发生污损、脱落等情况应及时维护。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  <w:r>
        <w:rPr>
          <w:sz w:val="2"/>
        </w:rPr>
        <w:br/>
      </w:r>
      <w:r>
        <w:rPr>
          <w:sz w:val="2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3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https://d.book118.com/418135003001006024</w:t>
        </w:r>
      </w:hyperlink>
    </w:p>
    <w:p>
      <w:pPr>
        <w:pStyle w:val="BodyText"/>
        <w:spacing w:line="14" w:lineRule="auto"/>
        <w:rPr>
          <w:sz w:val="2"/>
        </w:rPr>
      </w:pPr>
    </w:p>
    <w:sectPr>
      <w:headerReference w:type="default" r:id="rId24"/>
      <w:footerReference w:type="default" r:id="rId25"/>
      <w:type w:val="continuous"/>
      <w:pgSz w:w="19200" w:h="10800"/>
      <w:pgMar w:top="400" w:right="259" w:bottom="454" w:left="989" w:header="0" w:footer="233" w:gutter="0"/>
      <w:pgNumType w:start="10"/>
      <w:cols w:num="2" w:space="708" w:equalWidth="0">
        <w:col w:w="8821" w:space="100"/>
        <w:col w:w="9031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9" w:lineRule="auto"/>
      <w:jc w:val="right"/>
      <w:rPr>
        <w:rFonts w:ascii="SimSun" w:eastAsia="SimSun" w:hAnsi="SimSun" w:cs="SimSun"/>
        <w:sz w:val="16"/>
        <w:szCs w:val="16"/>
      </w:rPr>
    </w:pPr>
    <w:r>
      <w:rPr>
        <w:rFonts w:ascii="SimHei" w:eastAsia="SimHei" w:hAnsi="SimHei" w:cs="SimHei"/>
        <w:spacing w:val="-4"/>
        <w:sz w:val="16"/>
        <w:szCs w:val="16"/>
      </w:rPr>
      <w:t>图片源自网络</w:t>
    </w:r>
    <w:r>
      <w:rPr>
        <w:rFonts w:ascii="SimHei" w:eastAsia="SimHei" w:hAnsi="SimHei" w:cs="SimHei"/>
        <w:spacing w:val="16"/>
        <w:sz w:val="16"/>
        <w:szCs w:val="16"/>
      </w:rPr>
      <w:t xml:space="preserve">    </w:t>
    </w:r>
    <w:r>
      <w:rPr>
        <w:rFonts w:ascii="SimSun" w:eastAsia="SimSun" w:hAnsi="SimSun" w:cs="SimSun"/>
        <w:spacing w:val="-4"/>
        <w:position w:val="-3"/>
        <w:sz w:val="16"/>
        <w:szCs w:val="16"/>
      </w:rPr>
      <w:t>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9" w:lineRule="auto"/>
      <w:jc w:val="right"/>
      <w:rPr>
        <w:rFonts w:ascii="SimSun" w:eastAsia="SimSun" w:hAnsi="SimSun" w:cs="SimSun"/>
        <w:sz w:val="16"/>
        <w:szCs w:val="16"/>
      </w:rPr>
    </w:pPr>
    <w:r>
      <w:rPr>
        <w:rFonts w:ascii="SimHei" w:eastAsia="SimHei" w:hAnsi="SimHei" w:cs="SimHei"/>
        <w:spacing w:val="-4"/>
        <w:sz w:val="16"/>
        <w:szCs w:val="16"/>
      </w:rPr>
      <w:t>图片源自网络</w:t>
    </w:r>
    <w:r>
      <w:rPr>
        <w:rFonts w:ascii="SimHei" w:eastAsia="SimHei" w:hAnsi="SimHei" w:cs="SimHei"/>
        <w:spacing w:val="16"/>
        <w:sz w:val="16"/>
        <w:szCs w:val="16"/>
      </w:rPr>
      <w:t xml:space="preserve">    </w:t>
    </w:r>
    <w:r>
      <w:rPr>
        <w:rFonts w:ascii="SimSun" w:eastAsia="SimSun" w:hAnsi="SimSun" w:cs="SimSun"/>
        <w:spacing w:val="-4"/>
        <w:position w:val="-3"/>
        <w:sz w:val="16"/>
        <w:szCs w:val="16"/>
      </w:rPr>
      <w:t>5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Hei" w:eastAsia="SimHei" w:hAnsi="SimHei" w:cs="SimHei"/>
      <w:sz w:val="16"/>
      <w:szCs w:val="1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3.png" /><Relationship Id="rId11" Type="http://schemas.openxmlformats.org/officeDocument/2006/relationships/header" Target="header5.xml" /><Relationship Id="rId12" Type="http://schemas.openxmlformats.org/officeDocument/2006/relationships/header" Target="header6.xml" /><Relationship Id="rId13" Type="http://schemas.openxmlformats.org/officeDocument/2006/relationships/image" Target="media/image4.jpeg" /><Relationship Id="rId14" Type="http://schemas.openxmlformats.org/officeDocument/2006/relationships/image" Target="media/image5.jpeg" /><Relationship Id="rId15" Type="http://schemas.openxmlformats.org/officeDocument/2006/relationships/image" Target="media/image6.jpeg" /><Relationship Id="rId16" Type="http://schemas.openxmlformats.org/officeDocument/2006/relationships/image" Target="media/image7.jpeg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image" Target="media/image8.jpeg" /><Relationship Id="rId2" Type="http://schemas.openxmlformats.org/officeDocument/2006/relationships/webSettings" Target="webSettings.xml" /><Relationship Id="rId20" Type="http://schemas.openxmlformats.org/officeDocument/2006/relationships/image" Target="media/image9.jpeg" /><Relationship Id="rId21" Type="http://schemas.openxmlformats.org/officeDocument/2006/relationships/header" Target="header9.xml" /><Relationship Id="rId22" Type="http://schemas.openxmlformats.org/officeDocument/2006/relationships/footer" Target="footer1.xml" /><Relationship Id="rId23" Type="http://schemas.openxmlformats.org/officeDocument/2006/relationships/hyperlink" Target="https://d.book118.com/418135003001006024" TargetMode="External" /><Relationship Id="rId24" Type="http://schemas.openxmlformats.org/officeDocument/2006/relationships/header" Target="header10.xml" /><Relationship Id="rId25" Type="http://schemas.openxmlformats.org/officeDocument/2006/relationships/footer" Target="footer2.xml" /><Relationship Id="rId26" Type="http://schemas.openxmlformats.org/officeDocument/2006/relationships/theme" Target="theme/theme1.xml" /><Relationship Id="rId27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image" Target="media/image2.png" /><Relationship Id="rId8" Type="http://schemas.openxmlformats.org/officeDocument/2006/relationships/header" Target="header3.xml" /><Relationship Id="rId9" Type="http://schemas.openxmlformats.org/officeDocument/2006/relationships/header" Target="header4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2024-01-06T21:06:39Z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2024-01-06T21:06:51Z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659950574bc505001fe84ce4wl</vt:lpwstr>
  </property>
</Properties>
</file>