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一、口腔筹建公司基本信息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_Toc19959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(七)、口腔项目建设必要性分析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(一)、口腔项目进度安排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(二)、口腔项目实施保障措施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(五)、口腔项目总投资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(一)、口腔项目背景分析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(二)、口腔项目建设必要性分析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十、口腔项目经济效益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(三)、口腔项目盈利能力分析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(二)、合作口腔项目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_Toc21066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_Toc29383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52"/>
      <w:r>
        <w:rPr>
          <w:rFonts w:ascii="仿宋" w:eastAsia="仿宋" w:hAnsi="仿宋" w:cs="仿宋" w:hint="eastAsia"/>
          <w:sz w:val="28"/>
          <w:lang w:eastAsia="zh-CN"/>
        </w:rPr>
        <w:t>一、口腔筹建公司基本信息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7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0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6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46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经营范围：从事XXX相关业务(企业依法自主选择经营口腔项目，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开展经营活动；依法须经批准的口腔项目，经相关部门批准后依批准的内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容开展经营活动；不得从事本市产业政策禁止和限制类口腔项目的经营活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63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https://d.book118.com/425101110331011043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510111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2024-01-01T18:40:00Z</dcterms:created>
  <dcterms:modified xsi:type="dcterms:W3CDTF">2024-01-01T18:40:27Z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B7CD214FCFFD4C13B101846D95D685AA_11</vt:lpwstr>
  </property>
  <property fmtid="{D5CDD505-2E9C-101B-9397-08002B2CF9AE}" pid="3" name="KSOProductBuildVer">
    <vt:lpwstr>2052-12.1.0.16120</vt:lpwstr>
  </property>
</Properties>
</file>