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before="114" w:line="226" w:lineRule="auto"/>
        <w:ind w:left="2445"/>
        <w:outlineLvl w:val="0"/>
        <w:rPr>
          <w:rFonts w:ascii="SimHei" w:eastAsia="SimHei" w:hAnsi="SimHei" w:cs="SimHei"/>
          <w:sz w:val="35"/>
          <w:szCs w:val="35"/>
        </w:rPr>
      </w:pPr>
      <w:r>
        <w:rPr>
          <w:rFonts w:ascii="SimHei" w:eastAsia="SimHei" w:hAnsi="SimHei" w:cs="SimHei"/>
          <w:spacing w:val="-3"/>
          <w:sz w:val="35"/>
          <w:szCs w:val="35"/>
        </w:rPr>
        <w:t>用水产品水效标识计量</w:t>
      </w:r>
    </w:p>
    <w:p>
      <w:pPr>
        <w:spacing w:before="51" w:line="226" w:lineRule="auto"/>
        <w:ind w:left="1758"/>
        <w:outlineLvl w:val="0"/>
        <w:rPr>
          <w:rFonts w:ascii="SimHei" w:eastAsia="SimHei" w:hAnsi="SimHei" w:cs="SimHei"/>
          <w:sz w:val="35"/>
          <w:szCs w:val="35"/>
        </w:rPr>
      </w:pPr>
      <w:r>
        <w:rPr>
          <w:rFonts w:ascii="SimHei" w:eastAsia="SimHei" w:hAnsi="SimHei" w:cs="SimHei"/>
          <w:spacing w:val="-3"/>
          <w:sz w:val="35"/>
          <w:szCs w:val="35"/>
        </w:rPr>
        <w:t>专项监督检查工作规范</w:t>
      </w:r>
      <w:r>
        <w:rPr>
          <w:rFonts w:ascii="SimHei" w:eastAsia="SimHei" w:hAnsi="SimHei" w:cs="SimHei"/>
          <w:spacing w:val="165"/>
          <w:sz w:val="35"/>
          <w:szCs w:val="35"/>
        </w:rPr>
        <w:t xml:space="preserve"> </w:t>
      </w:r>
      <w:r>
        <w:rPr>
          <w:rFonts w:ascii="SimHei" w:eastAsia="SimHei" w:hAnsi="SimHei" w:cs="SimHei"/>
          <w:spacing w:val="-3"/>
          <w:sz w:val="35"/>
          <w:szCs w:val="35"/>
        </w:rPr>
        <w:t>淋浴器</w:t>
      </w: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8" w:line="223" w:lineRule="auto"/>
        <w:ind w:left="35"/>
        <w:outlineLvl w:val="0"/>
        <w:rPr>
          <w:rFonts w:ascii="SimHei" w:eastAsia="SimHei" w:hAnsi="SimHei" w:cs="SimHei"/>
          <w:sz w:val="24"/>
          <w:szCs w:val="24"/>
        </w:rPr>
      </w:pPr>
      <w:r>
        <w:rPr>
          <w:rFonts w:ascii="SimHei" w:eastAsia="SimHei" w:hAnsi="SimHei" w:cs="SimHei"/>
          <w:spacing w:val="-12"/>
          <w:sz w:val="24"/>
          <w:szCs w:val="24"/>
        </w:rPr>
        <w:t>1</w:t>
      </w:r>
      <w:r>
        <w:rPr>
          <w:rFonts w:ascii="SimHei" w:eastAsia="SimHei" w:hAnsi="SimHei" w:cs="SimHei"/>
          <w:spacing w:val="13"/>
          <w:sz w:val="24"/>
          <w:szCs w:val="24"/>
        </w:rPr>
        <w:t xml:space="preserve"> </w:t>
      </w:r>
      <w:r>
        <w:rPr>
          <w:rFonts w:ascii="SimHei" w:eastAsia="SimHei" w:hAnsi="SimHei" w:cs="SimHei"/>
          <w:spacing w:val="-12"/>
          <w:sz w:val="24"/>
          <w:szCs w:val="24"/>
        </w:rPr>
        <w:t>范围</w:t>
      </w:r>
    </w:p>
    <w:p>
      <w:pPr>
        <w:spacing w:line="314" w:lineRule="auto"/>
        <w:rPr>
          <w:rFonts w:ascii="Arial"/>
          <w:sz w:val="21"/>
        </w:rPr>
      </w:pPr>
    </w:p>
    <w:p>
      <w:pPr>
        <w:pStyle w:val="BodyText"/>
        <w:spacing w:before="78" w:line="468" w:lineRule="exact"/>
        <w:ind w:left="444"/>
      </w:pPr>
      <w:r>
        <w:rPr>
          <w:spacing w:val="-1"/>
          <w:position w:val="17"/>
        </w:rPr>
        <w:t>本规范规定了淋浴器产品水效标识计量专项监督</w:t>
      </w:r>
      <w:r>
        <w:rPr>
          <w:spacing w:val="-2"/>
          <w:position w:val="17"/>
        </w:rPr>
        <w:t>检查的抽样、检验检查和判</w:t>
      </w:r>
    </w:p>
    <w:p>
      <w:pPr>
        <w:pStyle w:val="BodyText"/>
        <w:spacing w:line="220" w:lineRule="auto"/>
        <w:ind w:left="29"/>
      </w:pPr>
      <w:r>
        <w:rPr>
          <w:spacing w:val="-2"/>
        </w:rPr>
        <w:t>定原则等活动的通用要求和程序。</w:t>
      </w:r>
    </w:p>
    <w:p>
      <w:pPr>
        <w:pStyle w:val="BodyText"/>
        <w:spacing w:before="179" w:line="359" w:lineRule="auto"/>
        <w:ind w:left="52" w:firstLine="451"/>
      </w:pPr>
      <w:r>
        <w:rPr>
          <w:spacing w:val="-7"/>
        </w:rPr>
        <w:t>本规范适用于《中华人民共和国实行水效标识的产品目录》</w:t>
      </w:r>
      <w:r>
        <w:rPr>
          <w:spacing w:val="-8"/>
        </w:rPr>
        <w:t>（以下简称目录）</w:t>
      </w:r>
      <w:r>
        <w:t xml:space="preserve"> </w:t>
      </w:r>
      <w:r>
        <w:rPr>
          <w:spacing w:val="-4"/>
        </w:rPr>
        <w:t>内的淋浴器水效标识国家专项监督检查，地方监管部门组织的水效标识专项监督</w:t>
      </w:r>
    </w:p>
    <w:p>
      <w:pPr>
        <w:pStyle w:val="BodyText"/>
        <w:spacing w:line="220" w:lineRule="auto"/>
        <w:ind w:left="23"/>
      </w:pPr>
      <w:r>
        <w:rPr>
          <w:spacing w:val="-2"/>
        </w:rPr>
        <w:t>检查可参考执行。</w:t>
      </w:r>
    </w:p>
    <w:p>
      <w:pPr>
        <w:spacing w:line="474" w:lineRule="auto"/>
        <w:rPr>
          <w:rFonts w:ascii="Arial"/>
          <w:sz w:val="21"/>
        </w:rPr>
      </w:pPr>
    </w:p>
    <w:p>
      <w:pPr>
        <w:spacing w:before="79" w:line="222" w:lineRule="auto"/>
        <w:ind w:left="21"/>
        <w:outlineLvl w:val="0"/>
        <w:rPr>
          <w:rFonts w:ascii="SimHei" w:eastAsia="SimHei" w:hAnsi="SimHei" w:cs="SimHei"/>
          <w:sz w:val="24"/>
          <w:szCs w:val="24"/>
        </w:rPr>
      </w:pPr>
      <w:r>
        <w:rPr>
          <w:rFonts w:ascii="SimHei" w:eastAsia="SimHei" w:hAnsi="SimHei" w:cs="SimHei"/>
          <w:spacing w:val="-8"/>
          <w:sz w:val="24"/>
          <w:szCs w:val="24"/>
        </w:rPr>
        <w:t>2</w:t>
      </w:r>
      <w:r>
        <w:rPr>
          <w:rFonts w:ascii="SimHei" w:eastAsia="SimHei" w:hAnsi="SimHei" w:cs="SimHei"/>
          <w:spacing w:val="31"/>
          <w:sz w:val="24"/>
          <w:szCs w:val="24"/>
        </w:rPr>
        <w:t xml:space="preserve"> </w:t>
      </w:r>
      <w:r>
        <w:rPr>
          <w:rFonts w:ascii="SimHei" w:eastAsia="SimHei" w:hAnsi="SimHei" w:cs="SimHei"/>
          <w:spacing w:val="-8"/>
          <w:sz w:val="24"/>
          <w:szCs w:val="24"/>
        </w:rPr>
        <w:t>引用文件</w:t>
      </w:r>
    </w:p>
    <w:p>
      <w:pPr>
        <w:spacing w:line="397" w:lineRule="auto"/>
        <w:rPr>
          <w:rFonts w:ascii="Arial"/>
          <w:sz w:val="21"/>
        </w:rPr>
      </w:pPr>
    </w:p>
    <w:p>
      <w:pPr>
        <w:pStyle w:val="BodyText"/>
        <w:spacing w:before="78" w:line="219" w:lineRule="auto"/>
        <w:ind w:left="504"/>
      </w:pPr>
      <w:r>
        <w:rPr>
          <w:spacing w:val="-1"/>
        </w:rPr>
        <w:t>本规范引用了下列文件：</w:t>
      </w:r>
    </w:p>
    <w:p>
      <w:pPr>
        <w:pStyle w:val="BodyText"/>
        <w:spacing w:before="183" w:line="468" w:lineRule="exact"/>
        <w:ind w:left="500"/>
      </w:pPr>
      <w:r>
        <w:rPr>
          <w:position w:val="17"/>
        </w:rPr>
        <w:t>GB 28378-2019 《淋浴器水效限</w:t>
      </w:r>
      <w:r>
        <w:rPr>
          <w:spacing w:val="-1"/>
          <w:position w:val="17"/>
        </w:rPr>
        <w:t>定值及水效等级》</w:t>
      </w:r>
    </w:p>
    <w:p>
      <w:pPr>
        <w:pStyle w:val="BodyText"/>
        <w:spacing w:before="1" w:line="218" w:lineRule="auto"/>
        <w:ind w:left="502"/>
      </w:pPr>
      <w:r>
        <w:rPr>
          <w:spacing w:val="-1"/>
        </w:rPr>
        <w:t>JJF 1059.1</w:t>
      </w:r>
      <w:r>
        <w:rPr>
          <w:spacing w:val="11"/>
        </w:rPr>
        <w:t xml:space="preserve"> </w:t>
      </w:r>
      <w:r>
        <w:rPr>
          <w:spacing w:val="-1"/>
        </w:rPr>
        <w:t>测量不确定度评定与表示</w:t>
      </w:r>
    </w:p>
    <w:p>
      <w:pPr>
        <w:pStyle w:val="BodyText"/>
        <w:spacing w:before="183" w:line="219" w:lineRule="auto"/>
        <w:ind w:left="502"/>
      </w:pPr>
      <w:r>
        <w:rPr>
          <w:spacing w:val="-3"/>
        </w:rPr>
        <w:t>JJF 1071</w:t>
      </w:r>
      <w:r>
        <w:rPr>
          <w:spacing w:val="16"/>
        </w:rPr>
        <w:t xml:space="preserve">   </w:t>
      </w:r>
      <w:r>
        <w:rPr>
          <w:spacing w:val="-3"/>
        </w:rPr>
        <w:t>国家计量校准规范编写规则</w:t>
      </w:r>
    </w:p>
    <w:p>
      <w:pPr>
        <w:pStyle w:val="BodyText"/>
        <w:spacing w:before="184" w:line="220" w:lineRule="auto"/>
        <w:ind w:left="499"/>
      </w:pPr>
      <w:r>
        <w:rPr>
          <w:rFonts w:ascii="Times New Roman" w:eastAsia="Times New Roman" w:hAnsi="Times New Roman" w:cs="Times New Roman"/>
        </w:rPr>
        <w:t xml:space="preserve">JJF XXXX-202X  </w:t>
      </w:r>
      <w:r>
        <w:t>《用水产品水效标识计量专项监督检</w:t>
      </w:r>
      <w:r>
        <w:rPr>
          <w:spacing w:val="-1"/>
        </w:rPr>
        <w:t>查工作规范 总则》</w:t>
      </w:r>
    </w:p>
    <w:p>
      <w:pPr>
        <w:pStyle w:val="BodyText"/>
        <w:spacing w:before="182" w:line="219" w:lineRule="auto"/>
        <w:ind w:left="501"/>
      </w:pPr>
      <w:r>
        <w:rPr>
          <w:spacing w:val="-1"/>
        </w:rPr>
        <w:t>CWL 01-2021 《淋浴器水效标识实施规则》</w:t>
      </w:r>
    </w:p>
    <w:p>
      <w:pPr>
        <w:pStyle w:val="BodyText"/>
        <w:spacing w:before="104" w:line="466" w:lineRule="exact"/>
        <w:ind w:left="508"/>
      </w:pPr>
      <w:r>
        <w:rPr>
          <w:spacing w:val="-3"/>
          <w:position w:val="17"/>
        </w:rPr>
        <w:t>凡是注日期的引用文件，仅注日期的版本适用于本规</w:t>
      </w:r>
      <w:r>
        <w:rPr>
          <w:spacing w:val="-4"/>
          <w:position w:val="17"/>
        </w:rPr>
        <w:t>范；凡是不注日期的引</w:t>
      </w:r>
    </w:p>
    <w:p>
      <w:pPr>
        <w:pStyle w:val="BodyText"/>
        <w:spacing w:line="219" w:lineRule="auto"/>
        <w:ind w:left="25"/>
        <w:sectPr>
          <w:headerReference w:type="default" r:id="rId4"/>
          <w:footerReference w:type="default" r:id="rId5"/>
          <w:pgSz w:w="11906" w:h="16839"/>
          <w:pgMar w:top="1157" w:right="1700" w:bottom="1156" w:left="1785" w:header="915" w:footer="994" w:gutter="0"/>
          <w:cols w:space="708"/>
        </w:sectPr>
      </w:pPr>
      <w:r>
        <w:rPr>
          <w:spacing w:val="-1"/>
        </w:rPr>
        <w:t>用文件，其最新版本（包括所有的修改单）适用于本规范。</w:t>
      </w:r>
    </w:p>
    <w:p>
      <w:pPr>
        <w:spacing w:line="313" w:lineRule="auto"/>
        <w:rPr>
          <w:rFonts w:ascii="Arial"/>
          <w:sz w:val="21"/>
        </w:rPr>
      </w:pPr>
    </w:p>
    <w:p>
      <w:pPr>
        <w:spacing w:line="314" w:lineRule="auto"/>
        <w:rPr>
          <w:rFonts w:ascii="Arial"/>
          <w:sz w:val="21"/>
        </w:rPr>
      </w:pPr>
    </w:p>
    <w:p>
      <w:pPr>
        <w:spacing w:line="314" w:lineRule="auto"/>
        <w:rPr>
          <w:rFonts w:ascii="Arial"/>
          <w:sz w:val="21"/>
        </w:rPr>
      </w:pPr>
    </w:p>
    <w:p>
      <w:pPr>
        <w:spacing w:before="79" w:line="222" w:lineRule="auto"/>
        <w:ind w:left="23"/>
        <w:outlineLvl w:val="0"/>
        <w:rPr>
          <w:rFonts w:ascii="SimHei" w:eastAsia="SimHei" w:hAnsi="SimHei" w:cs="SimHei"/>
          <w:sz w:val="24"/>
          <w:szCs w:val="24"/>
        </w:rPr>
      </w:pPr>
      <w:r>
        <w:rPr>
          <w:rFonts w:ascii="SimHei" w:eastAsia="SimHei" w:hAnsi="SimHei" w:cs="SimHei"/>
          <w:spacing w:val="-2"/>
          <w:sz w:val="24"/>
          <w:szCs w:val="24"/>
        </w:rPr>
        <w:t>3</w:t>
      </w:r>
      <w:r>
        <w:rPr>
          <w:rFonts w:ascii="SimHei" w:eastAsia="SimHei" w:hAnsi="SimHei" w:cs="SimHei"/>
          <w:spacing w:val="-2"/>
          <w:sz w:val="24"/>
          <w:szCs w:val="24"/>
        </w:rPr>
        <w:t xml:space="preserve"> </w:t>
      </w:r>
      <w:r>
        <w:rPr>
          <w:rFonts w:ascii="SimHei" w:eastAsia="SimHei" w:hAnsi="SimHei" w:cs="SimHei"/>
          <w:spacing w:val="-2"/>
          <w:sz w:val="24"/>
          <w:szCs w:val="24"/>
        </w:rPr>
        <w:t>术语和定义</w:t>
      </w:r>
    </w:p>
    <w:p>
      <w:pPr>
        <w:spacing w:line="393" w:lineRule="auto"/>
        <w:rPr>
          <w:rFonts w:ascii="Arial"/>
          <w:sz w:val="21"/>
        </w:rPr>
      </w:pPr>
    </w:p>
    <w:p>
      <w:pPr>
        <w:pStyle w:val="BodyText"/>
        <w:spacing w:before="79" w:line="360" w:lineRule="auto"/>
        <w:ind w:left="20" w:right="99" w:firstLine="481"/>
        <w:jc w:val="both"/>
      </w:pPr>
      <w:r>
        <w:t>JJF XXXX-202X 《用水产品水效标识计量专项监督检查工作规范 总则》及</w:t>
      </w:r>
      <w:r>
        <w:rPr>
          <w:spacing w:val="14"/>
        </w:rPr>
        <w:t xml:space="preserve"> </w:t>
      </w:r>
      <w:r>
        <w:rPr>
          <w:spacing w:val="-1"/>
        </w:rPr>
        <w:t>GB</w:t>
      </w:r>
      <w:r>
        <w:rPr>
          <w:spacing w:val="-48"/>
        </w:rPr>
        <w:t xml:space="preserve"> </w:t>
      </w:r>
      <w:r>
        <w:rPr>
          <w:spacing w:val="-1"/>
        </w:rPr>
        <w:t>28378-2019 《淋浴器水效限定值及水效等级》</w:t>
      </w:r>
      <w:r>
        <w:rPr>
          <w:spacing w:val="-2"/>
        </w:rPr>
        <w:t>界定的术语和定义适用于本规</w:t>
      </w:r>
    </w:p>
    <w:p>
      <w:pPr>
        <w:pStyle w:val="BodyText"/>
        <w:spacing w:line="224" w:lineRule="auto"/>
        <w:ind w:left="29"/>
      </w:pPr>
      <w:r>
        <w:rPr>
          <w:spacing w:val="-8"/>
        </w:rPr>
        <w:t>范。</w:t>
      </w:r>
    </w:p>
    <w:p>
      <w:pPr>
        <w:spacing w:line="224" w:lineRule="auto"/>
        <w:sectPr>
          <w:headerReference w:type="default" r:id="rId6"/>
          <w:footerReference w:type="default" r:id="rId7"/>
          <w:type w:val="nextPage"/>
          <w:pgSz w:w="11906" w:h="16839"/>
          <w:pgMar w:top="1157" w:right="1700" w:bottom="1156" w:left="1785" w:header="915" w:footer="994" w:gutter="0"/>
          <w:pgNumType w:start="2"/>
          <w:cols w:space="708"/>
          <w:titlePg w:val="0"/>
        </w:sectPr>
      </w:pPr>
    </w:p>
    <w:p>
      <w:pPr>
        <w:spacing w:line="317" w:lineRule="auto"/>
        <w:rPr>
          <w:rFonts w:ascii="Arial"/>
          <w:sz w:val="21"/>
        </w:rPr>
      </w:pPr>
    </w:p>
    <w:p>
      <w:pPr>
        <w:pStyle w:val="BodyText"/>
        <w:spacing w:before="78" w:line="214" w:lineRule="auto"/>
        <w:ind w:left="28"/>
      </w:pPr>
      <w:r>
        <w:rPr>
          <w:spacing w:val="-1"/>
        </w:rPr>
        <w:t>3.1 用水产品 water-using products</w:t>
      </w:r>
    </w:p>
    <w:p>
      <w:pPr>
        <w:pStyle w:val="BodyText"/>
        <w:spacing w:before="189" w:line="220" w:lineRule="auto"/>
        <w:ind w:left="508"/>
      </w:pPr>
      <w:r>
        <w:rPr>
          <w:spacing w:val="-1"/>
        </w:rPr>
        <w:t>列入国家实行水效标识管理产品目录的产品。</w:t>
      </w:r>
    </w:p>
    <w:p>
      <w:pPr>
        <w:pStyle w:val="BodyText"/>
        <w:spacing w:before="181" w:line="219" w:lineRule="auto"/>
        <w:ind w:left="28"/>
      </w:pPr>
      <w:r>
        <w:rPr>
          <w:spacing w:val="-3"/>
        </w:rPr>
        <w:t>3.2 淋浴器</w:t>
      </w:r>
      <w:r>
        <w:rPr>
          <w:spacing w:val="13"/>
        </w:rPr>
        <w:t xml:space="preserve">  </w:t>
      </w:r>
      <w:r>
        <w:rPr>
          <w:spacing w:val="-3"/>
        </w:rPr>
        <w:t>showers</w:t>
      </w:r>
    </w:p>
    <w:p>
      <w:pPr>
        <w:pStyle w:val="BodyText"/>
        <w:spacing w:before="183" w:line="219" w:lineRule="auto"/>
        <w:ind w:left="532"/>
      </w:pPr>
      <w:r>
        <w:rPr>
          <w:spacing w:val="-2"/>
        </w:rPr>
        <w:t>由淋浴水嘴与其配套使用的软管、花洒等组成的系统。</w:t>
      </w:r>
    </w:p>
    <w:p>
      <w:pPr>
        <w:pStyle w:val="BodyText"/>
        <w:spacing w:before="183" w:line="220" w:lineRule="auto"/>
        <w:ind w:left="28"/>
      </w:pPr>
      <w:r>
        <w:rPr>
          <w:spacing w:val="-2"/>
        </w:rPr>
        <w:t>3.3 最大流量  maximum</w:t>
      </w:r>
      <w:r>
        <w:rPr>
          <w:spacing w:val="26"/>
        </w:rPr>
        <w:t xml:space="preserve"> </w:t>
      </w:r>
      <w:r>
        <w:rPr>
          <w:spacing w:val="-2"/>
        </w:rPr>
        <w:t>flow</w:t>
      </w:r>
    </w:p>
    <w:p>
      <w:pPr>
        <w:pStyle w:val="BodyText"/>
        <w:spacing w:before="182" w:line="468" w:lineRule="exact"/>
        <w:jc w:val="right"/>
      </w:pPr>
      <w:r>
        <w:rPr>
          <w:spacing w:val="-2"/>
          <w:position w:val="17"/>
        </w:rPr>
        <w:t>在标准规定的试验条件下，淋浴器每种出水方式的流量所能达到的最大值。</w:t>
      </w:r>
    </w:p>
    <w:p>
      <w:pPr>
        <w:pStyle w:val="BodyText"/>
        <w:spacing w:before="1" w:line="215" w:lineRule="auto"/>
        <w:ind w:left="28"/>
      </w:pPr>
      <w:r>
        <w:rPr>
          <w:spacing w:val="-1"/>
        </w:rPr>
        <w:t>3.4 流量均匀性  uniformity of</w:t>
      </w:r>
      <w:r>
        <w:rPr>
          <w:spacing w:val="13"/>
        </w:rPr>
        <w:t xml:space="preserve"> </w:t>
      </w:r>
      <w:r>
        <w:rPr>
          <w:spacing w:val="-1"/>
        </w:rPr>
        <w:t>flow</w:t>
      </w:r>
    </w:p>
    <w:p>
      <w:pPr>
        <w:pStyle w:val="BodyText"/>
        <w:spacing w:before="187" w:line="468" w:lineRule="exact"/>
        <w:ind w:right="54"/>
        <w:jc w:val="right"/>
      </w:pPr>
      <w:r>
        <w:rPr>
          <w:spacing w:val="4"/>
          <w:position w:val="17"/>
        </w:rPr>
        <w:t>在不同试验压力下，淋浴器手持式花洒的最高平均流量与最低平均流量之</w:t>
      </w:r>
    </w:p>
    <w:p>
      <w:pPr>
        <w:pStyle w:val="BodyText"/>
        <w:spacing w:line="227" w:lineRule="auto"/>
        <w:ind w:left="26"/>
      </w:pPr>
      <w:r>
        <w:rPr>
          <w:spacing w:val="-7"/>
        </w:rPr>
        <w:t>差。</w:t>
      </w:r>
    </w:p>
    <w:p>
      <w:pPr>
        <w:pStyle w:val="BodyText"/>
        <w:spacing w:before="173" w:line="215" w:lineRule="auto"/>
        <w:ind w:left="28"/>
      </w:pPr>
      <w:r>
        <w:rPr>
          <w:spacing w:val="-4"/>
        </w:rPr>
        <w:t>3.5</w:t>
      </w:r>
      <w:r>
        <w:rPr>
          <w:spacing w:val="33"/>
        </w:rPr>
        <w:t xml:space="preserve"> </w:t>
      </w:r>
      <w:r>
        <w:rPr>
          <w:spacing w:val="-4"/>
        </w:rPr>
        <w:t>喷射力</w:t>
      </w:r>
      <w:r>
        <w:rPr>
          <w:spacing w:val="9"/>
        </w:rPr>
        <w:t xml:space="preserve">  </w:t>
      </w:r>
      <w:r>
        <w:rPr>
          <w:spacing w:val="-4"/>
        </w:rPr>
        <w:t>spray force</w:t>
      </w:r>
    </w:p>
    <w:p>
      <w:pPr>
        <w:pStyle w:val="BodyText"/>
        <w:spacing w:before="188" w:line="468" w:lineRule="exact"/>
        <w:ind w:left="502"/>
      </w:pPr>
      <w:r>
        <w:rPr>
          <w:position w:val="17"/>
        </w:rPr>
        <w:t>在标准规定的试验条件下，淋浴器手持式花洒喷</w:t>
      </w:r>
      <w:r>
        <w:rPr>
          <w:spacing w:val="-1"/>
          <w:position w:val="17"/>
        </w:rPr>
        <w:t>射时所达到的冲击力。</w:t>
      </w:r>
    </w:p>
    <w:p>
      <w:pPr>
        <w:pStyle w:val="BodyText"/>
        <w:spacing w:before="1" w:line="214" w:lineRule="auto"/>
        <w:ind w:left="28"/>
      </w:pPr>
      <w:r>
        <w:rPr>
          <w:spacing w:val="-1"/>
        </w:rPr>
        <w:t>3.6 水效等级 water efficiency</w:t>
      </w:r>
      <w:r>
        <w:rPr>
          <w:spacing w:val="15"/>
        </w:rPr>
        <w:t xml:space="preserve"> </w:t>
      </w:r>
      <w:r>
        <w:rPr>
          <w:spacing w:val="-1"/>
        </w:rPr>
        <w:t>grades</w:t>
      </w:r>
    </w:p>
    <w:p>
      <w:pPr>
        <w:pStyle w:val="BodyText"/>
        <w:spacing w:before="110" w:line="468" w:lineRule="exact"/>
        <w:ind w:right="54"/>
        <w:jc w:val="right"/>
      </w:pPr>
      <w:r>
        <w:rPr>
          <w:position w:val="17"/>
        </w:rPr>
        <w:t>表示淋浴器产品用水效率高低差别的一种分级方法，一般分为</w:t>
      </w:r>
      <w:r>
        <w:rPr>
          <w:spacing w:val="-46"/>
          <w:position w:val="17"/>
        </w:rPr>
        <w:t xml:space="preserve"> </w:t>
      </w:r>
      <w:r>
        <w:rPr>
          <w:spacing w:val="-1"/>
          <w:position w:val="17"/>
        </w:rPr>
        <w:t>3</w:t>
      </w:r>
      <w:r>
        <w:rPr>
          <w:spacing w:val="-51"/>
          <w:position w:val="17"/>
        </w:rPr>
        <w:t xml:space="preserve"> </w:t>
      </w:r>
      <w:r>
        <w:rPr>
          <w:spacing w:val="-1"/>
          <w:position w:val="17"/>
        </w:rPr>
        <w:t>个等级，1</w:t>
      </w:r>
    </w:p>
    <w:p>
      <w:pPr>
        <w:pStyle w:val="BodyText"/>
        <w:spacing w:line="220" w:lineRule="auto"/>
        <w:ind w:left="27"/>
      </w:pPr>
      <w:r>
        <w:rPr>
          <w:spacing w:val="-2"/>
        </w:rPr>
        <w:t>级表示水效最高。</w:t>
      </w:r>
    </w:p>
    <w:p>
      <w:pPr>
        <w:pStyle w:val="BodyText"/>
        <w:spacing w:before="179" w:line="216" w:lineRule="auto"/>
        <w:ind w:left="28"/>
      </w:pPr>
      <w:r>
        <w:rPr>
          <w:spacing w:val="-1"/>
        </w:rPr>
        <w:t>3.5 水效标识  water efficie</w:t>
      </w:r>
      <w:r>
        <w:rPr>
          <w:spacing w:val="-2"/>
        </w:rPr>
        <w:t>ncy</w:t>
      </w:r>
      <w:r>
        <w:rPr>
          <w:spacing w:val="23"/>
        </w:rPr>
        <w:t xml:space="preserve"> </w:t>
      </w:r>
      <w:r>
        <w:rPr>
          <w:spacing w:val="-2"/>
        </w:rPr>
        <w:t>label</w:t>
      </w:r>
    </w:p>
    <w:p>
      <w:pPr>
        <w:pStyle w:val="BodyText"/>
        <w:spacing w:before="188" w:line="465" w:lineRule="exact"/>
        <w:ind w:right="54"/>
        <w:jc w:val="right"/>
      </w:pPr>
      <w:r>
        <w:rPr>
          <w:spacing w:val="-3"/>
          <w:position w:val="17"/>
        </w:rPr>
        <w:t>表示淋浴器产品水效等级等性能指标的一种信息标识。计量单位的</w:t>
      </w:r>
      <w:r>
        <w:rPr>
          <w:spacing w:val="-4"/>
          <w:position w:val="17"/>
        </w:rPr>
        <w:t>标注应符</w:t>
      </w:r>
    </w:p>
    <w:p>
      <w:pPr>
        <w:pStyle w:val="BodyText"/>
        <w:spacing w:before="2" w:line="220" w:lineRule="auto"/>
        <w:ind w:left="24"/>
      </w:pPr>
      <w:r>
        <w:rPr>
          <w:spacing w:val="-1"/>
        </w:rPr>
        <w:t>合国家法定计量单位的要求。</w:t>
      </w:r>
    </w:p>
    <w:p>
      <w:pPr>
        <w:pStyle w:val="BodyText"/>
        <w:spacing w:before="181" w:line="220" w:lineRule="auto"/>
        <w:ind w:left="28"/>
      </w:pPr>
      <w:r>
        <w:rPr>
          <w:spacing w:val="-2"/>
        </w:rPr>
        <w:t>3.6 标注值 nominal</w:t>
      </w:r>
      <w:r>
        <w:rPr>
          <w:spacing w:val="24"/>
        </w:rPr>
        <w:t xml:space="preserve"> </w:t>
      </w:r>
      <w:r>
        <w:rPr>
          <w:spacing w:val="-2"/>
        </w:rPr>
        <w:t>value</w:t>
      </w:r>
    </w:p>
    <w:p>
      <w:pPr>
        <w:pStyle w:val="BodyText"/>
        <w:spacing w:before="179" w:line="219" w:lineRule="auto"/>
        <w:ind w:left="532"/>
      </w:pPr>
      <w:r>
        <w:rPr>
          <w:spacing w:val="-2"/>
        </w:rPr>
        <w:t>由生产者或进口商在淋浴器产品水效标识上标出的值。</w:t>
      </w:r>
    </w:p>
    <w:p>
      <w:pPr>
        <w:pStyle w:val="BodyText"/>
        <w:spacing w:before="183" w:line="220" w:lineRule="auto"/>
        <w:ind w:left="28"/>
      </w:pPr>
      <w:r>
        <w:rPr>
          <w:spacing w:val="-2"/>
        </w:rPr>
        <w:t>3.7 实测值</w:t>
      </w:r>
      <w:r>
        <w:rPr>
          <w:spacing w:val="12"/>
        </w:rPr>
        <w:t xml:space="preserve"> </w:t>
      </w:r>
      <w:r>
        <w:rPr>
          <w:spacing w:val="-2"/>
        </w:rPr>
        <w:t>actual</w:t>
      </w:r>
      <w:r>
        <w:rPr>
          <w:spacing w:val="8"/>
        </w:rPr>
        <w:t xml:space="preserve"> </w:t>
      </w:r>
      <w:r>
        <w:rPr>
          <w:spacing w:val="-2"/>
        </w:rPr>
        <w:t>value</w:t>
      </w:r>
    </w:p>
    <w:p>
      <w:pPr>
        <w:pStyle w:val="BodyText"/>
        <w:spacing w:before="182" w:line="219" w:lineRule="auto"/>
        <w:jc w:val="right"/>
      </w:pPr>
      <w:r>
        <w:rPr>
          <w:spacing w:val="-2"/>
        </w:rPr>
        <w:t>按照本规范通过计量检验检测确定的淋浴器产品的水效指标（最大流量）。</w:t>
      </w:r>
    </w:p>
    <w:p>
      <w:pPr>
        <w:spacing w:before="177" w:line="408" w:lineRule="exact"/>
        <w:ind w:right="57"/>
        <w:jc w:val="right"/>
        <w:rPr>
          <w:rFonts w:ascii="FangSong" w:eastAsia="FangSong" w:hAnsi="FangSong" w:cs="FangSong"/>
          <w:sz w:val="20"/>
          <w:szCs w:val="20"/>
        </w:rPr>
      </w:pPr>
      <w:r>
        <w:rPr>
          <w:rFonts w:ascii="FangSong" w:eastAsia="FangSong" w:hAnsi="FangSong" w:cs="FangSong"/>
          <w:spacing w:val="11"/>
          <w:position w:val="15"/>
          <w:sz w:val="20"/>
          <w:szCs w:val="20"/>
        </w:rPr>
        <w:t>注：在实测值的完整表述中应包括测量不确定度，必要时还应说明有关影响</w:t>
      </w:r>
      <w:r>
        <w:rPr>
          <w:rFonts w:ascii="FangSong" w:eastAsia="FangSong" w:hAnsi="FangSong" w:cs="FangSong"/>
          <w:spacing w:val="10"/>
          <w:position w:val="15"/>
          <w:sz w:val="20"/>
          <w:szCs w:val="20"/>
        </w:rPr>
        <w:t>量的取值</w:t>
      </w:r>
    </w:p>
    <w:p>
      <w:pPr>
        <w:spacing w:line="231" w:lineRule="auto"/>
        <w:ind w:left="39"/>
        <w:rPr>
          <w:rFonts w:ascii="FangSong" w:eastAsia="FangSong" w:hAnsi="FangSong" w:cs="FangSong"/>
          <w:sz w:val="20"/>
          <w:szCs w:val="20"/>
        </w:rPr>
      </w:pPr>
      <w:r>
        <w:rPr>
          <w:rFonts w:ascii="FangSong" w:eastAsia="FangSong" w:hAnsi="FangSong" w:cs="FangSong"/>
          <w:spacing w:val="-3"/>
          <w:sz w:val="20"/>
          <w:szCs w:val="20"/>
        </w:rPr>
        <w:t>范围。</w:t>
      </w:r>
    </w:p>
    <w:p>
      <w:pPr>
        <w:pStyle w:val="BodyText"/>
        <w:spacing w:before="162" w:line="220" w:lineRule="auto"/>
        <w:ind w:left="28"/>
      </w:pPr>
      <w:r>
        <w:rPr>
          <w:spacing w:val="-1"/>
        </w:rPr>
        <w:t>3.8 宽限判据</w:t>
      </w:r>
      <w:r>
        <w:rPr>
          <w:spacing w:val="-46"/>
        </w:rPr>
        <w:t xml:space="preserve"> </w:t>
      </w:r>
      <w:r>
        <w:rPr>
          <w:spacing w:val="-1"/>
        </w:rPr>
        <w:t>criterion of maxim</w:t>
      </w:r>
      <w:r>
        <w:rPr>
          <w:spacing w:val="-2"/>
        </w:rPr>
        <w:t>um</w:t>
      </w:r>
      <w:r>
        <w:rPr>
          <w:spacing w:val="15"/>
        </w:rPr>
        <w:t xml:space="preserve"> </w:t>
      </w:r>
      <w:r>
        <w:rPr>
          <w:spacing w:val="-2"/>
        </w:rPr>
        <w:t>conformance</w:t>
      </w:r>
      <w:r>
        <w:rPr>
          <w:spacing w:val="15"/>
        </w:rPr>
        <w:t xml:space="preserve"> </w:t>
      </w:r>
      <w:r>
        <w:rPr>
          <w:spacing w:val="-2"/>
        </w:rPr>
        <w:t>zone</w:t>
      </w:r>
    </w:p>
    <w:p>
      <w:pPr>
        <w:pStyle w:val="BodyText"/>
        <w:spacing w:before="182" w:line="466" w:lineRule="exact"/>
        <w:ind w:right="54"/>
        <w:jc w:val="right"/>
      </w:pPr>
      <w:r>
        <w:rPr>
          <w:spacing w:val="-3"/>
          <w:position w:val="17"/>
        </w:rPr>
        <w:t>对被测对象进行合格评定时，将位于最大允许误差的模加上测量</w:t>
      </w:r>
      <w:r>
        <w:rPr>
          <w:spacing w:val="-4"/>
          <w:position w:val="17"/>
        </w:rPr>
        <w:t>不确定度区</w:t>
      </w:r>
    </w:p>
    <w:p>
      <w:pPr>
        <w:pStyle w:val="BodyText"/>
        <w:spacing w:line="220" w:lineRule="auto"/>
        <w:ind w:left="42"/>
      </w:pPr>
      <w:r>
        <w:rPr>
          <w:spacing w:val="-2"/>
        </w:rPr>
        <w:t>间内的值判定为合格，超出此区间的值判定为不合格。</w:t>
      </w:r>
    </w:p>
    <w:p>
      <w:pPr>
        <w:spacing w:line="475" w:lineRule="auto"/>
        <w:rPr>
          <w:rFonts w:ascii="Arial"/>
          <w:sz w:val="21"/>
        </w:rPr>
        <w:sectPr>
          <w:headerReference w:type="default" r:id="rId8"/>
          <w:footerReference w:type="default" r:id="rId9"/>
          <w:pgSz w:w="11906" w:h="16839"/>
          <w:pgMar w:top="1157" w:right="1744" w:bottom="1156" w:left="1785" w:header="915" w:footer="994" w:gutter="0"/>
          <w:pgNumType w:start="3"/>
          <w:cols w:space="708"/>
        </w:sectPr>
      </w:pPr>
    </w:p>
    <w:p>
      <w:pPr>
        <w:spacing w:before="78" w:line="222" w:lineRule="auto"/>
        <w:ind w:left="16"/>
        <w:outlineLvl w:val="0"/>
        <w:rPr>
          <w:rFonts w:ascii="SimHei" w:eastAsia="SimHei" w:hAnsi="SimHei" w:cs="SimHei"/>
          <w:sz w:val="24"/>
          <w:szCs w:val="24"/>
        </w:rPr>
      </w:pPr>
      <w:r>
        <w:rPr>
          <w:rFonts w:ascii="SimHei" w:eastAsia="SimHei" w:hAnsi="SimHei" w:cs="SimHei"/>
          <w:spacing w:val="-1"/>
          <w:sz w:val="24"/>
          <w:szCs w:val="24"/>
        </w:rPr>
        <w:t>4</w:t>
      </w:r>
      <w:r>
        <w:rPr>
          <w:rFonts w:ascii="SimHei" w:eastAsia="SimHei" w:hAnsi="SimHei" w:cs="SimHei"/>
          <w:spacing w:val="-1"/>
          <w:sz w:val="24"/>
          <w:szCs w:val="24"/>
        </w:rPr>
        <w:t xml:space="preserve"> </w:t>
      </w:r>
      <w:r>
        <w:rPr>
          <w:rFonts w:ascii="SimHei" w:eastAsia="SimHei" w:hAnsi="SimHei" w:cs="SimHei"/>
          <w:spacing w:val="-1"/>
          <w:sz w:val="24"/>
          <w:szCs w:val="24"/>
        </w:rPr>
        <w:t>检查对象</w:t>
      </w:r>
    </w:p>
    <w:p>
      <w:pPr>
        <w:spacing w:line="396" w:lineRule="auto"/>
        <w:rPr>
          <w:rFonts w:ascii="Arial"/>
          <w:sz w:val="21"/>
        </w:rPr>
      </w:pPr>
    </w:p>
    <w:p>
      <w:pPr>
        <w:pStyle w:val="BodyText"/>
        <w:spacing w:before="79" w:line="468" w:lineRule="exact"/>
        <w:ind w:right="54"/>
        <w:jc w:val="right"/>
      </w:pPr>
      <w:r>
        <w:rPr>
          <w:spacing w:val="-3"/>
          <w:position w:val="17"/>
        </w:rPr>
        <w:t>检查对象淋浴器为列入国家实行水效标识管理产品目录的产品，</w:t>
      </w:r>
      <w:r>
        <w:rPr>
          <w:spacing w:val="-4"/>
          <w:position w:val="17"/>
        </w:rPr>
        <w:t>采取“双随</w:t>
      </w:r>
    </w:p>
    <w:p>
      <w:pPr>
        <w:pStyle w:val="BodyText"/>
        <w:spacing w:line="219" w:lineRule="auto"/>
        <w:ind w:left="22"/>
      </w:pPr>
      <w:r>
        <w:rPr>
          <w:spacing w:val="-5"/>
        </w:rPr>
        <w:t>机</w:t>
      </w:r>
      <w:r>
        <w:rPr>
          <w:spacing w:val="-80"/>
        </w:rPr>
        <w:t xml:space="preserve"> </w:t>
      </w:r>
      <w:r>
        <w:rPr>
          <w:spacing w:val="-5"/>
        </w:rPr>
        <w:t>”抽查机制，从市场监管部门统一建立的“检查对象名录库</w:t>
      </w:r>
      <w:r>
        <w:rPr>
          <w:spacing w:val="-89"/>
        </w:rPr>
        <w:t xml:space="preserve"> </w:t>
      </w:r>
      <w:r>
        <w:rPr>
          <w:spacing w:val="-5"/>
        </w:rPr>
        <w:t>”中随机确定检查</w:t>
      </w:r>
    </w:p>
    <w:p>
      <w:pPr>
        <w:spacing w:line="219" w:lineRule="auto"/>
        <w:sectPr>
          <w:headerReference w:type="default" r:id="rId10"/>
          <w:footerReference w:type="default" r:id="rId11"/>
          <w:type w:val="nextPage"/>
          <w:pgSz w:w="11906" w:h="16839"/>
          <w:pgMar w:top="1157" w:right="1744" w:bottom="1156" w:left="1785" w:header="915" w:footer="994" w:gutter="0"/>
          <w:pgNumType w:start="4"/>
          <w:cols w:space="708"/>
          <w:titlePg w:val="0"/>
        </w:sectPr>
      </w:pPr>
    </w:p>
    <w:p>
      <w:pPr>
        <w:spacing w:line="316" w:lineRule="auto"/>
        <w:rPr>
          <w:rFonts w:ascii="Arial"/>
          <w:sz w:val="21"/>
        </w:rPr>
      </w:pPr>
    </w:p>
    <w:p>
      <w:pPr>
        <w:pStyle w:val="BodyText"/>
        <w:spacing w:before="78" w:line="220" w:lineRule="auto"/>
        <w:ind w:left="22"/>
      </w:pPr>
      <w:r>
        <w:rPr>
          <w:spacing w:val="-3"/>
        </w:rPr>
        <w:t>对象。</w:t>
      </w:r>
    </w:p>
    <w:p>
      <w:pPr>
        <w:spacing w:line="398" w:lineRule="auto"/>
        <w:rPr>
          <w:rFonts w:ascii="Arial"/>
          <w:sz w:val="21"/>
        </w:rPr>
      </w:pPr>
    </w:p>
    <w:p>
      <w:pPr>
        <w:spacing w:before="78" w:line="221" w:lineRule="auto"/>
        <w:ind w:left="17"/>
        <w:outlineLvl w:val="0"/>
        <w:rPr>
          <w:rFonts w:ascii="SimHei" w:eastAsia="SimHei" w:hAnsi="SimHei" w:cs="SimHei"/>
          <w:sz w:val="24"/>
          <w:szCs w:val="24"/>
        </w:rPr>
      </w:pPr>
      <w:r>
        <w:rPr>
          <w:rFonts w:ascii="SimHei" w:eastAsia="SimHei" w:hAnsi="SimHei" w:cs="SimHei"/>
          <w:spacing w:val="-3"/>
          <w:sz w:val="24"/>
          <w:szCs w:val="24"/>
        </w:rPr>
        <w:t>5</w:t>
      </w:r>
      <w:r>
        <w:rPr>
          <w:rFonts w:ascii="SimHei" w:eastAsia="SimHei" w:hAnsi="SimHei" w:cs="SimHei"/>
          <w:spacing w:val="10"/>
          <w:sz w:val="24"/>
          <w:szCs w:val="24"/>
        </w:rPr>
        <w:t xml:space="preserve"> </w:t>
      </w:r>
      <w:r>
        <w:rPr>
          <w:rFonts w:ascii="SimHei" w:eastAsia="SimHei" w:hAnsi="SimHei" w:cs="SimHei"/>
          <w:spacing w:val="-3"/>
          <w:sz w:val="24"/>
          <w:szCs w:val="24"/>
        </w:rPr>
        <w:t>抽查人员</w:t>
      </w:r>
    </w:p>
    <w:p>
      <w:pPr>
        <w:spacing w:line="395" w:lineRule="auto"/>
        <w:rPr>
          <w:rFonts w:ascii="Arial"/>
          <w:sz w:val="21"/>
        </w:rPr>
      </w:pPr>
    </w:p>
    <w:p>
      <w:pPr>
        <w:pStyle w:val="BodyText"/>
        <w:spacing w:before="78" w:line="468" w:lineRule="exact"/>
        <w:ind w:right="13"/>
        <w:jc w:val="right"/>
      </w:pPr>
      <w:r>
        <w:rPr>
          <w:spacing w:val="-4"/>
          <w:position w:val="17"/>
        </w:rPr>
        <w:t>采取“双随机</w:t>
      </w:r>
      <w:r>
        <w:rPr>
          <w:spacing w:val="-89"/>
          <w:position w:val="17"/>
        </w:rPr>
        <w:t xml:space="preserve"> </w:t>
      </w:r>
      <w:r>
        <w:rPr>
          <w:spacing w:val="-4"/>
          <w:position w:val="17"/>
        </w:rPr>
        <w:t>”抽查机制，根据产品类别、产品型式、检查对象数量</w:t>
      </w:r>
      <w:r>
        <w:rPr>
          <w:spacing w:val="-5"/>
          <w:position w:val="17"/>
        </w:rPr>
        <w:t>和地域</w:t>
      </w:r>
    </w:p>
    <w:p>
      <w:pPr>
        <w:pStyle w:val="BodyText"/>
        <w:spacing w:line="219" w:lineRule="auto"/>
        <w:ind w:left="26"/>
      </w:pPr>
      <w:r>
        <w:rPr>
          <w:spacing w:val="-1"/>
        </w:rPr>
        <w:t>分布情况等，从抽查（检查）人员名录库中随机确定抽查人员。</w:t>
      </w:r>
    </w:p>
    <w:p>
      <w:pPr>
        <w:spacing w:line="397" w:lineRule="auto"/>
        <w:rPr>
          <w:rFonts w:ascii="Arial"/>
          <w:sz w:val="21"/>
        </w:rPr>
      </w:pPr>
    </w:p>
    <w:p>
      <w:pPr>
        <w:spacing w:before="78" w:line="222" w:lineRule="auto"/>
        <w:ind w:left="22"/>
        <w:outlineLvl w:val="0"/>
        <w:rPr>
          <w:rFonts w:ascii="SimHei" w:eastAsia="SimHei" w:hAnsi="SimHei" w:cs="SimHei"/>
          <w:sz w:val="24"/>
          <w:szCs w:val="24"/>
        </w:rPr>
      </w:pPr>
      <w:r>
        <w:rPr>
          <w:rFonts w:ascii="SimHei" w:eastAsia="SimHei" w:hAnsi="SimHei" w:cs="SimHei"/>
          <w:spacing w:val="-2"/>
          <w:sz w:val="24"/>
          <w:szCs w:val="24"/>
        </w:rPr>
        <w:t>6</w:t>
      </w:r>
      <w:r>
        <w:rPr>
          <w:rFonts w:ascii="SimHei" w:eastAsia="SimHei" w:hAnsi="SimHei" w:cs="SimHei"/>
          <w:spacing w:val="-2"/>
          <w:sz w:val="24"/>
          <w:szCs w:val="24"/>
        </w:rPr>
        <w:t xml:space="preserve"> </w:t>
      </w:r>
      <w:r>
        <w:rPr>
          <w:rFonts w:ascii="SimHei" w:eastAsia="SimHei" w:hAnsi="SimHei" w:cs="SimHei"/>
          <w:spacing w:val="-2"/>
          <w:sz w:val="24"/>
          <w:szCs w:val="24"/>
        </w:rPr>
        <w:t>检查依据</w:t>
      </w:r>
    </w:p>
    <w:p>
      <w:pPr>
        <w:spacing w:line="318" w:lineRule="auto"/>
        <w:rPr>
          <w:rFonts w:ascii="Arial"/>
          <w:sz w:val="21"/>
        </w:rPr>
      </w:pPr>
    </w:p>
    <w:p>
      <w:pPr>
        <w:pStyle w:val="BodyText"/>
        <w:spacing w:before="79" w:line="220" w:lineRule="auto"/>
        <w:ind w:left="506"/>
      </w:pPr>
      <w:r>
        <w:rPr>
          <w:spacing w:val="-2"/>
        </w:rPr>
        <w:t>水效标识管理办法</w:t>
      </w:r>
    </w:p>
    <w:p>
      <w:pPr>
        <w:pStyle w:val="BodyText"/>
        <w:spacing w:before="260" w:line="219" w:lineRule="auto"/>
        <w:ind w:left="500"/>
      </w:pPr>
      <w:r>
        <w:t>GB 28378-2019 《淋浴器水效限</w:t>
      </w:r>
      <w:r>
        <w:rPr>
          <w:spacing w:val="-1"/>
        </w:rPr>
        <w:t>定值及水效等级》</w:t>
      </w:r>
    </w:p>
    <w:p>
      <w:pPr>
        <w:pStyle w:val="BodyText"/>
        <w:spacing w:before="184" w:line="389" w:lineRule="exact"/>
        <w:ind w:left="501"/>
      </w:pPr>
      <w:r>
        <w:rPr>
          <w:spacing w:val="-1"/>
          <w:position w:val="10"/>
        </w:rPr>
        <w:t>CWL 01-2021 《淋浴器水效标识实施规则》</w:t>
      </w:r>
    </w:p>
    <w:p>
      <w:pPr>
        <w:pStyle w:val="BodyText"/>
        <w:spacing w:line="220" w:lineRule="auto"/>
        <w:ind w:left="503"/>
      </w:pPr>
      <w:r>
        <w:rPr>
          <w:spacing w:val="-4"/>
        </w:rPr>
        <w:t>产品明示水效指标（</w:t>
      </w:r>
      <w:r>
        <w:rPr>
          <w:spacing w:val="-84"/>
        </w:rPr>
        <w:t xml:space="preserve"> </w:t>
      </w:r>
      <w:r>
        <w:rPr>
          <w:spacing w:val="-4"/>
        </w:rPr>
        <w:t>“水效标识</w:t>
      </w:r>
      <w:r>
        <w:rPr>
          <w:spacing w:val="-88"/>
        </w:rPr>
        <w:t xml:space="preserve"> </w:t>
      </w:r>
      <w:r>
        <w:rPr>
          <w:spacing w:val="-4"/>
        </w:rPr>
        <w:t>”）等</w:t>
      </w:r>
    </w:p>
    <w:p>
      <w:pPr>
        <w:spacing w:line="474" w:lineRule="auto"/>
        <w:rPr>
          <w:rFonts w:ascii="Arial"/>
          <w:sz w:val="21"/>
        </w:rPr>
      </w:pPr>
    </w:p>
    <w:p>
      <w:pPr>
        <w:pStyle w:val="BodyText"/>
        <w:spacing w:before="79" w:line="222" w:lineRule="auto"/>
        <w:ind w:left="29"/>
        <w:outlineLvl w:val="0"/>
        <w:rPr>
          <w:rFonts w:ascii="SimHei" w:eastAsia="SimHei" w:hAnsi="SimHei" w:cs="SimHei"/>
        </w:rPr>
      </w:pPr>
      <w:r>
        <w:rPr>
          <w:spacing w:val="-2"/>
          <w14:textOutline w14:w="4358" w14:cap="sq">
            <w14:solidFill>
              <w14:srgbClr w14:val="000000"/>
            </w14:solidFill>
            <w14:prstDash w14:val="solid"/>
            <w14:bevel/>
          </w14:textOutline>
        </w:rPr>
        <w:t>7</w:t>
      </w:r>
      <w:r>
        <w:rPr>
          <w:rFonts w:ascii="SimHei" w:eastAsia="SimHei" w:hAnsi="SimHei" w:cs="SimHei"/>
          <w:spacing w:val="-2"/>
        </w:rPr>
        <w:t>.检验检测机构</w:t>
      </w:r>
    </w:p>
    <w:p>
      <w:pPr>
        <w:spacing w:line="316" w:lineRule="auto"/>
        <w:rPr>
          <w:rFonts w:ascii="Arial"/>
          <w:sz w:val="21"/>
        </w:rPr>
      </w:pPr>
    </w:p>
    <w:p>
      <w:pPr>
        <w:pStyle w:val="BodyText"/>
        <w:spacing w:before="78" w:line="468" w:lineRule="exact"/>
        <w:ind w:right="13"/>
        <w:jc w:val="right"/>
      </w:pPr>
      <w:r>
        <w:rPr>
          <w:spacing w:val="1"/>
          <w:position w:val="17"/>
        </w:rPr>
        <w:t>应具备淋浴器产品水效项目</w:t>
      </w:r>
      <w:r>
        <w:rPr>
          <w:spacing w:val="-43"/>
          <w:position w:val="17"/>
        </w:rPr>
        <w:t xml:space="preserve"> </w:t>
      </w:r>
      <w:r>
        <w:rPr>
          <w:rFonts w:ascii="Times New Roman" w:eastAsia="Times New Roman" w:hAnsi="Times New Roman" w:cs="Times New Roman"/>
          <w:position w:val="17"/>
        </w:rPr>
        <w:t>CMA</w:t>
      </w:r>
      <w:r>
        <w:rPr>
          <w:rFonts w:ascii="Times New Roman" w:eastAsia="Times New Roman" w:hAnsi="Times New Roman" w:cs="Times New Roman"/>
          <w:spacing w:val="22"/>
          <w:position w:val="17"/>
        </w:rPr>
        <w:t xml:space="preserve"> </w:t>
      </w:r>
      <w:r>
        <w:rPr>
          <w:spacing w:val="1"/>
          <w:position w:val="17"/>
        </w:rPr>
        <w:t>资质，经授权开展淋浴器产品水效项目的</w:t>
      </w:r>
    </w:p>
    <w:p>
      <w:pPr>
        <w:pStyle w:val="BodyText"/>
        <w:spacing w:line="219" w:lineRule="auto"/>
        <w:ind w:left="23"/>
      </w:pPr>
      <w:r>
        <w:rPr>
          <w:spacing w:val="-2"/>
        </w:rPr>
        <w:t>检验检测机构。</w:t>
      </w:r>
    </w:p>
    <w:p>
      <w:pPr>
        <w:spacing w:line="474" w:lineRule="auto"/>
        <w:rPr>
          <w:rFonts w:ascii="Arial"/>
          <w:sz w:val="21"/>
        </w:rPr>
      </w:pPr>
    </w:p>
    <w:p>
      <w:pPr>
        <w:spacing w:before="79" w:line="222" w:lineRule="auto"/>
        <w:ind w:left="20"/>
        <w:outlineLvl w:val="0"/>
        <w:rPr>
          <w:rFonts w:ascii="SimHei" w:eastAsia="SimHei" w:hAnsi="SimHei" w:cs="SimHei"/>
          <w:sz w:val="24"/>
          <w:szCs w:val="24"/>
        </w:rPr>
      </w:pPr>
      <w:r>
        <w:rPr>
          <w:rFonts w:ascii="SimHei" w:eastAsia="SimHei" w:hAnsi="SimHei" w:cs="SimHei"/>
          <w:spacing w:val="-1"/>
          <w:sz w:val="24"/>
          <w:szCs w:val="24"/>
        </w:rPr>
        <w:t>8</w:t>
      </w:r>
      <w:r>
        <w:rPr>
          <w:rFonts w:ascii="SimHei" w:eastAsia="SimHei" w:hAnsi="SimHei" w:cs="SimHei"/>
          <w:spacing w:val="-1"/>
          <w:sz w:val="24"/>
          <w:szCs w:val="24"/>
        </w:rPr>
        <w:t xml:space="preserve"> </w:t>
      </w:r>
      <w:r>
        <w:rPr>
          <w:rFonts w:ascii="SimHei" w:eastAsia="SimHei" w:hAnsi="SimHei" w:cs="SimHei"/>
          <w:spacing w:val="-1"/>
          <w:sz w:val="24"/>
          <w:szCs w:val="24"/>
        </w:rPr>
        <w:t>生产领域抽样</w:t>
      </w:r>
    </w:p>
    <w:p>
      <w:pPr>
        <w:spacing w:line="319" w:lineRule="auto"/>
        <w:rPr>
          <w:rFonts w:ascii="Arial"/>
          <w:sz w:val="21"/>
        </w:rPr>
      </w:pPr>
    </w:p>
    <w:p>
      <w:pPr>
        <w:pStyle w:val="BodyText"/>
        <w:spacing w:before="79" w:line="220" w:lineRule="auto"/>
        <w:ind w:left="24"/>
      </w:pPr>
      <w:r>
        <w:rPr>
          <w:spacing w:val="-2"/>
        </w:rPr>
        <w:t>8.1 抽样方法</w:t>
      </w:r>
    </w:p>
    <w:p>
      <w:pPr>
        <w:pStyle w:val="BodyText"/>
        <w:spacing w:before="102" w:line="360" w:lineRule="auto"/>
        <w:ind w:left="24" w:right="13" w:firstLine="480"/>
        <w:jc w:val="both"/>
      </w:pPr>
      <w:r>
        <w:rPr>
          <w:spacing w:val="4"/>
        </w:rPr>
        <w:t>生产企业成品仓库或生产线末端具有产品质量检验合格证明或者以其他形</w:t>
      </w:r>
      <w:r>
        <w:rPr>
          <w:spacing w:val="6"/>
        </w:rPr>
        <w:t xml:space="preserve"> </w:t>
      </w:r>
      <w:r>
        <w:rPr>
          <w:spacing w:val="4"/>
        </w:rPr>
        <w:t>式表明合格的产品中随机抽取。抽样样品应当是国内销售的水效标识目录</w:t>
      </w:r>
      <w:r>
        <w:rPr>
          <w:spacing w:val="3"/>
        </w:rPr>
        <w:t>内产</w:t>
      </w:r>
      <w:r>
        <w:t xml:space="preserve"> </w:t>
      </w:r>
      <w:r>
        <w:rPr>
          <w:spacing w:val="-5"/>
        </w:rPr>
        <w:t>品，并且已经获得“</w:t>
      </w:r>
      <w:r>
        <w:rPr>
          <w:spacing w:val="-82"/>
        </w:rPr>
        <w:t xml:space="preserve"> </w:t>
      </w:r>
      <w:r>
        <w:rPr>
          <w:spacing w:val="-5"/>
        </w:rPr>
        <w:t>中国水效标识</w:t>
      </w:r>
      <w:r>
        <w:rPr>
          <w:spacing w:val="-88"/>
        </w:rPr>
        <w:t xml:space="preserve"> </w:t>
      </w:r>
      <w:r>
        <w:rPr>
          <w:spacing w:val="-5"/>
        </w:rPr>
        <w:t>”备案。抽查人员应当使用规定的抽样文书记</w:t>
      </w:r>
      <w:r>
        <w:t xml:space="preserve"> </w:t>
      </w:r>
      <w:r>
        <w:rPr>
          <w:spacing w:val="-3"/>
        </w:rPr>
        <w:t>录抽样信息，并对抽样场所、贮存环境、被抽样产品的标识、库存数量、抽样过</w:t>
      </w:r>
    </w:p>
    <w:p>
      <w:pPr>
        <w:pStyle w:val="BodyText"/>
        <w:spacing w:line="220" w:lineRule="auto"/>
        <w:ind w:left="22"/>
        <w:sectPr>
          <w:headerReference w:type="default" r:id="rId12"/>
          <w:footerReference w:type="default" r:id="rId13"/>
          <w:pgSz w:w="11906" w:h="16839"/>
          <w:pgMar w:top="1157" w:right="1785" w:bottom="1156" w:left="1785" w:header="915" w:footer="994" w:gutter="0"/>
          <w:pgNumType w:start="5"/>
          <w:cols w:space="708"/>
        </w:sectPr>
      </w:pPr>
      <w:r>
        <w:rPr>
          <w:spacing w:val="-1"/>
        </w:rPr>
        <w:t>程等通过拍照或者录像的方式留存证据。</w:t>
      </w:r>
    </w:p>
    <w:p>
      <w:pPr>
        <w:pStyle w:val="BodyText"/>
        <w:spacing w:before="182" w:line="220" w:lineRule="auto"/>
        <w:ind w:left="24"/>
      </w:pPr>
      <w:r>
        <w:rPr>
          <w:spacing w:val="-3"/>
        </w:rPr>
        <w:t>8.2</w:t>
      </w:r>
      <w:r>
        <w:rPr>
          <w:spacing w:val="-51"/>
        </w:rPr>
        <w:t xml:space="preserve"> </w:t>
      </w:r>
      <w:r>
        <w:rPr>
          <w:spacing w:val="-3"/>
        </w:rPr>
        <w:t>抽样数量</w:t>
      </w:r>
    </w:p>
    <w:p>
      <w:pPr>
        <w:pStyle w:val="BodyText"/>
        <w:spacing w:before="182" w:line="468" w:lineRule="exact"/>
        <w:ind w:right="13"/>
        <w:jc w:val="right"/>
      </w:pPr>
      <w:r>
        <w:rPr>
          <w:spacing w:val="-3"/>
          <w:position w:val="17"/>
        </w:rPr>
        <w:t>抽样数量应满足抽样需求的最小量要求。针对具体产品按照有关</w:t>
      </w:r>
      <w:r>
        <w:rPr>
          <w:spacing w:val="-4"/>
          <w:position w:val="17"/>
        </w:rPr>
        <w:t>标准要求执</w:t>
      </w:r>
    </w:p>
    <w:p>
      <w:pPr>
        <w:pStyle w:val="BodyText"/>
        <w:spacing w:before="1" w:line="220" w:lineRule="auto"/>
        <w:ind w:left="27"/>
      </w:pPr>
      <w:r>
        <w:rPr>
          <w:spacing w:val="-7"/>
        </w:rPr>
        <w:t>行。</w:t>
      </w:r>
    </w:p>
    <w:p>
      <w:pPr>
        <w:pStyle w:val="BodyText"/>
        <w:spacing w:before="181" w:line="220" w:lineRule="auto"/>
        <w:ind w:left="24"/>
      </w:pPr>
      <w:r>
        <w:rPr>
          <w:spacing w:val="-2"/>
        </w:rPr>
        <w:t>8.3 抽样单和封条</w:t>
      </w:r>
    </w:p>
    <w:p>
      <w:pPr>
        <w:pStyle w:val="BodyText"/>
        <w:spacing w:before="103" w:line="468" w:lineRule="exact"/>
        <w:ind w:right="13"/>
        <w:jc w:val="right"/>
      </w:pPr>
      <w:r>
        <w:rPr>
          <w:spacing w:val="-3"/>
          <w:position w:val="17"/>
        </w:rPr>
        <w:t>抽查人员应在抽样现场对抽样样品外包装或本体上加施封条并签</w:t>
      </w:r>
      <w:r>
        <w:rPr>
          <w:spacing w:val="-4"/>
          <w:position w:val="17"/>
        </w:rPr>
        <w:t>名。抽查人</w:t>
      </w:r>
    </w:p>
    <w:p>
      <w:pPr>
        <w:pStyle w:val="BodyText"/>
        <w:spacing w:line="220" w:lineRule="auto"/>
        <w:ind w:right="5"/>
        <w:jc w:val="right"/>
      </w:pPr>
      <w:r>
        <w:rPr>
          <w:spacing w:val="-3"/>
        </w:rPr>
        <w:t>员在抽样现场按规定要求填写抽样单，记录抽样产品及检查对象等相关信息，抽</w:t>
      </w:r>
    </w:p>
    <w:p>
      <w:pPr>
        <w:spacing w:line="220" w:lineRule="auto"/>
        <w:sectPr>
          <w:headerReference w:type="default" r:id="rId14"/>
          <w:footerReference w:type="default" r:id="rId15"/>
          <w:type w:val="nextPage"/>
          <w:pgSz w:w="11906" w:h="16839"/>
          <w:pgMar w:top="1157" w:right="1785" w:bottom="1156" w:left="1785" w:header="915" w:footer="994" w:gutter="0"/>
          <w:pgNumType w:start="6"/>
          <w:cols w:space="708"/>
          <w:titlePg w:val="0"/>
        </w:sectPr>
      </w:pPr>
    </w:p>
    <w:p>
      <w:pPr>
        <w:pStyle w:val="BodyText"/>
        <w:spacing w:before="317" w:line="468" w:lineRule="exact"/>
        <w:ind w:left="22"/>
      </w:pPr>
      <w:r>
        <w:rPr>
          <w:spacing w:val="-1"/>
          <w:position w:val="17"/>
        </w:rPr>
        <w:t>样记录见附录</w:t>
      </w:r>
      <w:r>
        <w:rPr>
          <w:spacing w:val="-53"/>
          <w:position w:val="17"/>
        </w:rPr>
        <w:t xml:space="preserve"> </w:t>
      </w:r>
      <w:r>
        <w:rPr>
          <w:spacing w:val="-1"/>
          <w:position w:val="17"/>
        </w:rPr>
        <w:t>C。抽样单需经抽查人员和检</w:t>
      </w:r>
      <w:r>
        <w:rPr>
          <w:spacing w:val="-2"/>
          <w:position w:val="17"/>
        </w:rPr>
        <w:t>查对象相关负责人签字确认并加盖检</w:t>
      </w:r>
    </w:p>
    <w:p>
      <w:pPr>
        <w:pStyle w:val="BodyText"/>
        <w:spacing w:line="219" w:lineRule="auto"/>
        <w:ind w:left="26"/>
      </w:pPr>
      <w:r>
        <w:rPr>
          <w:spacing w:val="-3"/>
        </w:rPr>
        <w:t>查对象公章。</w:t>
      </w:r>
    </w:p>
    <w:p>
      <w:pPr>
        <w:pStyle w:val="BodyText"/>
        <w:spacing w:before="259" w:line="220" w:lineRule="auto"/>
        <w:ind w:left="24"/>
      </w:pPr>
      <w:r>
        <w:rPr>
          <w:spacing w:val="-2"/>
        </w:rPr>
        <w:t>8.4 样品运送</w:t>
      </w:r>
    </w:p>
    <w:p>
      <w:pPr>
        <w:pStyle w:val="BodyText"/>
        <w:spacing w:before="182" w:line="219" w:lineRule="auto"/>
        <w:ind w:left="502"/>
      </w:pPr>
      <w:r>
        <w:rPr>
          <w:spacing w:val="-1"/>
        </w:rPr>
        <w:t>抽样样品可由抽查人员携带或寄递至检验检测机构。</w:t>
      </w:r>
    </w:p>
    <w:p>
      <w:pPr>
        <w:spacing w:line="287" w:lineRule="auto"/>
        <w:rPr>
          <w:rFonts w:ascii="Arial"/>
          <w:sz w:val="21"/>
        </w:rPr>
      </w:pPr>
    </w:p>
    <w:p>
      <w:pPr>
        <w:spacing w:line="287" w:lineRule="auto"/>
        <w:rPr>
          <w:rFonts w:ascii="Arial"/>
          <w:sz w:val="21"/>
        </w:rPr>
      </w:pPr>
    </w:p>
    <w:p>
      <w:pPr>
        <w:spacing w:line="288" w:lineRule="auto"/>
        <w:rPr>
          <w:rFonts w:ascii="Arial"/>
          <w:sz w:val="21"/>
        </w:rPr>
      </w:pPr>
    </w:p>
    <w:p>
      <w:pPr>
        <w:spacing w:before="78" w:line="221" w:lineRule="auto"/>
        <w:ind w:left="16"/>
        <w:outlineLvl w:val="0"/>
        <w:rPr>
          <w:rFonts w:ascii="SimHei" w:eastAsia="SimHei" w:hAnsi="SimHei" w:cs="SimHei"/>
          <w:sz w:val="24"/>
          <w:szCs w:val="24"/>
        </w:rPr>
      </w:pPr>
      <w:r>
        <w:rPr>
          <w:rFonts w:ascii="SimHei" w:eastAsia="SimHei" w:hAnsi="SimHei" w:cs="SimHei"/>
          <w:spacing w:val="-1"/>
          <w:sz w:val="24"/>
          <w:szCs w:val="24"/>
        </w:rPr>
        <w:t>9</w:t>
      </w:r>
      <w:r>
        <w:rPr>
          <w:rFonts w:ascii="SimHei" w:eastAsia="SimHei" w:hAnsi="SimHei" w:cs="SimHei"/>
          <w:spacing w:val="-1"/>
          <w:sz w:val="24"/>
          <w:szCs w:val="24"/>
        </w:rPr>
        <w:t xml:space="preserve"> </w:t>
      </w:r>
      <w:r>
        <w:rPr>
          <w:rFonts w:ascii="SimHei" w:eastAsia="SimHei" w:hAnsi="SimHei" w:cs="SimHei"/>
          <w:spacing w:val="-1"/>
          <w:sz w:val="24"/>
          <w:szCs w:val="24"/>
        </w:rPr>
        <w:t>流通领域抽样</w:t>
      </w:r>
    </w:p>
    <w:p>
      <w:pPr>
        <w:spacing w:line="398" w:lineRule="auto"/>
        <w:rPr>
          <w:rFonts w:ascii="Arial"/>
          <w:sz w:val="21"/>
        </w:rPr>
      </w:pPr>
    </w:p>
    <w:p>
      <w:pPr>
        <w:pStyle w:val="BodyText"/>
        <w:spacing w:before="78" w:line="220" w:lineRule="auto"/>
        <w:ind w:left="24"/>
      </w:pPr>
      <w:r>
        <w:rPr>
          <w:spacing w:val="-2"/>
        </w:rPr>
        <w:t>9.1 抽样方法</w:t>
      </w:r>
    </w:p>
    <w:p>
      <w:pPr>
        <w:pStyle w:val="BodyText"/>
        <w:spacing w:before="182" w:line="360" w:lineRule="auto"/>
        <w:ind w:left="43" w:firstLine="487"/>
        <w:jc w:val="both"/>
      </w:pPr>
      <w:r>
        <w:rPr>
          <w:spacing w:val="-4"/>
        </w:rPr>
        <w:t>以购买方式在网络销售平台或实体销售店等正</w:t>
      </w:r>
      <w:r>
        <w:rPr>
          <w:spacing w:val="-5"/>
        </w:rPr>
        <w:t xml:space="preserve">规销售渠道获取样品。抽样样 </w:t>
      </w:r>
      <w:r>
        <w:rPr>
          <w:spacing w:val="-9"/>
        </w:rPr>
        <w:t>品应当是国内销售的水效标识目录内产品，并且已经获得“中国水效标识</w:t>
      </w:r>
      <w:r>
        <w:rPr>
          <w:spacing w:val="-79"/>
        </w:rPr>
        <w:t xml:space="preserve"> </w:t>
      </w:r>
      <w:r>
        <w:rPr>
          <w:spacing w:val="-9"/>
        </w:rPr>
        <w:t>”备案。</w:t>
      </w:r>
    </w:p>
    <w:p>
      <w:pPr>
        <w:pStyle w:val="BodyText"/>
        <w:spacing w:before="1" w:line="219" w:lineRule="auto"/>
        <w:ind w:left="22"/>
      </w:pPr>
      <w:r>
        <w:rPr>
          <w:spacing w:val="-1"/>
        </w:rPr>
        <w:t>抽查人员应完整记录抽样过程并保留相关证据，抽样记录见附录</w:t>
      </w:r>
      <w:r>
        <w:rPr>
          <w:spacing w:val="-56"/>
        </w:rPr>
        <w:t xml:space="preserve"> </w:t>
      </w:r>
      <w:r>
        <w:rPr>
          <w:spacing w:val="-1"/>
        </w:rPr>
        <w:t>D</w:t>
      </w:r>
      <w:r>
        <w:rPr>
          <w:spacing w:val="-48"/>
        </w:rPr>
        <w:t xml:space="preserve"> </w:t>
      </w:r>
      <w:r>
        <w:rPr>
          <w:spacing w:val="-1"/>
        </w:rPr>
        <w:t>或</w:t>
      </w:r>
      <w:r>
        <w:rPr>
          <w:spacing w:val="-54"/>
        </w:rPr>
        <w:t xml:space="preserve"> </w:t>
      </w:r>
      <w:r>
        <w:rPr>
          <w:spacing w:val="-1"/>
        </w:rPr>
        <w:t>E。</w:t>
      </w:r>
    </w:p>
    <w:p>
      <w:pPr>
        <w:pStyle w:val="BodyText"/>
        <w:spacing w:before="182" w:line="220" w:lineRule="auto"/>
        <w:ind w:left="24"/>
      </w:pPr>
      <w:r>
        <w:rPr>
          <w:spacing w:val="-3"/>
        </w:rPr>
        <w:t>9.2</w:t>
      </w:r>
      <w:r>
        <w:rPr>
          <w:spacing w:val="-51"/>
        </w:rPr>
        <w:t xml:space="preserve"> </w:t>
      </w:r>
      <w:r>
        <w:rPr>
          <w:spacing w:val="-3"/>
        </w:rPr>
        <w:t>抽样数量</w:t>
      </w:r>
    </w:p>
    <w:p>
      <w:pPr>
        <w:pStyle w:val="BodyText"/>
        <w:spacing w:before="182" w:line="468" w:lineRule="exact"/>
        <w:ind w:left="502"/>
      </w:pPr>
      <w:r>
        <w:rPr>
          <w:spacing w:val="-3"/>
          <w:position w:val="17"/>
        </w:rPr>
        <w:t>抽样数量应满足抽样需求的最小量要求。针对具体产品按照有关</w:t>
      </w:r>
      <w:r>
        <w:rPr>
          <w:spacing w:val="-4"/>
          <w:position w:val="17"/>
        </w:rPr>
        <w:t>标准要求执</w:t>
      </w:r>
    </w:p>
    <w:p>
      <w:pPr>
        <w:pStyle w:val="BodyText"/>
        <w:spacing w:before="1" w:line="220" w:lineRule="auto"/>
        <w:ind w:left="27"/>
      </w:pPr>
      <w:r>
        <w:rPr>
          <w:spacing w:val="-7"/>
        </w:rPr>
        <w:t>行。</w:t>
      </w:r>
    </w:p>
    <w:p>
      <w:pPr>
        <w:pStyle w:val="BodyText"/>
        <w:spacing w:before="181" w:line="220" w:lineRule="auto"/>
        <w:ind w:left="24"/>
      </w:pPr>
      <w:r>
        <w:rPr>
          <w:spacing w:val="-2"/>
        </w:rPr>
        <w:t>9.3 抽样单和封条</w:t>
      </w:r>
    </w:p>
    <w:p>
      <w:pPr>
        <w:pStyle w:val="BodyText"/>
        <w:spacing w:before="182" w:line="360" w:lineRule="auto"/>
        <w:ind w:left="23" w:right="81" w:firstLine="478"/>
        <w:jc w:val="both"/>
      </w:pPr>
      <w:r>
        <w:rPr>
          <w:spacing w:val="-3"/>
        </w:rPr>
        <w:t>购买样品送达指定地点或者现场提取后，由抽查人员对买样样品外</w:t>
      </w:r>
      <w:r>
        <w:rPr>
          <w:spacing w:val="-4"/>
        </w:rPr>
        <w:t>包装或本</w:t>
      </w:r>
      <w:r>
        <w:t xml:space="preserve"> </w:t>
      </w:r>
      <w:r>
        <w:rPr>
          <w:spacing w:val="-3"/>
        </w:rPr>
        <w:t>体上加施封条并签名。抽查人员按规定要求填写抽样单，记录买样产品、检查对</w:t>
      </w:r>
    </w:p>
    <w:p>
      <w:pPr>
        <w:pStyle w:val="BodyText"/>
        <w:spacing w:line="220" w:lineRule="auto"/>
        <w:ind w:left="31"/>
      </w:pPr>
      <w:r>
        <w:rPr>
          <w:spacing w:val="-2"/>
        </w:rPr>
        <w:t>象及销售单位等相关信息。</w:t>
      </w:r>
    </w:p>
    <w:p>
      <w:pPr>
        <w:pStyle w:val="BodyText"/>
        <w:spacing w:before="182" w:line="220" w:lineRule="auto"/>
        <w:ind w:left="24"/>
      </w:pPr>
      <w:r>
        <w:rPr>
          <w:spacing w:val="-2"/>
        </w:rPr>
        <w:t>9.4 样品运送</w:t>
      </w:r>
    </w:p>
    <w:p>
      <w:pPr>
        <w:pStyle w:val="BodyText"/>
        <w:spacing w:before="183" w:line="219" w:lineRule="auto"/>
        <w:ind w:left="502"/>
      </w:pPr>
      <w:r>
        <w:rPr>
          <w:spacing w:val="-1"/>
        </w:rPr>
        <w:t>抽样样品可由抽查人员携带或寄递至检验检测机构。</w:t>
      </w:r>
    </w:p>
    <w:p>
      <w:pPr>
        <w:pStyle w:val="BodyText"/>
        <w:spacing w:before="183" w:line="220" w:lineRule="auto"/>
        <w:ind w:left="24"/>
      </w:pPr>
      <w:r>
        <w:rPr>
          <w:spacing w:val="-3"/>
        </w:rPr>
        <w:t>9.5</w:t>
      </w:r>
      <w:r>
        <w:rPr>
          <w:spacing w:val="-51"/>
        </w:rPr>
        <w:t xml:space="preserve"> </w:t>
      </w:r>
      <w:r>
        <w:rPr>
          <w:spacing w:val="-3"/>
        </w:rPr>
        <w:t>样品确认</w:t>
      </w:r>
    </w:p>
    <w:p>
      <w:pPr>
        <w:pStyle w:val="BodyText"/>
        <w:spacing w:before="182" w:line="468" w:lineRule="exact"/>
        <w:ind w:left="383"/>
      </w:pPr>
      <w:r>
        <w:rPr>
          <w:position w:val="17"/>
        </w:rPr>
        <w:t>检验检测机构应通知样品上标称的生产者或委托加工方对样品进行真实性确</w:t>
      </w:r>
    </w:p>
    <w:p>
      <w:pPr>
        <w:pStyle w:val="BodyText"/>
        <w:spacing w:line="221" w:lineRule="auto"/>
        <w:ind w:left="23"/>
      </w:pPr>
      <w:r>
        <w:rPr>
          <w:spacing w:val="-5"/>
        </w:rPr>
        <w:t>认。</w:t>
      </w:r>
    </w:p>
    <w:p>
      <w:pPr>
        <w:spacing w:line="394" w:lineRule="auto"/>
        <w:rPr>
          <w:rFonts w:ascii="Arial"/>
          <w:sz w:val="21"/>
        </w:rPr>
      </w:pPr>
    </w:p>
    <w:p>
      <w:pPr>
        <w:spacing w:before="79" w:line="222" w:lineRule="auto"/>
        <w:ind w:left="16"/>
        <w:outlineLvl w:val="0"/>
        <w:rPr>
          <w:rFonts w:ascii="SimHei" w:eastAsia="SimHei" w:hAnsi="SimHei" w:cs="SimHei"/>
          <w:sz w:val="24"/>
          <w:szCs w:val="24"/>
        </w:rPr>
      </w:pPr>
      <w:r>
        <w:rPr>
          <w:rFonts w:ascii="SimHei" w:eastAsia="SimHei" w:hAnsi="SimHei" w:cs="SimHei"/>
          <w:spacing w:val="-1"/>
          <w:sz w:val="24"/>
          <w:szCs w:val="24"/>
        </w:rPr>
        <w:t>9</w:t>
      </w:r>
      <w:r>
        <w:rPr>
          <w:rFonts w:ascii="SimHei" w:eastAsia="SimHei" w:hAnsi="SimHei" w:cs="SimHei"/>
          <w:spacing w:val="-1"/>
          <w:sz w:val="24"/>
          <w:szCs w:val="24"/>
        </w:rPr>
        <w:t xml:space="preserve"> </w:t>
      </w:r>
      <w:r>
        <w:rPr>
          <w:rFonts w:ascii="SimHei" w:eastAsia="SimHei" w:hAnsi="SimHei" w:cs="SimHei"/>
          <w:spacing w:val="-1"/>
          <w:sz w:val="24"/>
          <w:szCs w:val="24"/>
        </w:rPr>
        <w:t>检验检查要求</w:t>
      </w:r>
    </w:p>
    <w:p>
      <w:pPr>
        <w:spacing w:line="281" w:lineRule="auto"/>
        <w:rPr>
          <w:rFonts w:ascii="Arial"/>
          <w:sz w:val="21"/>
        </w:rPr>
        <w:sectPr>
          <w:headerReference w:type="default" r:id="rId16"/>
          <w:footerReference w:type="default" r:id="rId17"/>
          <w:pgSz w:w="11906" w:h="16839"/>
          <w:pgMar w:top="1157" w:right="1718" w:bottom="1156" w:left="1785" w:header="915" w:footer="994" w:gutter="0"/>
          <w:pgNumType w:start="7"/>
          <w:cols w:space="708"/>
        </w:sectPr>
      </w:pPr>
    </w:p>
    <w:p>
      <w:pPr>
        <w:spacing w:line="281" w:lineRule="auto"/>
        <w:rPr>
          <w:rFonts w:ascii="Arial"/>
          <w:sz w:val="21"/>
        </w:rPr>
      </w:pPr>
    </w:p>
    <w:p>
      <w:pPr>
        <w:pStyle w:val="BodyText"/>
        <w:spacing w:before="78" w:line="426" w:lineRule="auto"/>
        <w:ind w:left="23" w:right="81" w:firstLine="480"/>
        <w:jc w:val="both"/>
      </w:pPr>
      <w:r>
        <w:rPr>
          <w:spacing w:val="-3"/>
        </w:rPr>
        <w:t>检验检测机构收到样品后，应当通过拍照或者录像的方式检查记</w:t>
      </w:r>
      <w:r>
        <w:rPr>
          <w:spacing w:val="-4"/>
        </w:rPr>
        <w:t>录样品的外</w:t>
      </w:r>
      <w:r>
        <w:t xml:space="preserve"> </w:t>
      </w:r>
      <w:r>
        <w:rPr>
          <w:spacing w:val="-3"/>
        </w:rPr>
        <w:t>观、状态、封条有无破损以及其他可能对检验结论产生影响的情形，并核对样品</w:t>
      </w:r>
    </w:p>
    <w:p>
      <w:pPr>
        <w:pStyle w:val="BodyText"/>
        <w:spacing w:before="1" w:line="220" w:lineRule="auto"/>
        <w:ind w:left="28"/>
      </w:pPr>
      <w:r>
        <w:rPr>
          <w:spacing w:val="-1"/>
        </w:rPr>
        <w:t>与抽样单或买样单的记录、样品与任务下达要求是否相符。</w:t>
      </w:r>
    </w:p>
    <w:p>
      <w:pPr>
        <w:spacing w:line="220" w:lineRule="auto"/>
        <w:sectPr>
          <w:headerReference w:type="default" r:id="rId18"/>
          <w:footerReference w:type="default" r:id="rId19"/>
          <w:type w:val="nextPage"/>
          <w:pgSz w:w="11906" w:h="16839"/>
          <w:pgMar w:top="1157" w:right="1718" w:bottom="1156" w:left="1785" w:header="915" w:footer="994" w:gutter="0"/>
          <w:pgNumType w:start="8"/>
          <w:cols w:space="708"/>
          <w:titlePg w:val="0"/>
        </w:sectPr>
      </w:pPr>
    </w:p>
    <w:p>
      <w:pPr>
        <w:rPr>
          <w:rFonts w:ascii="Arial"/>
          <w:sz w:val="21"/>
        </w:rPr>
      </w:pPr>
    </w:p>
    <w:p>
      <w:pPr>
        <w:spacing w:line="241" w:lineRule="auto"/>
        <w:rPr>
          <w:rFonts w:ascii="Arial"/>
          <w:sz w:val="21"/>
        </w:rPr>
      </w:pPr>
    </w:p>
    <w:p>
      <w:pPr>
        <w:pStyle w:val="BodyText"/>
        <w:spacing w:before="78" w:line="427" w:lineRule="auto"/>
        <w:ind w:left="122" w:firstLine="479"/>
        <w:jc w:val="both"/>
      </w:pPr>
      <w:r>
        <w:rPr>
          <w:spacing w:val="-4"/>
        </w:rPr>
        <w:t xml:space="preserve">对于抽样不规范的样品，检验检测人员应当拒绝接收并书面说明理由，同时 </w:t>
      </w:r>
      <w:r>
        <w:rPr>
          <w:spacing w:val="-3"/>
        </w:rPr>
        <w:t>向组织监督抽查的市场监督管理部门报告。对</w:t>
      </w:r>
      <w:r>
        <w:rPr>
          <w:spacing w:val="-4"/>
        </w:rPr>
        <w:t xml:space="preserve">检验前需要受检单位配合安装、调 </w:t>
      </w:r>
      <w:r>
        <w:rPr>
          <w:spacing w:val="-7"/>
        </w:rPr>
        <w:t>试的样品，受检单位应当做好安装、调试等协助工作，</w:t>
      </w:r>
      <w:r>
        <w:rPr>
          <w:spacing w:val="-8"/>
        </w:rPr>
        <w:t>检验检测机构应当对安装、</w:t>
      </w:r>
    </w:p>
    <w:p>
      <w:pPr>
        <w:pStyle w:val="BodyText"/>
        <w:spacing w:line="220" w:lineRule="auto"/>
        <w:ind w:left="124"/>
      </w:pPr>
      <w:r>
        <w:rPr>
          <w:spacing w:val="-3"/>
        </w:rPr>
        <w:t>调试过程通过拍照、录像等方式记录相关证据。安装、调试结束后，受检单位和</w:t>
      </w:r>
    </w:p>
    <w:p>
      <w:pPr>
        <w:pStyle w:val="BodyText"/>
        <w:spacing w:before="268" w:line="219" w:lineRule="auto"/>
        <w:ind w:left="122"/>
      </w:pPr>
      <w:r>
        <w:rPr>
          <w:spacing w:val="-2"/>
        </w:rPr>
        <w:t>检验检测机构应当以书面形式确认。检验检查项目见表</w:t>
      </w:r>
      <w:r>
        <w:rPr>
          <w:spacing w:val="-19"/>
        </w:rPr>
        <w:t xml:space="preserve"> </w:t>
      </w:r>
      <w:r>
        <w:rPr>
          <w:spacing w:val="-2"/>
        </w:rPr>
        <w:t>1。</w:t>
      </w:r>
    </w:p>
    <w:p>
      <w:pPr>
        <w:spacing w:before="26" w:line="222" w:lineRule="auto"/>
        <w:ind w:left="3318"/>
        <w:rPr>
          <w:rFonts w:ascii="SimHei" w:eastAsia="SimHei" w:hAnsi="SimHei" w:cs="SimHei"/>
          <w:sz w:val="24"/>
          <w:szCs w:val="24"/>
        </w:rPr>
      </w:pPr>
      <w:r>
        <w:rPr>
          <w:rFonts w:ascii="SimHei" w:eastAsia="SimHei" w:hAnsi="SimHei" w:cs="SimHei"/>
          <w:spacing w:val="-6"/>
          <w:sz w:val="24"/>
          <w:szCs w:val="24"/>
        </w:rPr>
        <w:t>表</w:t>
      </w:r>
      <w:r>
        <w:rPr>
          <w:rFonts w:ascii="SimHei" w:eastAsia="SimHei" w:hAnsi="SimHei" w:cs="SimHei"/>
          <w:spacing w:val="-33"/>
          <w:sz w:val="24"/>
          <w:szCs w:val="24"/>
        </w:rPr>
        <w:t xml:space="preserve"> </w:t>
      </w:r>
      <w:r>
        <w:rPr>
          <w:rFonts w:ascii="SimHei" w:eastAsia="SimHei" w:hAnsi="SimHei" w:cs="SimHei"/>
          <w:spacing w:val="-6"/>
          <w:sz w:val="24"/>
          <w:szCs w:val="24"/>
        </w:rPr>
        <w:t>1</w:t>
      </w:r>
      <w:r>
        <w:rPr>
          <w:rFonts w:ascii="SimHei" w:eastAsia="SimHei" w:hAnsi="SimHei" w:cs="SimHei"/>
          <w:spacing w:val="-54"/>
          <w:sz w:val="24"/>
          <w:szCs w:val="24"/>
        </w:rPr>
        <w:t xml:space="preserve"> </w:t>
      </w:r>
      <w:r>
        <w:rPr>
          <w:rFonts w:ascii="SimHei" w:eastAsia="SimHei" w:hAnsi="SimHei" w:cs="SimHei"/>
          <w:spacing w:val="-6"/>
          <w:sz w:val="24"/>
          <w:szCs w:val="24"/>
        </w:rPr>
        <w:t>检验检查项目</w:t>
      </w:r>
    </w:p>
    <w:p>
      <w:pPr>
        <w:spacing w:before="57"/>
      </w:pPr>
    </w:p>
    <w:tbl>
      <w:tblPr>
        <w:tblStyle w:val="TableNormal0"/>
        <w:tblW w:w="8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105"/>
        <w:gridCol w:w="2833"/>
        <w:gridCol w:w="4396"/>
      </w:tblGrid>
      <w:tr>
        <w:tblPrEx>
          <w:tblW w:w="833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75"/>
        </w:trPr>
        <w:tc>
          <w:tcPr>
            <w:tcW w:w="1105" w:type="dxa"/>
            <w:vAlign w:val="top"/>
          </w:tcPr>
          <w:p>
            <w:pPr>
              <w:pStyle w:val="TableText"/>
              <w:spacing w:before="167" w:line="222" w:lineRule="auto"/>
              <w:ind w:left="317"/>
            </w:pPr>
            <w:r>
              <w:rPr>
                <w:spacing w:val="-5"/>
              </w:rPr>
              <w:t>序号</w:t>
            </w:r>
          </w:p>
        </w:tc>
        <w:tc>
          <w:tcPr>
            <w:tcW w:w="2833" w:type="dxa"/>
            <w:vAlign w:val="top"/>
          </w:tcPr>
          <w:p>
            <w:pPr>
              <w:pStyle w:val="TableText"/>
              <w:spacing w:before="168" w:line="220" w:lineRule="auto"/>
              <w:ind w:left="701"/>
            </w:pPr>
            <w:r>
              <w:rPr>
                <w:spacing w:val="-2"/>
              </w:rPr>
              <w:t>检验检查项目</w:t>
            </w:r>
          </w:p>
        </w:tc>
        <w:tc>
          <w:tcPr>
            <w:tcW w:w="4396" w:type="dxa"/>
            <w:vAlign w:val="top"/>
          </w:tcPr>
          <w:p>
            <w:pPr>
              <w:pStyle w:val="TableText"/>
              <w:spacing w:before="168" w:line="219" w:lineRule="auto"/>
              <w:ind w:left="885"/>
            </w:pPr>
            <w:r>
              <w:rPr>
                <w:spacing w:val="-2"/>
              </w:rPr>
              <w:t>依据标准及检验检查方法</w:t>
            </w:r>
          </w:p>
        </w:tc>
      </w:tr>
      <w:tr>
        <w:tblPrEx>
          <w:tblW w:w="8334" w:type="dxa"/>
          <w:tblInd w:w="2" w:type="dxa"/>
          <w:tblLayout w:type="fixed"/>
        </w:tblPrEx>
        <w:trPr>
          <w:trHeight w:val="571"/>
        </w:trPr>
        <w:tc>
          <w:tcPr>
            <w:tcW w:w="1105" w:type="dxa"/>
            <w:vAlign w:val="top"/>
          </w:tcPr>
          <w:p>
            <w:pPr>
              <w:spacing w:before="206" w:line="188" w:lineRule="auto"/>
              <w:ind w:left="517"/>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33" w:type="dxa"/>
            <w:vAlign w:val="top"/>
          </w:tcPr>
          <w:p>
            <w:pPr>
              <w:pStyle w:val="TableText"/>
              <w:spacing w:before="166" w:line="220" w:lineRule="auto"/>
              <w:ind w:left="464"/>
            </w:pPr>
            <w:r>
              <w:rPr>
                <w:spacing w:val="-2"/>
              </w:rPr>
              <w:t>水效标识标注检查</w:t>
            </w:r>
          </w:p>
        </w:tc>
        <w:tc>
          <w:tcPr>
            <w:tcW w:w="4396" w:type="dxa"/>
            <w:vAlign w:val="top"/>
          </w:tcPr>
          <w:p>
            <w:pPr>
              <w:pStyle w:val="TableText"/>
              <w:spacing w:before="166" w:line="219" w:lineRule="auto"/>
              <w:ind w:left="113"/>
            </w:pPr>
            <w:r>
              <w:rPr>
                <w:spacing w:val="-1"/>
              </w:rPr>
              <w:t>CWL 01-2021 淋浴器水效标识实施规则</w:t>
            </w:r>
          </w:p>
        </w:tc>
      </w:tr>
      <w:tr>
        <w:tblPrEx>
          <w:tblW w:w="8334" w:type="dxa"/>
          <w:tblInd w:w="2" w:type="dxa"/>
          <w:tblLayout w:type="fixed"/>
        </w:tblPrEx>
        <w:trPr>
          <w:trHeight w:val="628"/>
        </w:trPr>
        <w:tc>
          <w:tcPr>
            <w:tcW w:w="1105" w:type="dxa"/>
            <w:vAlign w:val="top"/>
          </w:tcPr>
          <w:p>
            <w:pPr>
              <w:spacing w:before="237" w:line="188" w:lineRule="auto"/>
              <w:ind w:left="49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833" w:type="dxa"/>
            <w:vAlign w:val="top"/>
          </w:tcPr>
          <w:p>
            <w:pPr>
              <w:pStyle w:val="TableText"/>
              <w:spacing w:before="40" w:line="222" w:lineRule="auto"/>
              <w:ind w:left="585" w:right="105" w:hanging="469"/>
            </w:pPr>
            <w:r>
              <w:rPr>
                <w:spacing w:val="-4"/>
              </w:rPr>
              <w:t>水效指标（流量、流量均</w:t>
            </w:r>
            <w:r>
              <w:rPr>
                <w:spacing w:val="9"/>
              </w:rPr>
              <w:t xml:space="preserve"> </w:t>
            </w:r>
            <w:r>
              <w:rPr>
                <w:spacing w:val="-3"/>
              </w:rPr>
              <w:t>匀性、喷射力）</w:t>
            </w:r>
          </w:p>
        </w:tc>
        <w:tc>
          <w:tcPr>
            <w:tcW w:w="4396" w:type="dxa"/>
            <w:vAlign w:val="top"/>
          </w:tcPr>
          <w:p>
            <w:pPr>
              <w:pStyle w:val="TableText"/>
              <w:spacing w:before="40" w:line="222" w:lineRule="auto"/>
              <w:ind w:left="1848" w:right="157" w:hanging="1688"/>
            </w:pPr>
            <w:r>
              <w:rPr>
                <w:spacing w:val="-1"/>
              </w:rPr>
              <w:t>GB 28378-2019 淋浴器水效限定值及水</w:t>
            </w:r>
            <w:r>
              <w:rPr>
                <w:spacing w:val="16"/>
              </w:rPr>
              <w:t xml:space="preserve"> </w:t>
            </w:r>
            <w:r>
              <w:rPr>
                <w:spacing w:val="-6"/>
              </w:rPr>
              <w:t>效等级</w:t>
            </w:r>
          </w:p>
        </w:tc>
      </w:tr>
      <w:tr>
        <w:tblPrEx>
          <w:tblW w:w="8334" w:type="dxa"/>
          <w:tblInd w:w="2" w:type="dxa"/>
          <w:tblLayout w:type="fixed"/>
        </w:tblPrEx>
        <w:trPr>
          <w:trHeight w:val="632"/>
        </w:trPr>
        <w:tc>
          <w:tcPr>
            <w:tcW w:w="1105" w:type="dxa"/>
            <w:vAlign w:val="top"/>
          </w:tcPr>
          <w:p>
            <w:pPr>
              <w:spacing w:before="237" w:line="188" w:lineRule="auto"/>
              <w:ind w:left="499"/>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833" w:type="dxa"/>
            <w:vAlign w:val="top"/>
          </w:tcPr>
          <w:p>
            <w:pPr>
              <w:pStyle w:val="TableText"/>
              <w:spacing w:before="196" w:line="220" w:lineRule="auto"/>
              <w:ind w:left="944"/>
            </w:pPr>
            <w:r>
              <w:rPr>
                <w:spacing w:val="-4"/>
              </w:rPr>
              <w:t>水效等级</w:t>
            </w:r>
          </w:p>
        </w:tc>
        <w:tc>
          <w:tcPr>
            <w:tcW w:w="4396" w:type="dxa"/>
            <w:vAlign w:val="top"/>
          </w:tcPr>
          <w:p>
            <w:pPr>
              <w:pStyle w:val="TableText"/>
              <w:spacing w:before="39" w:line="224" w:lineRule="auto"/>
              <w:ind w:left="1848" w:right="157" w:hanging="1688"/>
            </w:pPr>
            <w:r>
              <w:rPr>
                <w:spacing w:val="-1"/>
              </w:rPr>
              <w:t>GB 28378-2019 淋浴器水效限定值及水</w:t>
            </w:r>
            <w:r>
              <w:rPr>
                <w:spacing w:val="16"/>
              </w:rPr>
              <w:t xml:space="preserve"> </w:t>
            </w:r>
            <w:r>
              <w:rPr>
                <w:spacing w:val="-6"/>
              </w:rPr>
              <w:t>效等级</w:t>
            </w:r>
          </w:p>
        </w:tc>
      </w:tr>
    </w:tbl>
    <w:p>
      <w:pPr>
        <w:spacing w:line="330" w:lineRule="auto"/>
        <w:rPr>
          <w:rFonts w:ascii="Arial"/>
          <w:sz w:val="21"/>
        </w:rPr>
      </w:pPr>
    </w:p>
    <w:p>
      <w:pPr>
        <w:spacing w:before="78" w:line="222" w:lineRule="auto"/>
        <w:ind w:left="134"/>
        <w:outlineLvl w:val="0"/>
        <w:rPr>
          <w:rFonts w:ascii="SimHei" w:eastAsia="SimHei" w:hAnsi="SimHei" w:cs="SimHei"/>
          <w:sz w:val="24"/>
          <w:szCs w:val="24"/>
        </w:rPr>
      </w:pPr>
      <w:r>
        <w:rPr>
          <w:rFonts w:ascii="SimHei" w:eastAsia="SimHei" w:hAnsi="SimHei" w:cs="SimHei"/>
          <w:spacing w:val="-4"/>
          <w:sz w:val="24"/>
          <w:szCs w:val="24"/>
        </w:rPr>
        <w:t>11</w:t>
      </w:r>
      <w:r>
        <w:rPr>
          <w:rFonts w:ascii="SimHei" w:eastAsia="SimHei" w:hAnsi="SimHei" w:cs="SimHei"/>
          <w:spacing w:val="-4"/>
          <w:sz w:val="24"/>
          <w:szCs w:val="24"/>
        </w:rPr>
        <w:t xml:space="preserve"> </w:t>
      </w:r>
      <w:r>
        <w:rPr>
          <w:rFonts w:ascii="SimHei" w:eastAsia="SimHei" w:hAnsi="SimHei" w:cs="SimHei"/>
          <w:spacing w:val="-4"/>
          <w:sz w:val="24"/>
          <w:szCs w:val="24"/>
        </w:rPr>
        <w:t>判定原则</w:t>
      </w:r>
    </w:p>
    <w:p>
      <w:pPr>
        <w:spacing w:line="260" w:lineRule="auto"/>
        <w:rPr>
          <w:rFonts w:ascii="Arial"/>
          <w:sz w:val="21"/>
        </w:rPr>
      </w:pPr>
    </w:p>
    <w:p>
      <w:pPr>
        <w:spacing w:line="261" w:lineRule="auto"/>
        <w:rPr>
          <w:rFonts w:ascii="Arial"/>
          <w:sz w:val="21"/>
        </w:rPr>
      </w:pPr>
    </w:p>
    <w:p>
      <w:pPr>
        <w:pStyle w:val="BodyText"/>
        <w:spacing w:before="79" w:line="431" w:lineRule="auto"/>
        <w:ind w:left="108" w:right="20" w:firstLine="493"/>
      </w:pPr>
      <w:r>
        <w:rPr>
          <w:spacing w:val="-4"/>
        </w:rPr>
        <w:t>计量专项检查合格判定以单台样品的检验检测结果作出。“重要项</w:t>
      </w:r>
      <w:r>
        <w:rPr>
          <w:spacing w:val="-5"/>
        </w:rPr>
        <w:t>目</w:t>
      </w:r>
      <w:r>
        <w:rPr>
          <w:spacing w:val="-88"/>
        </w:rPr>
        <w:t xml:space="preserve"> </w:t>
      </w:r>
      <w:r>
        <w:rPr>
          <w:spacing w:val="-5"/>
        </w:rPr>
        <w:t>”结果</w:t>
      </w:r>
      <w:r>
        <w:t xml:space="preserve"> </w:t>
      </w:r>
      <w:r>
        <w:rPr>
          <w:spacing w:val="-6"/>
        </w:rPr>
        <w:t>判定以“合格</w:t>
      </w:r>
      <w:r>
        <w:rPr>
          <w:spacing w:val="-89"/>
        </w:rPr>
        <w:t xml:space="preserve"> </w:t>
      </w:r>
      <w:r>
        <w:rPr>
          <w:spacing w:val="-6"/>
        </w:rPr>
        <w:t>”或“不合格</w:t>
      </w:r>
      <w:r>
        <w:rPr>
          <w:spacing w:val="-88"/>
        </w:rPr>
        <w:t xml:space="preserve"> </w:t>
      </w:r>
      <w:r>
        <w:rPr>
          <w:spacing w:val="-6"/>
        </w:rPr>
        <w:t>”给出；“一般项目</w:t>
      </w:r>
      <w:r>
        <w:rPr>
          <w:spacing w:val="-88"/>
        </w:rPr>
        <w:t xml:space="preserve"> </w:t>
      </w:r>
      <w:r>
        <w:rPr>
          <w:spacing w:val="-6"/>
        </w:rPr>
        <w:t>”结果判定以</w:t>
      </w:r>
      <w:r>
        <w:rPr>
          <w:spacing w:val="-7"/>
        </w:rPr>
        <w:t>“符合</w:t>
      </w:r>
      <w:r>
        <w:rPr>
          <w:spacing w:val="-88"/>
        </w:rPr>
        <w:t xml:space="preserve"> </w:t>
      </w:r>
      <w:r>
        <w:rPr>
          <w:spacing w:val="-7"/>
        </w:rPr>
        <w:t>”或“不符</w:t>
      </w:r>
      <w:r>
        <w:t xml:space="preserve"> </w:t>
      </w:r>
      <w:r>
        <w:rPr>
          <w:spacing w:val="-9"/>
        </w:rPr>
        <w:t>合</w:t>
      </w:r>
      <w:r>
        <w:rPr>
          <w:spacing w:val="-88"/>
        </w:rPr>
        <w:t xml:space="preserve"> </w:t>
      </w:r>
      <w:r>
        <w:rPr>
          <w:spacing w:val="-9"/>
        </w:rPr>
        <w:t>”给出。所检项目的“重要项目</w:t>
      </w:r>
      <w:r>
        <w:rPr>
          <w:spacing w:val="-88"/>
        </w:rPr>
        <w:t xml:space="preserve"> </w:t>
      </w:r>
      <w:r>
        <w:rPr>
          <w:spacing w:val="-9"/>
        </w:rPr>
        <w:t>”全部符合判定要求的</w:t>
      </w:r>
      <w:r>
        <w:rPr>
          <w:spacing w:val="-10"/>
        </w:rPr>
        <w:t>，最终结论判定为合格；</w:t>
      </w:r>
      <w:r>
        <w:t xml:space="preserve"> </w:t>
      </w:r>
      <w:r>
        <w:rPr>
          <w:spacing w:val="-10"/>
        </w:rPr>
        <w:t>“重要项目</w:t>
      </w:r>
      <w:r>
        <w:rPr>
          <w:spacing w:val="-78"/>
        </w:rPr>
        <w:t xml:space="preserve"> </w:t>
      </w:r>
      <w:r>
        <w:rPr>
          <w:spacing w:val="-10"/>
        </w:rPr>
        <w:t>”有一项或一项以上不符合判定要求的，最终判定结论为不合格（“一</w:t>
      </w:r>
    </w:p>
    <w:p>
      <w:pPr>
        <w:pStyle w:val="BodyText"/>
        <w:spacing w:line="219" w:lineRule="auto"/>
        <w:ind w:left="121"/>
      </w:pPr>
      <w:r>
        <w:rPr>
          <w:spacing w:val="-2"/>
        </w:rPr>
        <w:t>般项目</w:t>
      </w:r>
      <w:r>
        <w:rPr>
          <w:spacing w:val="-86"/>
        </w:rPr>
        <w:t xml:space="preserve"> </w:t>
      </w:r>
      <w:r>
        <w:rPr>
          <w:spacing w:val="-2"/>
        </w:rPr>
        <w:t>”不作为最终判定依据）。专项检查的合格判定按照表</w:t>
      </w:r>
      <w:r>
        <w:rPr>
          <w:spacing w:val="-48"/>
        </w:rPr>
        <w:t xml:space="preserve"> </w:t>
      </w:r>
      <w:r>
        <w:rPr>
          <w:spacing w:val="-2"/>
        </w:rPr>
        <w:t>2</w:t>
      </w:r>
      <w:r>
        <w:rPr>
          <w:spacing w:val="-50"/>
        </w:rPr>
        <w:t xml:space="preserve"> </w:t>
      </w:r>
      <w:r>
        <w:rPr>
          <w:spacing w:val="-2"/>
        </w:rPr>
        <w:t>要求判定。</w:t>
      </w:r>
    </w:p>
    <w:p>
      <w:pPr>
        <w:pStyle w:val="BodyText"/>
        <w:spacing w:before="277" w:line="559" w:lineRule="exact"/>
        <w:jc w:val="right"/>
      </w:pPr>
      <w:r>
        <w:rPr>
          <w:spacing w:val="-2"/>
          <w:position w:val="24"/>
        </w:rPr>
        <w:t>检验数据应给出测量不确定度，检验结果判定应考虑测量不确定度的影响。</w:t>
      </w:r>
    </w:p>
    <w:p>
      <w:pPr>
        <w:pStyle w:val="BodyText"/>
        <w:spacing w:line="219" w:lineRule="auto"/>
        <w:ind w:left="122"/>
      </w:pPr>
      <w:r>
        <w:rPr>
          <w:spacing w:val="-1"/>
        </w:rPr>
        <w:t>检验检测机构测量技术能力（测量不确定度）应满足要求。</w:t>
      </w:r>
    </w:p>
    <w:p>
      <w:pPr>
        <w:pStyle w:val="BodyText"/>
        <w:spacing w:before="274" w:line="219" w:lineRule="auto"/>
        <w:ind w:left="604"/>
      </w:pPr>
      <w:r>
        <w:t>淋浴器水效标准没有规定最大允许误差，合</w:t>
      </w:r>
      <w:r>
        <w:rPr>
          <w:spacing w:val="-1"/>
        </w:rPr>
        <w:t>格判定时采用宽限判据原则。</w:t>
      </w:r>
    </w:p>
    <w:p>
      <w:pPr>
        <w:pStyle w:val="BodyText"/>
        <w:spacing w:before="277" w:line="220" w:lineRule="auto"/>
        <w:ind w:left="603"/>
        <w:sectPr>
          <w:headerReference w:type="default" r:id="rId20"/>
          <w:footerReference w:type="default" r:id="rId21"/>
          <w:pgSz w:w="11906" w:h="16839"/>
          <w:pgMar w:top="1157" w:right="1719" w:bottom="1153" w:left="1687" w:header="915" w:footer="994" w:gutter="0"/>
          <w:pgNumType w:start="9"/>
          <w:cols w:space="708"/>
        </w:sectPr>
      </w:pPr>
      <w:r>
        <w:rPr>
          <w:spacing w:val="-3"/>
        </w:rPr>
        <w:t>合格判据</w:t>
      </w:r>
    </w:p>
    <w:p>
      <w:pPr>
        <w:pStyle w:val="BodyText"/>
        <w:spacing w:before="273" w:line="213" w:lineRule="auto"/>
        <w:ind w:left="602"/>
      </w:pPr>
      <w:r>
        <w:rPr>
          <w:spacing w:val="-1"/>
        </w:rPr>
        <w:t>考虑测量不确定度</w:t>
      </w:r>
      <w:r>
        <w:rPr>
          <w:spacing w:val="-34"/>
        </w:rPr>
        <w:t xml:space="preserve"> </w:t>
      </w:r>
      <w:r>
        <w:rPr>
          <w:rFonts w:ascii="Times New Roman" w:eastAsia="Times New Roman" w:hAnsi="Times New Roman" w:cs="Times New Roman"/>
          <w:i/>
          <w:iCs/>
          <w:spacing w:val="-1"/>
        </w:rPr>
        <w:t>U</w:t>
      </w:r>
      <w:r>
        <w:rPr>
          <w:spacing w:val="-1"/>
        </w:rPr>
        <w:t>(</w:t>
      </w:r>
      <w:r>
        <w:rPr>
          <w:i/>
          <w:iCs/>
          <w:spacing w:val="-1"/>
          <w:sz w:val="25"/>
          <w:szCs w:val="25"/>
        </w:rPr>
        <w:t>k</w:t>
      </w:r>
      <w:r>
        <w:rPr>
          <w:spacing w:val="-1"/>
        </w:rPr>
        <w:t>=2)，实测值位于</w:t>
      </w:r>
      <w:r>
        <w:rPr>
          <w:spacing w:val="-2"/>
        </w:rPr>
        <w:t>下述区间的判定为合格：</w:t>
      </w:r>
    </w:p>
    <w:p>
      <w:pPr>
        <w:pStyle w:val="BodyText"/>
        <w:spacing w:before="271" w:line="220" w:lineRule="auto"/>
        <w:ind w:left="603"/>
      </w:pPr>
      <w:r>
        <w:t>流量实测值≤标注值（或标准中规定的最大值）+</w:t>
      </w:r>
      <w:r>
        <w:rPr>
          <w:rFonts w:ascii="Times New Roman" w:eastAsia="Times New Roman" w:hAnsi="Times New Roman" w:cs="Times New Roman"/>
          <w:i/>
          <w:iCs/>
        </w:rPr>
        <w:t>U</w:t>
      </w:r>
      <w:r>
        <w:t>；</w:t>
      </w:r>
    </w:p>
    <w:p>
      <w:pPr>
        <w:pStyle w:val="BodyText"/>
        <w:spacing w:before="276" w:line="220" w:lineRule="auto"/>
        <w:ind w:left="603"/>
      </w:pPr>
      <w:r>
        <w:rPr>
          <w:spacing w:val="-3"/>
        </w:rPr>
        <w:t>合格判定要求见表</w:t>
      </w:r>
      <w:r>
        <w:rPr>
          <w:spacing w:val="-42"/>
        </w:rPr>
        <w:t xml:space="preserve"> </w:t>
      </w:r>
      <w:r>
        <w:rPr>
          <w:spacing w:val="-3"/>
        </w:rPr>
        <w:t>2。</w:t>
      </w:r>
    </w:p>
    <w:p>
      <w:pPr>
        <w:spacing w:line="220" w:lineRule="auto"/>
        <w:sectPr>
          <w:headerReference w:type="default" r:id="rId22"/>
          <w:footerReference w:type="default" r:id="rId23"/>
          <w:type w:val="nextPage"/>
          <w:pgSz w:w="11906" w:h="16839"/>
          <w:pgMar w:top="1157" w:right="1719" w:bottom="1153" w:left="1687" w:header="915" w:footer="994" w:gutter="0"/>
          <w:pgNumType w:start="10"/>
          <w:cols w:space="708"/>
          <w:titlePg w:val="0"/>
        </w:sectPr>
      </w:pPr>
    </w:p>
    <w:p>
      <w:pPr>
        <w:spacing w:line="317" w:lineRule="auto"/>
        <w:rPr>
          <w:rFonts w:ascii="Arial"/>
          <w:sz w:val="21"/>
        </w:rPr>
      </w:pPr>
    </w:p>
    <w:p>
      <w:pPr>
        <w:spacing w:before="78" w:line="222" w:lineRule="auto"/>
        <w:ind w:left="3835"/>
        <w:rPr>
          <w:rFonts w:ascii="SimHei" w:eastAsia="SimHei" w:hAnsi="SimHei" w:cs="SimHei"/>
          <w:sz w:val="24"/>
          <w:szCs w:val="24"/>
        </w:rPr>
      </w:pPr>
      <w:r>
        <w:rPr>
          <w:rFonts w:ascii="SimHei" w:eastAsia="SimHei" w:hAnsi="SimHei" w:cs="SimHei"/>
          <w:spacing w:val="-3"/>
          <w:sz w:val="24"/>
          <w:szCs w:val="24"/>
        </w:rPr>
        <w:t>表</w:t>
      </w:r>
      <w:r>
        <w:rPr>
          <w:rFonts w:ascii="SimHei" w:eastAsia="SimHei" w:hAnsi="SimHei" w:cs="SimHei"/>
          <w:spacing w:val="-48"/>
          <w:sz w:val="24"/>
          <w:szCs w:val="24"/>
        </w:rPr>
        <w:t xml:space="preserve"> </w:t>
      </w:r>
      <w:r>
        <w:rPr>
          <w:rFonts w:ascii="SimHei" w:eastAsia="SimHei" w:hAnsi="SimHei" w:cs="SimHei"/>
          <w:spacing w:val="-3"/>
          <w:sz w:val="24"/>
          <w:szCs w:val="24"/>
        </w:rPr>
        <w:t>2</w:t>
      </w:r>
      <w:r>
        <w:rPr>
          <w:rFonts w:ascii="SimHei" w:eastAsia="SimHei" w:hAnsi="SimHei" w:cs="SimHei"/>
          <w:spacing w:val="-3"/>
          <w:sz w:val="24"/>
          <w:szCs w:val="24"/>
        </w:rPr>
        <w:t xml:space="preserve"> </w:t>
      </w:r>
      <w:r>
        <w:rPr>
          <w:rFonts w:ascii="SimHei" w:eastAsia="SimHei" w:hAnsi="SimHei" w:cs="SimHei"/>
          <w:spacing w:val="-3"/>
          <w:sz w:val="24"/>
          <w:szCs w:val="24"/>
        </w:rPr>
        <w:t>合格判定要求</w:t>
      </w:r>
    </w:p>
    <w:p>
      <w:pPr>
        <w:spacing w:line="65" w:lineRule="exact"/>
      </w:pPr>
    </w:p>
    <w:tbl>
      <w:tblPr>
        <w:tblStyle w:val="TableNormal1"/>
        <w:tblW w:w="87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21"/>
        <w:gridCol w:w="1762"/>
        <w:gridCol w:w="1754"/>
        <w:gridCol w:w="3169"/>
        <w:gridCol w:w="1271"/>
      </w:tblGrid>
      <w:tr>
        <w:tblPrEx>
          <w:tblW w:w="877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9"/>
        </w:trPr>
        <w:tc>
          <w:tcPr>
            <w:tcW w:w="821" w:type="dxa"/>
            <w:vAlign w:val="top"/>
          </w:tcPr>
          <w:p>
            <w:pPr>
              <w:spacing w:before="224" w:line="223" w:lineRule="auto"/>
              <w:ind w:left="175"/>
              <w:rPr>
                <w:rFonts w:ascii="SimHei" w:eastAsia="SimHei" w:hAnsi="SimHei" w:cs="SimHei"/>
                <w:sz w:val="24"/>
                <w:szCs w:val="24"/>
              </w:rPr>
            </w:pPr>
            <w:r>
              <w:rPr>
                <w:rFonts w:ascii="SimHei" w:eastAsia="SimHei" w:hAnsi="SimHei" w:cs="SimHei"/>
                <w:spacing w:val="-5"/>
                <w:sz w:val="24"/>
                <w:szCs w:val="24"/>
              </w:rPr>
              <w:t>序号</w:t>
            </w:r>
          </w:p>
        </w:tc>
        <w:tc>
          <w:tcPr>
            <w:tcW w:w="1762" w:type="dxa"/>
            <w:vAlign w:val="top"/>
          </w:tcPr>
          <w:p>
            <w:pPr>
              <w:spacing w:before="223" w:line="222" w:lineRule="auto"/>
              <w:ind w:left="163"/>
              <w:rPr>
                <w:rFonts w:ascii="SimHei" w:eastAsia="SimHei" w:hAnsi="SimHei" w:cs="SimHei"/>
                <w:sz w:val="24"/>
                <w:szCs w:val="24"/>
              </w:rPr>
            </w:pPr>
            <w:r>
              <w:rPr>
                <w:rFonts w:ascii="SimHei" w:eastAsia="SimHei" w:hAnsi="SimHei" w:cs="SimHei"/>
                <w:spacing w:val="-2"/>
                <w:sz w:val="24"/>
                <w:szCs w:val="24"/>
              </w:rPr>
              <w:t>检验检查项目</w:t>
            </w:r>
          </w:p>
        </w:tc>
        <w:tc>
          <w:tcPr>
            <w:tcW w:w="4923" w:type="dxa"/>
            <w:gridSpan w:val="2"/>
            <w:vAlign w:val="top"/>
          </w:tcPr>
          <w:p>
            <w:pPr>
              <w:spacing w:before="224" w:line="222" w:lineRule="auto"/>
              <w:ind w:left="1988"/>
              <w:rPr>
                <w:rFonts w:ascii="SimHei" w:eastAsia="SimHei" w:hAnsi="SimHei" w:cs="SimHei"/>
                <w:sz w:val="24"/>
                <w:szCs w:val="24"/>
              </w:rPr>
            </w:pPr>
            <w:r>
              <w:rPr>
                <w:rFonts w:ascii="SimHei" w:eastAsia="SimHei" w:hAnsi="SimHei" w:cs="SimHei"/>
                <w:spacing w:val="-3"/>
                <w:sz w:val="24"/>
                <w:szCs w:val="24"/>
              </w:rPr>
              <w:t>判定要求</w:t>
            </w:r>
          </w:p>
        </w:tc>
        <w:tc>
          <w:tcPr>
            <w:tcW w:w="1271" w:type="dxa"/>
            <w:vAlign w:val="top"/>
          </w:tcPr>
          <w:p>
            <w:pPr>
              <w:spacing w:before="223" w:line="222" w:lineRule="auto"/>
              <w:ind w:left="402"/>
              <w:rPr>
                <w:rFonts w:ascii="SimHei" w:eastAsia="SimHei" w:hAnsi="SimHei" w:cs="SimHei"/>
                <w:sz w:val="24"/>
                <w:szCs w:val="24"/>
              </w:rPr>
            </w:pPr>
            <w:r>
              <w:rPr>
                <w:rFonts w:ascii="SimHei" w:eastAsia="SimHei" w:hAnsi="SimHei" w:cs="SimHei"/>
                <w:spacing w:val="-5"/>
                <w:sz w:val="24"/>
                <w:szCs w:val="24"/>
              </w:rPr>
              <w:t>备注</w:t>
            </w:r>
          </w:p>
        </w:tc>
      </w:tr>
      <w:tr>
        <w:tblPrEx>
          <w:tblW w:w="8777" w:type="dxa"/>
          <w:tblInd w:w="2" w:type="dxa"/>
          <w:tblLayout w:type="fixed"/>
        </w:tblPrEx>
        <w:trPr>
          <w:trHeight w:val="1004"/>
        </w:trPr>
        <w:tc>
          <w:tcPr>
            <w:tcW w:w="821" w:type="dxa"/>
            <w:vAlign w:val="top"/>
          </w:tcPr>
          <w:p>
            <w:pPr>
              <w:spacing w:line="400" w:lineRule="auto"/>
              <w:rPr>
                <w:rFonts w:ascii="Arial"/>
                <w:sz w:val="21"/>
              </w:rPr>
            </w:pPr>
          </w:p>
          <w:p>
            <w:pPr>
              <w:pStyle w:val="TableText"/>
              <w:spacing w:before="78" w:line="184" w:lineRule="auto"/>
              <w:ind w:left="373"/>
            </w:pPr>
            <w:r>
              <w:t>1</w:t>
            </w:r>
          </w:p>
        </w:tc>
        <w:tc>
          <w:tcPr>
            <w:tcW w:w="1762" w:type="dxa"/>
            <w:vAlign w:val="top"/>
          </w:tcPr>
          <w:p>
            <w:pPr>
              <w:spacing w:line="364" w:lineRule="auto"/>
              <w:rPr>
                <w:rFonts w:ascii="Arial"/>
                <w:sz w:val="21"/>
              </w:rPr>
            </w:pPr>
          </w:p>
          <w:p>
            <w:pPr>
              <w:pStyle w:val="TableText"/>
              <w:spacing w:before="78" w:line="220" w:lineRule="auto"/>
              <w:ind w:left="169"/>
            </w:pPr>
            <w:r>
              <w:rPr>
                <w:spacing w:val="-3"/>
              </w:rPr>
              <w:t>水效标识标注</w:t>
            </w:r>
          </w:p>
        </w:tc>
        <w:tc>
          <w:tcPr>
            <w:tcW w:w="4923" w:type="dxa"/>
            <w:gridSpan w:val="2"/>
            <w:vAlign w:val="top"/>
          </w:tcPr>
          <w:p>
            <w:pPr>
              <w:pStyle w:val="TableText"/>
              <w:spacing w:before="217" w:line="263" w:lineRule="auto"/>
              <w:ind w:left="1032" w:right="936"/>
              <w:jc w:val="right"/>
            </w:pPr>
            <w:r>
              <w:rPr>
                <w:spacing w:val="-3"/>
              </w:rPr>
              <w:t xml:space="preserve">水效标识样式和内容应符合 </w:t>
            </w:r>
            <w:r>
              <w:rPr>
                <w:spacing w:val="-2"/>
              </w:rPr>
              <w:t>水效标识实施细则要求。</w:t>
            </w:r>
          </w:p>
        </w:tc>
        <w:tc>
          <w:tcPr>
            <w:tcW w:w="1271" w:type="dxa"/>
            <w:vAlign w:val="top"/>
          </w:tcPr>
          <w:p>
            <w:pPr>
              <w:spacing w:line="364" w:lineRule="auto"/>
              <w:rPr>
                <w:rFonts w:ascii="Arial"/>
                <w:sz w:val="21"/>
              </w:rPr>
            </w:pPr>
          </w:p>
          <w:p>
            <w:pPr>
              <w:pStyle w:val="TableText"/>
              <w:spacing w:before="78" w:line="221" w:lineRule="auto"/>
              <w:ind w:left="166"/>
            </w:pPr>
            <w:r>
              <w:rPr>
                <w:spacing w:val="-4"/>
              </w:rPr>
              <w:t>一般项目</w:t>
            </w:r>
          </w:p>
        </w:tc>
      </w:tr>
      <w:tr>
        <w:tblPrEx>
          <w:tblW w:w="8777" w:type="dxa"/>
          <w:tblInd w:w="2" w:type="dxa"/>
          <w:tblLayout w:type="fixed"/>
        </w:tblPrEx>
        <w:trPr>
          <w:trHeight w:val="1004"/>
        </w:trPr>
        <w:tc>
          <w:tcPr>
            <w:tcW w:w="821" w:type="dxa"/>
            <w:vMerge w:val="restart"/>
            <w:tcBorders>
              <w:bottom w:val="nil"/>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78" w:line="183" w:lineRule="auto"/>
              <w:ind w:left="358"/>
            </w:pPr>
            <w:r>
              <w:t>2</w:t>
            </w:r>
          </w:p>
        </w:tc>
        <w:tc>
          <w:tcPr>
            <w:tcW w:w="1762" w:type="dxa"/>
            <w:vMerge w:val="restart"/>
            <w:tcBorders>
              <w:bottom w:val="nil"/>
            </w:tcBorders>
            <w:vAlign w:val="top"/>
          </w:tcPr>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78" w:line="220" w:lineRule="auto"/>
              <w:ind w:left="409"/>
            </w:pPr>
            <w:r>
              <w:rPr>
                <w:spacing w:val="-4"/>
              </w:rPr>
              <w:t>水效指标</w:t>
            </w:r>
          </w:p>
        </w:tc>
        <w:tc>
          <w:tcPr>
            <w:tcW w:w="1754" w:type="dxa"/>
            <w:vAlign w:val="top"/>
          </w:tcPr>
          <w:p>
            <w:pPr>
              <w:spacing w:line="365" w:lineRule="auto"/>
              <w:rPr>
                <w:rFonts w:ascii="Arial"/>
                <w:sz w:val="21"/>
              </w:rPr>
            </w:pPr>
          </w:p>
          <w:p>
            <w:pPr>
              <w:pStyle w:val="TableText"/>
              <w:spacing w:before="78" w:line="224" w:lineRule="auto"/>
              <w:ind w:left="644"/>
            </w:pPr>
            <w:r>
              <w:rPr>
                <w:spacing w:val="-6"/>
              </w:rPr>
              <w:t>流量</w:t>
            </w:r>
          </w:p>
        </w:tc>
        <w:tc>
          <w:tcPr>
            <w:tcW w:w="3169" w:type="dxa"/>
            <w:vAlign w:val="top"/>
          </w:tcPr>
          <w:p>
            <w:pPr>
              <w:pStyle w:val="TableText"/>
              <w:spacing w:before="196" w:line="499" w:lineRule="exact"/>
              <w:ind w:left="157"/>
            </w:pPr>
            <w:r>
              <w:rPr>
                <w:spacing w:val="-2"/>
                <w:position w:val="19"/>
              </w:rPr>
              <w:t>实测值≤标注值（或标准中</w:t>
            </w:r>
          </w:p>
          <w:p>
            <w:pPr>
              <w:pStyle w:val="TableText"/>
              <w:spacing w:line="220" w:lineRule="auto"/>
              <w:ind w:left="606"/>
              <w:rPr>
                <w:rFonts w:ascii="Times New Roman" w:eastAsia="Times New Roman" w:hAnsi="Times New Roman" w:cs="Times New Roman"/>
              </w:rPr>
            </w:pPr>
            <w:r>
              <w:rPr>
                <w:spacing w:val="1"/>
              </w:rPr>
              <w:t>规定的最大值）+</w:t>
            </w:r>
            <w:r>
              <w:rPr>
                <w:rFonts w:ascii="Times New Roman" w:eastAsia="Times New Roman" w:hAnsi="Times New Roman" w:cs="Times New Roman"/>
                <w:i/>
                <w:iCs/>
                <w:spacing w:val="1"/>
              </w:rPr>
              <w:t>U</w:t>
            </w:r>
          </w:p>
        </w:tc>
        <w:tc>
          <w:tcPr>
            <w:tcW w:w="1271" w:type="dxa"/>
            <w:vMerge w:val="restart"/>
            <w:tcBorders>
              <w:bottom w:val="nil"/>
            </w:tcBorders>
            <w:vAlign w:val="top"/>
          </w:tcPr>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pStyle w:val="TableText"/>
              <w:spacing w:before="78" w:line="221" w:lineRule="auto"/>
              <w:ind w:left="163"/>
            </w:pPr>
            <w:r>
              <w:rPr>
                <w:spacing w:val="-3"/>
              </w:rPr>
              <w:t>重要项目</w:t>
            </w:r>
          </w:p>
        </w:tc>
      </w:tr>
      <w:tr>
        <w:tblPrEx>
          <w:tblW w:w="8777" w:type="dxa"/>
          <w:tblInd w:w="2" w:type="dxa"/>
          <w:tblLayout w:type="fixed"/>
        </w:tblPrEx>
        <w:trPr>
          <w:trHeight w:val="1004"/>
        </w:trPr>
        <w:tc>
          <w:tcPr>
            <w:tcW w:w="821" w:type="dxa"/>
            <w:vMerge/>
            <w:tcBorders>
              <w:top w:val="nil"/>
              <w:bottom w:val="nil"/>
            </w:tcBorders>
            <w:vAlign w:val="top"/>
          </w:tcPr>
          <w:p>
            <w:pPr>
              <w:rPr>
                <w:rFonts w:ascii="Arial"/>
                <w:sz w:val="21"/>
              </w:rPr>
            </w:pPr>
          </w:p>
        </w:tc>
        <w:tc>
          <w:tcPr>
            <w:tcW w:w="1762" w:type="dxa"/>
            <w:vMerge/>
            <w:tcBorders>
              <w:top w:val="nil"/>
              <w:bottom w:val="nil"/>
            </w:tcBorders>
            <w:vAlign w:val="top"/>
          </w:tcPr>
          <w:p>
            <w:pPr>
              <w:rPr>
                <w:rFonts w:ascii="Arial"/>
                <w:sz w:val="21"/>
              </w:rPr>
            </w:pPr>
          </w:p>
        </w:tc>
        <w:tc>
          <w:tcPr>
            <w:tcW w:w="1754" w:type="dxa"/>
            <w:vAlign w:val="top"/>
          </w:tcPr>
          <w:p>
            <w:pPr>
              <w:pStyle w:val="TableText"/>
              <w:spacing w:before="197" w:line="220" w:lineRule="auto"/>
              <w:ind w:left="532"/>
            </w:pPr>
            <w:r>
              <w:rPr>
                <w:spacing w:val="-7"/>
              </w:rPr>
              <w:t>喷射力</w:t>
            </w:r>
          </w:p>
          <w:p>
            <w:pPr>
              <w:pStyle w:val="TableText"/>
              <w:spacing w:before="213" w:line="220" w:lineRule="auto"/>
              <w:ind w:left="155"/>
            </w:pPr>
            <w:r>
              <w:rPr>
                <w:spacing w:val="-8"/>
              </w:rPr>
              <w:t>(手持式花洒）</w:t>
            </w:r>
          </w:p>
        </w:tc>
        <w:tc>
          <w:tcPr>
            <w:tcW w:w="3169" w:type="dxa"/>
            <w:vAlign w:val="top"/>
          </w:tcPr>
          <w:p>
            <w:pPr>
              <w:spacing w:line="367" w:lineRule="auto"/>
              <w:rPr>
                <w:rFonts w:ascii="Arial"/>
                <w:sz w:val="21"/>
              </w:rPr>
            </w:pPr>
          </w:p>
          <w:p>
            <w:pPr>
              <w:pStyle w:val="TableText"/>
              <w:spacing w:before="78" w:line="220" w:lineRule="auto"/>
              <w:ind w:left="817"/>
            </w:pPr>
            <w:r>
              <w:rPr>
                <w:spacing w:val="-2"/>
              </w:rPr>
              <w:t>实测值≥0.85N</w:t>
            </w:r>
          </w:p>
        </w:tc>
        <w:tc>
          <w:tcPr>
            <w:tcW w:w="1271" w:type="dxa"/>
            <w:vMerge/>
            <w:tcBorders>
              <w:top w:val="nil"/>
              <w:bottom w:val="nil"/>
            </w:tcBorders>
            <w:vAlign w:val="top"/>
          </w:tcPr>
          <w:p>
            <w:pPr>
              <w:rPr>
                <w:rFonts w:ascii="Arial"/>
                <w:sz w:val="21"/>
              </w:rPr>
            </w:pPr>
          </w:p>
        </w:tc>
      </w:tr>
      <w:tr>
        <w:tblPrEx>
          <w:tblW w:w="8777" w:type="dxa"/>
          <w:tblInd w:w="2" w:type="dxa"/>
          <w:tblLayout w:type="fixed"/>
        </w:tblPrEx>
        <w:trPr>
          <w:trHeight w:val="1004"/>
        </w:trPr>
        <w:tc>
          <w:tcPr>
            <w:tcW w:w="821" w:type="dxa"/>
            <w:vMerge/>
            <w:tcBorders>
              <w:top w:val="nil"/>
            </w:tcBorders>
            <w:vAlign w:val="top"/>
          </w:tcPr>
          <w:p>
            <w:pPr>
              <w:rPr>
                <w:rFonts w:ascii="Arial"/>
                <w:sz w:val="21"/>
              </w:rPr>
            </w:pPr>
          </w:p>
        </w:tc>
        <w:tc>
          <w:tcPr>
            <w:tcW w:w="1762" w:type="dxa"/>
            <w:vMerge/>
            <w:tcBorders>
              <w:top w:val="nil"/>
            </w:tcBorders>
            <w:vAlign w:val="top"/>
          </w:tcPr>
          <w:p>
            <w:pPr>
              <w:rPr>
                <w:rFonts w:ascii="Arial"/>
                <w:sz w:val="21"/>
              </w:rPr>
            </w:pPr>
          </w:p>
        </w:tc>
        <w:tc>
          <w:tcPr>
            <w:tcW w:w="1754" w:type="dxa"/>
            <w:vAlign w:val="top"/>
          </w:tcPr>
          <w:p>
            <w:pPr>
              <w:pStyle w:val="TableText"/>
              <w:spacing w:before="199" w:line="499" w:lineRule="exact"/>
              <w:ind w:left="284"/>
            </w:pPr>
            <w:r>
              <w:rPr>
                <w:spacing w:val="-3"/>
                <w:position w:val="19"/>
              </w:rPr>
              <w:t>流量均匀性</w:t>
            </w:r>
          </w:p>
          <w:p>
            <w:pPr>
              <w:pStyle w:val="TableText"/>
              <w:spacing w:line="220" w:lineRule="auto"/>
              <w:ind w:left="155"/>
            </w:pPr>
            <w:r>
              <w:rPr>
                <w:spacing w:val="-8"/>
              </w:rPr>
              <w:t>(手持式花洒）</w:t>
            </w:r>
          </w:p>
        </w:tc>
        <w:tc>
          <w:tcPr>
            <w:tcW w:w="3169" w:type="dxa"/>
            <w:vAlign w:val="top"/>
          </w:tcPr>
          <w:p>
            <w:pPr>
              <w:spacing w:line="368" w:lineRule="auto"/>
              <w:rPr>
                <w:rFonts w:ascii="Arial"/>
                <w:sz w:val="21"/>
              </w:rPr>
            </w:pPr>
          </w:p>
          <w:p>
            <w:pPr>
              <w:pStyle w:val="TableText"/>
              <w:spacing w:before="78" w:line="220" w:lineRule="auto"/>
              <w:ind w:left="577"/>
            </w:pPr>
            <w:r>
              <w:rPr>
                <w:spacing w:val="-2"/>
              </w:rPr>
              <w:t>实测值≤4.0 L/min</w:t>
            </w:r>
          </w:p>
        </w:tc>
        <w:tc>
          <w:tcPr>
            <w:tcW w:w="1271" w:type="dxa"/>
            <w:vMerge/>
            <w:tcBorders>
              <w:top w:val="nil"/>
            </w:tcBorders>
            <w:vAlign w:val="top"/>
          </w:tcPr>
          <w:p>
            <w:pPr>
              <w:rPr>
                <w:rFonts w:ascii="Arial"/>
                <w:sz w:val="21"/>
              </w:rPr>
            </w:pPr>
          </w:p>
        </w:tc>
      </w:tr>
      <w:tr>
        <w:tblPrEx>
          <w:tblW w:w="8777" w:type="dxa"/>
          <w:tblInd w:w="2" w:type="dxa"/>
          <w:tblLayout w:type="fixed"/>
        </w:tblPrEx>
        <w:trPr>
          <w:trHeight w:val="1009"/>
        </w:trPr>
        <w:tc>
          <w:tcPr>
            <w:tcW w:w="821" w:type="dxa"/>
            <w:vAlign w:val="top"/>
          </w:tcPr>
          <w:p>
            <w:pPr>
              <w:spacing w:line="407" w:lineRule="auto"/>
              <w:rPr>
                <w:rFonts w:ascii="Arial"/>
                <w:sz w:val="21"/>
              </w:rPr>
            </w:pPr>
          </w:p>
          <w:p>
            <w:pPr>
              <w:pStyle w:val="TableText"/>
              <w:spacing w:before="78" w:line="183" w:lineRule="auto"/>
              <w:ind w:left="360"/>
            </w:pPr>
            <w:r>
              <w:t>3</w:t>
            </w:r>
          </w:p>
        </w:tc>
        <w:tc>
          <w:tcPr>
            <w:tcW w:w="1762" w:type="dxa"/>
            <w:vAlign w:val="top"/>
          </w:tcPr>
          <w:p>
            <w:pPr>
              <w:spacing w:line="370" w:lineRule="auto"/>
              <w:rPr>
                <w:rFonts w:ascii="Arial"/>
                <w:sz w:val="21"/>
              </w:rPr>
            </w:pPr>
          </w:p>
          <w:p>
            <w:pPr>
              <w:pStyle w:val="TableText"/>
              <w:spacing w:before="78" w:line="220" w:lineRule="auto"/>
              <w:ind w:left="409"/>
            </w:pPr>
            <w:r>
              <w:rPr>
                <w:spacing w:val="-4"/>
              </w:rPr>
              <w:t>水效等级</w:t>
            </w:r>
          </w:p>
        </w:tc>
        <w:tc>
          <w:tcPr>
            <w:tcW w:w="4923" w:type="dxa"/>
            <w:gridSpan w:val="2"/>
            <w:vAlign w:val="top"/>
          </w:tcPr>
          <w:p>
            <w:pPr>
              <w:spacing w:line="370" w:lineRule="auto"/>
              <w:rPr>
                <w:rFonts w:ascii="Arial"/>
                <w:sz w:val="21"/>
              </w:rPr>
            </w:pPr>
          </w:p>
          <w:p>
            <w:pPr>
              <w:pStyle w:val="TableText"/>
              <w:spacing w:before="78" w:line="220" w:lineRule="auto"/>
              <w:ind w:left="555"/>
            </w:pPr>
            <w:r>
              <w:rPr>
                <w:spacing w:val="-1"/>
              </w:rPr>
              <w:t>实测的水效等级满足标注的水效等级</w:t>
            </w:r>
          </w:p>
        </w:tc>
        <w:tc>
          <w:tcPr>
            <w:tcW w:w="1271" w:type="dxa"/>
            <w:vAlign w:val="top"/>
          </w:tcPr>
          <w:p>
            <w:pPr>
              <w:spacing w:line="369" w:lineRule="auto"/>
              <w:rPr>
                <w:rFonts w:ascii="Arial"/>
                <w:sz w:val="21"/>
              </w:rPr>
            </w:pPr>
          </w:p>
          <w:p>
            <w:pPr>
              <w:pStyle w:val="TableText"/>
              <w:spacing w:before="78" w:line="221" w:lineRule="auto"/>
              <w:ind w:left="163"/>
            </w:pPr>
            <w:r>
              <w:rPr>
                <w:spacing w:val="-3"/>
              </w:rPr>
              <w:t>重要项目</w:t>
            </w:r>
          </w:p>
        </w:tc>
      </w:tr>
    </w:tbl>
    <w:p>
      <w:pPr>
        <w:spacing w:line="296" w:lineRule="auto"/>
        <w:rPr>
          <w:rFonts w:ascii="Arial"/>
          <w:sz w:val="21"/>
        </w:rPr>
      </w:pPr>
    </w:p>
    <w:p>
      <w:pPr>
        <w:spacing w:line="296" w:lineRule="auto"/>
        <w:rPr>
          <w:rFonts w:ascii="Arial"/>
          <w:sz w:val="21"/>
        </w:rPr>
      </w:pPr>
    </w:p>
    <w:p>
      <w:pPr>
        <w:spacing w:line="296" w:lineRule="auto"/>
        <w:rPr>
          <w:rFonts w:ascii="Arial"/>
          <w:sz w:val="21"/>
        </w:rPr>
      </w:pPr>
    </w:p>
    <w:p>
      <w:pPr>
        <w:spacing w:before="78" w:line="222" w:lineRule="auto"/>
        <w:ind w:left="260"/>
        <w:outlineLvl w:val="0"/>
        <w:rPr>
          <w:rFonts w:ascii="SimHei" w:eastAsia="SimHei" w:hAnsi="SimHei" w:cs="SimHei"/>
          <w:sz w:val="24"/>
          <w:szCs w:val="24"/>
        </w:rPr>
      </w:pPr>
      <w:r>
        <w:rPr>
          <w:rFonts w:ascii="SimHei" w:eastAsia="SimHei" w:hAnsi="SimHei" w:cs="SimHei"/>
          <w:spacing w:val="-4"/>
          <w:sz w:val="24"/>
          <w:szCs w:val="24"/>
        </w:rPr>
        <w:t>12</w:t>
      </w:r>
      <w:r>
        <w:rPr>
          <w:rFonts w:ascii="SimHei" w:eastAsia="SimHei" w:hAnsi="SimHei" w:cs="SimHei"/>
          <w:spacing w:val="-4"/>
          <w:sz w:val="24"/>
          <w:szCs w:val="24"/>
        </w:rPr>
        <w:t xml:space="preserve"> </w:t>
      </w:r>
      <w:r>
        <w:rPr>
          <w:rFonts w:ascii="SimHei" w:eastAsia="SimHei" w:hAnsi="SimHei" w:cs="SimHei"/>
          <w:spacing w:val="-4"/>
          <w:sz w:val="24"/>
          <w:szCs w:val="24"/>
        </w:rPr>
        <w:t>结果通知</w:t>
      </w:r>
    </w:p>
    <w:p>
      <w:pPr>
        <w:spacing w:line="393" w:lineRule="auto"/>
        <w:rPr>
          <w:rFonts w:ascii="Arial"/>
          <w:sz w:val="21"/>
        </w:rPr>
      </w:pPr>
    </w:p>
    <w:p>
      <w:pPr>
        <w:pStyle w:val="BodyText"/>
        <w:spacing w:before="78" w:line="360" w:lineRule="auto"/>
        <w:ind w:left="248" w:right="237" w:firstLine="480"/>
        <w:jc w:val="both"/>
      </w:pPr>
      <w:r>
        <w:rPr>
          <w:spacing w:val="4"/>
        </w:rPr>
        <w:t>检验检测机构按规定要求将检查结果和检验报告报送组织监督抽查的市场</w:t>
      </w:r>
      <w:r>
        <w:rPr>
          <w:spacing w:val="7"/>
        </w:rPr>
        <w:t xml:space="preserve"> </w:t>
      </w:r>
      <w:r>
        <w:rPr>
          <w:spacing w:val="-3"/>
        </w:rPr>
        <w:t>监督管理部门并保留相应凭证。检验检查结论为合格寄送检查结果和检验报告至</w:t>
      </w:r>
      <w:r>
        <w:rPr>
          <w:spacing w:val="1"/>
        </w:rPr>
        <w:t xml:space="preserve"> </w:t>
      </w:r>
      <w:r>
        <w:rPr>
          <w:spacing w:val="-3"/>
        </w:rPr>
        <w:t>检查对象。检验检查结论为不合格寄送检查结果和检验报告至检查对象所在地市</w:t>
      </w:r>
    </w:p>
    <w:p>
      <w:pPr>
        <w:pStyle w:val="BodyText"/>
        <w:spacing w:line="220" w:lineRule="auto"/>
        <w:ind w:left="247"/>
      </w:pPr>
      <w:r>
        <w:rPr>
          <w:spacing w:val="-1"/>
        </w:rPr>
        <w:t>场监督管理部门。针对特殊情况按照有关规定处理。</w:t>
      </w:r>
    </w:p>
    <w:p>
      <w:pPr>
        <w:spacing w:line="396" w:lineRule="auto"/>
        <w:rPr>
          <w:rFonts w:ascii="Arial"/>
          <w:sz w:val="21"/>
        </w:rPr>
      </w:pPr>
    </w:p>
    <w:p>
      <w:pPr>
        <w:spacing w:before="78" w:line="222" w:lineRule="auto"/>
        <w:ind w:left="260"/>
        <w:outlineLvl w:val="0"/>
        <w:rPr>
          <w:rFonts w:ascii="SimHei" w:eastAsia="SimHei" w:hAnsi="SimHei" w:cs="SimHei"/>
          <w:sz w:val="24"/>
          <w:szCs w:val="24"/>
        </w:rPr>
      </w:pPr>
      <w:r>
        <w:rPr>
          <w:rFonts w:ascii="SimHei" w:eastAsia="SimHei" w:hAnsi="SimHei" w:cs="SimHei"/>
          <w:spacing w:val="-6"/>
          <w:sz w:val="24"/>
          <w:szCs w:val="24"/>
        </w:rPr>
        <w:t>13</w:t>
      </w:r>
      <w:r>
        <w:rPr>
          <w:rFonts w:ascii="SimHei" w:eastAsia="SimHei" w:hAnsi="SimHei" w:cs="SimHei"/>
          <w:spacing w:val="14"/>
          <w:sz w:val="24"/>
          <w:szCs w:val="24"/>
        </w:rPr>
        <w:t xml:space="preserve"> </w:t>
      </w:r>
      <w:r>
        <w:rPr>
          <w:rFonts w:ascii="SimHei" w:eastAsia="SimHei" w:hAnsi="SimHei" w:cs="SimHei"/>
          <w:spacing w:val="-6"/>
          <w:sz w:val="24"/>
          <w:szCs w:val="24"/>
        </w:rPr>
        <w:t>异议处理</w:t>
      </w:r>
    </w:p>
    <w:p>
      <w:pPr>
        <w:spacing w:line="397" w:lineRule="auto"/>
        <w:rPr>
          <w:rFonts w:ascii="Arial"/>
          <w:sz w:val="21"/>
        </w:rPr>
        <w:sectPr>
          <w:headerReference w:type="default" r:id="rId24"/>
          <w:footerReference w:type="default" r:id="rId25"/>
          <w:pgSz w:w="11906" w:h="16839"/>
          <w:pgMar w:top="1157" w:right="1562" w:bottom="1156" w:left="1561" w:header="915" w:footer="994" w:gutter="0"/>
          <w:pgNumType w:start="11"/>
          <w:cols w:space="708"/>
        </w:sectPr>
      </w:pPr>
    </w:p>
    <w:p>
      <w:pPr>
        <w:pStyle w:val="BodyText"/>
        <w:spacing w:before="78" w:line="360" w:lineRule="auto"/>
        <w:ind w:left="248" w:right="174" w:firstLine="484"/>
        <w:jc w:val="both"/>
      </w:pPr>
      <w:r>
        <w:rPr>
          <w:spacing w:val="-8"/>
        </w:rPr>
        <w:t>受检单位或者样品标称生产者对抽样过程、样</w:t>
      </w:r>
      <w:r>
        <w:rPr>
          <w:spacing w:val="-9"/>
        </w:rPr>
        <w:t>品真实性、检验结论有异议时，</w:t>
      </w:r>
      <w:r>
        <w:t xml:space="preserve"> </w:t>
      </w:r>
      <w:r>
        <w:rPr>
          <w:spacing w:val="4"/>
        </w:rPr>
        <w:t>应当自收到专项监督检查结果告知之日起十五日内向组织监督抽查的市场监督</w:t>
      </w:r>
    </w:p>
    <w:p>
      <w:pPr>
        <w:pStyle w:val="BodyText"/>
        <w:spacing w:line="219" w:lineRule="auto"/>
        <w:ind w:left="252"/>
      </w:pPr>
      <w:r>
        <w:rPr>
          <w:spacing w:val="-2"/>
        </w:rPr>
        <w:t>管理部门提出书面异议申请。</w:t>
      </w:r>
    </w:p>
    <w:p>
      <w:pPr>
        <w:pStyle w:val="BodyText"/>
        <w:spacing w:before="182" w:line="468" w:lineRule="exact"/>
        <w:ind w:left="729"/>
      </w:pPr>
      <w:r>
        <w:rPr>
          <w:spacing w:val="1"/>
          <w:position w:val="17"/>
        </w:rPr>
        <w:t>有下列情形之一的，组织监督抽查的市场监督管理部门不予组织复检:</w:t>
      </w:r>
    </w:p>
    <w:p>
      <w:pPr>
        <w:pStyle w:val="BodyText"/>
        <w:spacing w:before="1" w:line="219" w:lineRule="auto"/>
        <w:ind w:left="770"/>
      </w:pPr>
      <w:r>
        <w:rPr>
          <w:spacing w:val="-3"/>
        </w:rPr>
        <w:t>(一)异议申请人在异议期内未提出书面异议材料；</w:t>
      </w:r>
    </w:p>
    <w:p>
      <w:pPr>
        <w:pStyle w:val="BodyText"/>
        <w:spacing w:before="183" w:line="220" w:lineRule="auto"/>
        <w:ind w:left="770"/>
      </w:pPr>
      <w:r>
        <w:rPr>
          <w:spacing w:val="-3"/>
        </w:rPr>
        <w:t>(二)经异议申请人确认的现场检验结论；</w:t>
      </w:r>
    </w:p>
    <w:p>
      <w:pPr>
        <w:spacing w:line="220"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https://d.book118.com/425212013214011112</w:t>
        </w:r>
      </w:hyperlink>
    </w:p>
    <w:p>
      <w:pPr>
        <w:spacing w:line="220" w:lineRule="auto"/>
      </w:pPr>
    </w:p>
    <w:sectPr>
      <w:headerReference w:type="default" r:id="rId27"/>
      <w:footerReference w:type="default" r:id="rId28"/>
      <w:type w:val="nextPage"/>
      <w:pgSz w:w="11906" w:h="16839"/>
      <w:pgMar w:top="1157" w:right="1562" w:bottom="1156" w:left="1561" w:header="915" w:footer="994"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230"/>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5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355"/>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49" style="width:415.3pt;height:0.75pt;margin-top:57.15pt;margin-left:90pt;mso-position-horizontal-relative:page;mso-position-vertical-relative:page;position:absolute;z-index:251658240" coordorigin="0,0" coordsize="8305,15" o:allowincell="f" path="m,l8305,l8305,14l,14l,xe" filled="t" fillcolor="black" stroked="f"/>
      </w:pict>
    </w:r>
    <w:r>
      <w:rPr>
        <w:rFonts w:ascii="SimHei" w:eastAsia="SimHei" w:hAnsi="SimHei" w:cs="SimHei"/>
        <w:spacing w:val="4"/>
        <w:sz w:val="20"/>
        <w:szCs w:val="20"/>
      </w:rPr>
      <w:t>JJFXXXX-XXXX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0" style="width:415.3pt;height:0.75pt;margin-top:57.15pt;margin-left:90pt;mso-position-horizontal-relative:page;mso-position-vertical-relative:page;position:absolute;z-index:251659264" coordorigin="0,0" coordsize="8305,15" o:allowincell="f" path="m,l8305,l8305,14l,14l,xe" filled="t" fillcolor="black" stroked="f"/>
      </w:pict>
    </w:r>
    <w:r>
      <w:rPr>
        <w:rFonts w:ascii="SimHei" w:eastAsia="SimHei" w:hAnsi="SimHei" w:cs="SimHei"/>
        <w:spacing w:val="4"/>
        <w:sz w:val="20"/>
        <w:szCs w:val="20"/>
      </w:rPr>
      <w:t>JJFXXXX-XXXX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1" style="width:415.3pt;height:0.75pt;margin-top:57.15pt;margin-left:90pt;mso-position-horizontal-relative:page;mso-position-vertical-relative:page;position:absolute;z-index:251660288" coordorigin="0,0" coordsize="8305,15" o:allowincell="f" path="m,l8305,l8305,14l,14l,xe" filled="t" fillcolor="black" stroked="f"/>
      </w:pict>
    </w:r>
    <w:r>
      <w:rPr>
        <w:rFonts w:ascii="SimHei" w:eastAsia="SimHei" w:hAnsi="SimHei" w:cs="SimHei"/>
        <w:spacing w:val="4"/>
        <w:sz w:val="20"/>
        <w:szCs w:val="20"/>
      </w:rPr>
      <w:t>JJFXXXX-XXXX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2" style="width:415.3pt;height:0.75pt;margin-top:57.15pt;margin-left:90pt;mso-position-horizontal-relative:page;mso-position-vertical-relative:page;position:absolute;z-index:251661312" coordorigin="0,0" coordsize="8305,15" o:allowincell="f" path="m,l8305,l8305,14l,14l,xe" filled="t" fillcolor="black" stroked="f"/>
      </w:pict>
    </w:r>
    <w:r>
      <w:rPr>
        <w:rFonts w:ascii="SimHei" w:eastAsia="SimHei" w:hAnsi="SimHei" w:cs="SimHei"/>
        <w:spacing w:val="4"/>
        <w:sz w:val="20"/>
        <w:szCs w:val="20"/>
      </w:rPr>
      <w:t>JJFXXXX-XXXX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3" style="width:415.3pt;height:0.75pt;margin-top:57.15pt;margin-left:90pt;mso-position-horizontal-relative:page;mso-position-vertical-relative:page;position:absolute;z-index:251662336" coordorigin="0,0" coordsize="8305,15" o:allowincell="f" path="m,l8305,l8305,14l,14l,xe" filled="t" fillcolor="black" stroked="f"/>
      </w:pict>
    </w:r>
    <w:r>
      <w:rPr>
        <w:rFonts w:ascii="SimHei" w:eastAsia="SimHei" w:hAnsi="SimHei" w:cs="SimHei"/>
        <w:spacing w:val="4"/>
        <w:sz w:val="20"/>
        <w:szCs w:val="20"/>
      </w:rPr>
      <w:t>JJFXXXX-XXXX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4" style="width:415.3pt;height:0.75pt;margin-top:57.15pt;margin-left:90pt;mso-position-horizontal-relative:page;mso-position-vertical-relative:page;position:absolute;z-index:251663360" coordorigin="0,0" coordsize="8305,15" o:allowincell="f" path="m,l8305,l8305,14l,14l,xe" filled="t" fillcolor="black" stroked="f"/>
      </w:pict>
    </w:r>
    <w:r>
      <w:rPr>
        <w:rFonts w:ascii="SimHei" w:eastAsia="SimHei" w:hAnsi="SimHei" w:cs="SimHei"/>
        <w:spacing w:val="4"/>
        <w:sz w:val="20"/>
        <w:szCs w:val="20"/>
      </w:rPr>
      <w:t>JJFXXXX-XXXX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5" style="width:415.3pt;height:0.75pt;margin-top:57.15pt;margin-left:90pt;mso-position-horizontal-relative:page;mso-position-vertical-relative:page;position:absolute;z-index:251664384" coordorigin="0,0" coordsize="8305,15" o:allowincell="f" path="m,l8305,l8305,14l,14l,xe" filled="t" fillcolor="black" stroked="f"/>
      </w:pict>
    </w:r>
    <w:r>
      <w:rPr>
        <w:rFonts w:ascii="SimHei" w:eastAsia="SimHei" w:hAnsi="SimHei" w:cs="SimHei"/>
        <w:spacing w:val="4"/>
        <w:sz w:val="20"/>
        <w:szCs w:val="20"/>
      </w:rPr>
      <w:t>JJFXXXX-XXXX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547"/>
      <w:rPr>
        <w:rFonts w:ascii="SimHei" w:eastAsia="SimHei" w:hAnsi="SimHei" w:cs="SimHei"/>
        <w:sz w:val="20"/>
        <w:szCs w:val="20"/>
      </w:rPr>
    </w:pPr>
    <w:r>
      <w:pict>
        <v:shape id="_x0000_s2056" style="width:415.3pt;height:0.75pt;margin-top:57.15pt;margin-left:90pt;mso-position-horizontal-relative:page;mso-position-vertical-relative:page;position:absolute;z-index:251665408" coordorigin="0,0" coordsize="8305,15" o:allowincell="f" path="m,l8305,l8305,14l,14l,xe" filled="t" fillcolor="black" stroked="f"/>
      </w:pict>
    </w:r>
    <w:r>
      <w:rPr>
        <w:rFonts w:ascii="SimHei" w:eastAsia="SimHei" w:hAnsi="SimHei" w:cs="SimHei"/>
        <w:spacing w:val="4"/>
        <w:sz w:val="20"/>
        <w:szCs w:val="20"/>
      </w:rPr>
      <w:t>JJFXXXX-XXXX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6"/>
      <w:rPr>
        <w:rFonts w:ascii="SimHei" w:eastAsia="SimHei" w:hAnsi="SimHei" w:cs="SimHei"/>
        <w:sz w:val="20"/>
        <w:szCs w:val="20"/>
      </w:rPr>
    </w:pPr>
    <w:r>
      <w:pict>
        <v:shape id="_x0000_s2057" style="width:415.3pt;height:0.75pt;margin-top:57.15pt;margin-left:90pt;mso-position-horizontal-relative:page;mso-position-vertical-relative:page;position:absolute;z-index:251666432" coordorigin="0,0" coordsize="8305,15" o:allowincell="f" path="m,l8305,l8305,14l,14l,xe" filled="t" fillcolor="black" stroked="f"/>
      </w:pict>
    </w:r>
    <w:r>
      <w:rPr>
        <w:rFonts w:ascii="SimHei" w:eastAsia="SimHei" w:hAnsi="SimHei" w:cs="SimHei"/>
        <w:spacing w:val="4"/>
        <w:sz w:val="20"/>
        <w:szCs w:val="20"/>
      </w:rPr>
      <w:t>JJFXXXX-XXXX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646"/>
      <w:rPr>
        <w:rFonts w:ascii="SimHei" w:eastAsia="SimHei" w:hAnsi="SimHei" w:cs="SimHei"/>
        <w:sz w:val="20"/>
        <w:szCs w:val="20"/>
      </w:rPr>
    </w:pPr>
    <w:r>
      <w:pict>
        <v:shape id="_x0000_s2058" style="width:415.3pt;height:0.75pt;margin-top:57.15pt;margin-left:90pt;mso-position-horizontal-relative:page;mso-position-vertical-relative:page;position:absolute;z-index:251667456" coordorigin="0,0" coordsize="8305,15" o:allowincell="f" path="m,l8305,l8305,14l,14l,xe" filled="t" fillcolor="black" stroked="f"/>
      </w:pict>
    </w:r>
    <w:r>
      <w:rPr>
        <w:rFonts w:ascii="SimHei" w:eastAsia="SimHei" w:hAnsi="SimHei" w:cs="SimHei"/>
        <w:spacing w:val="4"/>
        <w:sz w:val="20"/>
        <w:szCs w:val="20"/>
      </w:rPr>
      <w:t>JJFXXXX-XXXX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72"/>
      <w:rPr>
        <w:rFonts w:ascii="SimHei" w:eastAsia="SimHei" w:hAnsi="SimHei" w:cs="SimHei"/>
        <w:sz w:val="20"/>
        <w:szCs w:val="20"/>
      </w:rPr>
    </w:pPr>
    <w:r>
      <w:pict>
        <v:shape id="_x0000_s2059" style="width:415.3pt;height:0.75pt;margin-top:57.15pt;margin-left:90pt;mso-position-horizontal-relative:page;mso-position-vertical-relative:page;position:absolute;z-index:251668480" coordorigin="0,0" coordsize="8305,15" o:allowincell="f" path="m,l8305,l8305,14l,14l,xe" filled="t" fillcolor="black" stroked="f"/>
      </w:pict>
    </w:r>
    <w:r>
      <w:rPr>
        <w:rFonts w:ascii="SimHei" w:eastAsia="SimHei" w:hAnsi="SimHei" w:cs="SimHei"/>
        <w:spacing w:val="4"/>
        <w:sz w:val="20"/>
        <w:szCs w:val="20"/>
      </w:rPr>
      <w:t>JJFXXXX-XXXX</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772"/>
      <w:rPr>
        <w:rFonts w:ascii="SimHei" w:eastAsia="SimHei" w:hAnsi="SimHei" w:cs="SimHei"/>
        <w:sz w:val="20"/>
        <w:szCs w:val="20"/>
      </w:rPr>
    </w:pPr>
    <w:r>
      <w:pict>
        <v:shape id="_x0000_s2060" style="width:415.3pt;height:0.75pt;margin-top:57.15pt;margin-left:90pt;mso-position-horizontal-relative:page;mso-position-vertical-relative:page;position:absolute;z-index:251669504" coordorigin="0,0" coordsize="8305,15" o:allowincell="f" path="m,l8305,l8305,14l,14l,xe" filled="t" fillcolor="black" stroked="f"/>
      </w:pict>
    </w:r>
    <w:r>
      <w:rPr>
        <w:rFonts w:ascii="SimHei" w:eastAsia="SimHei" w:hAnsi="SimHei" w:cs="SimHei"/>
        <w:spacing w:val="4"/>
        <w:sz w:val="20"/>
        <w:szCs w:val="20"/>
      </w:rPr>
      <w:t>JJFXXXX-XXXX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1201321401111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JJF</dc:title>
  <dc:creator>hyw</dc:creator>
  <cp:revision>0</cp:revision>
  <dcterms:created xsi:type="dcterms:W3CDTF">2024-02-26T11:10:23Z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2024-02-26T21:43:04Z</vt:filetime>
  </property>
  <property fmtid="{D5CDD505-2E9C-101B-9397-08002B2CF9AE}" pid="3" name="CRO">
    <vt:lpwstr>wqlLaW5nc29mdCBQREYgdG8gV1BTIDkw</vt:lpwstr>
  </property>
</Properties>
</file>