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429" w:line="229" w:lineRule="auto"/>
        <w:ind w:left="2018"/>
        <w:outlineLvl w:val="0"/>
        <w:rPr>
          <w:rFonts w:ascii="STXinwei" w:eastAsia="STXinwei" w:hAnsi="STXinwei" w:cs="STXinwei"/>
          <w:sz w:val="130"/>
          <w:szCs w:val="130"/>
        </w:rPr>
      </w:pPr>
      <w:r>
        <w:rPr>
          <w:rFonts w:ascii="STXinwei" w:eastAsia="STXinwei" w:hAnsi="STXinwei" w:cs="STXinwei"/>
          <w:color w:val="FF0000"/>
          <w:spacing w:val="-16"/>
          <w:sz w:val="130"/>
          <w:szCs w:val="130"/>
        </w:rPr>
        <w:t>研究报告</w:t>
      </w:r>
    </w:p>
    <w:p>
      <w:pPr>
        <w:spacing w:line="460" w:lineRule="auto"/>
        <w:rPr>
          <w:rFonts w:ascii="Arial"/>
          <w:sz w:val="21"/>
        </w:rPr>
      </w:pPr>
    </w:p>
    <w:p>
      <w:pPr>
        <w:spacing w:line="35" w:lineRule="exact"/>
        <w:ind w:firstLine="90"/>
      </w:pPr>
      <w:r>
        <w:pict>
          <v:shape id="_x0000_i1025" style="width:435.75pt;height:1.75pt;mso-position-horizontal-relative:char;mso-position-vertical-relative:line" coordorigin="0,0" coordsize="8715,35" path="m,17l8715,17e" filled="f" strokecolor="red" strokeweight="1.75pt">
            <w10:wrap type="none"/>
          </v:shape>
        </w:pict>
      </w:r>
    </w:p>
    <w:p>
      <w:pPr>
        <w:pStyle w:val="BodyText"/>
        <w:spacing w:before="277" w:line="218" w:lineRule="auto"/>
        <w:ind w:left="20"/>
      </w:pPr>
      <w:r>
        <w:rPr>
          <w:spacing w:val="-14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spacing w:val="-14"/>
        </w:rPr>
        <w:t>2024</w:t>
      </w:r>
      <w:r>
        <w:rPr>
          <w:spacing w:val="-42"/>
        </w:rPr>
        <w:t xml:space="preserve"> </w:t>
      </w:r>
      <w:r>
        <w:rPr>
          <w:spacing w:val="-14"/>
        </w:rPr>
        <w:t>年第</w:t>
      </w:r>
      <w:r>
        <w:rPr>
          <w:spacing w:val="-59"/>
        </w:rPr>
        <w:t xml:space="preserve"> </w:t>
      </w:r>
      <w:r>
        <w:rPr>
          <w:spacing w:val="-14"/>
        </w:rPr>
        <w:t>2</w:t>
      </w:r>
      <w:r>
        <w:rPr>
          <w:spacing w:val="-57"/>
        </w:rPr>
        <w:t xml:space="preserve"> </w:t>
      </w:r>
      <w:r>
        <w:rPr>
          <w:spacing w:val="-14"/>
        </w:rPr>
        <w:t>期</w:t>
      </w:r>
      <w:r>
        <w:rPr>
          <w:spacing w:val="32"/>
        </w:rPr>
        <w:t xml:space="preserve"> </w:t>
      </w:r>
      <w:r>
        <w:rPr>
          <w:spacing w:val="-14"/>
        </w:rPr>
        <w:t>总第</w:t>
      </w:r>
      <w:r>
        <w:rPr>
          <w:spacing w:val="-57"/>
        </w:rPr>
        <w:t xml:space="preserve"> </w:t>
      </w:r>
      <w:r>
        <w:rPr>
          <w:spacing w:val="-14"/>
        </w:rPr>
        <w:t>34</w:t>
      </w:r>
      <w:r>
        <w:rPr>
          <w:spacing w:val="-57"/>
        </w:rPr>
        <w:t xml:space="preserve"> </w:t>
      </w:r>
      <w:r>
        <w:rPr>
          <w:spacing w:val="-14"/>
        </w:rPr>
        <w:t>期）</w:t>
      </w:r>
      <w:r>
        <w:rPr>
          <w:spacing w:val="5"/>
        </w:rPr>
        <w:t xml:space="preserve">                  </w:t>
      </w:r>
      <w:r>
        <w:rPr>
          <w:spacing w:val="-14"/>
        </w:rPr>
        <w:t>2024</w:t>
      </w:r>
      <w:r>
        <w:rPr>
          <w:spacing w:val="-49"/>
        </w:rPr>
        <w:t xml:space="preserve"> </w:t>
      </w:r>
      <w:r>
        <w:rPr>
          <w:spacing w:val="-14"/>
        </w:rPr>
        <w:t>年</w:t>
      </w:r>
      <w:r>
        <w:rPr>
          <w:spacing w:val="-40"/>
        </w:rPr>
        <w:t xml:space="preserve"> </w:t>
      </w:r>
      <w:r>
        <w:rPr>
          <w:spacing w:val="-14"/>
        </w:rPr>
        <w:t>1</w:t>
      </w:r>
      <w:r>
        <w:rPr>
          <w:spacing w:val="-43"/>
        </w:rPr>
        <w:t xml:space="preserve"> </w:t>
      </w:r>
      <w:r>
        <w:rPr>
          <w:spacing w:val="-14"/>
        </w:rPr>
        <w:t>月</w:t>
      </w:r>
      <w:r>
        <w:rPr>
          <w:spacing w:val="-41"/>
        </w:rPr>
        <w:t xml:space="preserve"> </w:t>
      </w:r>
      <w:r>
        <w:rPr>
          <w:spacing w:val="-14"/>
        </w:rPr>
        <w:t>12</w:t>
      </w:r>
      <w:r>
        <w:rPr>
          <w:spacing w:val="-14"/>
        </w:rPr>
        <w:t xml:space="preserve"> </w:t>
      </w:r>
      <w:r>
        <w:rPr>
          <w:spacing w:val="-14"/>
        </w:rPr>
        <w:t>日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17" w:line="218" w:lineRule="auto"/>
        <w:ind w:left="936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全生命周期视角下的城中村改造金融模式创新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97" w:line="704" w:lineRule="exact"/>
        <w:ind w:left="3201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position w:val="31"/>
          <w:sz w:val="30"/>
          <w:szCs w:val="30"/>
        </w:rPr>
        <w:t>不动产金融研究中心</w:t>
      </w:r>
    </w:p>
    <w:p>
      <w:pPr>
        <w:spacing w:before="1" w:line="216" w:lineRule="auto"/>
        <w:ind w:left="320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3"/>
          <w:sz w:val="30"/>
          <w:szCs w:val="30"/>
        </w:rPr>
        <w:t>郭翔宇</w:t>
      </w:r>
      <w:r>
        <w:rPr>
          <w:rFonts w:ascii="SimHei" w:eastAsia="SimHei" w:hAnsi="SimHei" w:cs="SimHei"/>
          <w:spacing w:val="-3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3"/>
          <w:sz w:val="30"/>
          <w:szCs w:val="30"/>
        </w:rPr>
        <w:t>余健</w:t>
      </w:r>
      <w:r>
        <w:rPr>
          <w:rFonts w:ascii="SimHei" w:eastAsia="SimHei" w:hAnsi="SimHei" w:cs="SimHei"/>
          <w:spacing w:val="18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3"/>
          <w:sz w:val="30"/>
          <w:szCs w:val="30"/>
        </w:rPr>
        <w:t>王梓璇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0" w:line="361" w:lineRule="auto"/>
        <w:ind w:left="19" w:firstLine="547"/>
        <w:jc w:val="both"/>
      </w:pP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【摘要】</w:t>
      </w:r>
      <w:r>
        <w:t>城中村改造作为城市更新的重要组成部分，对改善民生、</w:t>
      </w:r>
      <w:r>
        <w:rPr>
          <w:spacing w:val="12"/>
        </w:rPr>
        <w:t xml:space="preserve"> </w:t>
      </w:r>
      <w:r>
        <w:t>扩大内需、推动城市高质量发展具有积极意义。由于项目改造周期长、</w:t>
      </w:r>
      <w:r>
        <w:rPr>
          <w:spacing w:val="4"/>
        </w:rPr>
        <w:t xml:space="preserve"> </w:t>
      </w:r>
      <w:r>
        <w:rPr>
          <w:spacing w:val="1"/>
        </w:rPr>
        <w:t>资金投入多、涉及主体复杂、投资回报确定性不高等，</w:t>
      </w:r>
      <w:r>
        <w:t>城中村改造投</w:t>
      </w:r>
      <w:r>
        <w:t xml:space="preserve">  </w:t>
      </w:r>
      <w:r>
        <w:rPr>
          <w:spacing w:val="1"/>
        </w:rPr>
        <w:t>融资仍面临痛点。在地方财政紧缩的背景下，探索多样</w:t>
      </w:r>
      <w:r>
        <w:t>化的金融支持</w:t>
      </w:r>
      <w:r>
        <w:t xml:space="preserve">  </w:t>
      </w:r>
      <w:r>
        <w:rPr>
          <w:spacing w:val="1"/>
        </w:rPr>
        <w:t>模式成为此次改造中的重点。本轮城中村改造，应以“</w:t>
      </w:r>
      <w:r>
        <w:t>政府引导，市</w:t>
      </w:r>
      <w:r>
        <w:t xml:space="preserve">  </w:t>
      </w:r>
      <w:r>
        <w:rPr>
          <w:spacing w:val="1"/>
        </w:rPr>
        <w:t>场化主导”为基调，综合运用现有融资工具，探索如不</w:t>
      </w:r>
      <w:r>
        <w:t>动产投资信托</w:t>
      </w:r>
      <w:r>
        <w:t xml:space="preserve">  </w:t>
      </w:r>
      <w:r>
        <w:rPr>
          <w:spacing w:val="-3"/>
        </w:rPr>
        <w:t>基金（REITs）、城中村改造专项私募股权投</w:t>
      </w:r>
      <w:r>
        <w:rPr>
          <w:spacing w:val="-4"/>
        </w:rPr>
        <w:t>资基金、新型政企合作等</w:t>
      </w:r>
    </w:p>
    <w:p>
      <w:pPr>
        <w:pStyle w:val="BodyText"/>
        <w:spacing w:before="2" w:line="215" w:lineRule="auto"/>
        <w:ind w:left="20"/>
      </w:pPr>
      <w:r>
        <w:rPr>
          <w:spacing w:val="-3"/>
        </w:rPr>
        <w:t>金融创新模式，实现全生命周期的资金平衡与良性循环。</w:t>
      </w:r>
    </w:p>
    <w:p>
      <w:pPr>
        <w:spacing w:line="215" w:lineRule="auto"/>
        <w:sectPr>
          <w:headerReference w:type="default" r:id="rId4"/>
          <w:pgSz w:w="11907" w:h="16839"/>
          <w:pgMar w:top="1529" w:right="1163" w:bottom="0" w:left="1418" w:header="850" w:footer="0" w:gutter="0"/>
          <w:cols w:space="708"/>
        </w:sectPr>
      </w:pPr>
    </w:p>
    <w:p>
      <w:pPr>
        <w:spacing w:before="173" w:line="210" w:lineRule="auto"/>
        <w:ind w:left="750"/>
        <w:outlineLvl w:val="0"/>
        <w:rPr>
          <w:rFonts w:ascii="SimHei" w:eastAsia="SimHei" w:hAnsi="SimHei" w:cs="SimHei"/>
          <w:sz w:val="30"/>
          <w:szCs w:val="30"/>
        </w:rPr>
      </w:pPr>
      <w:r>
        <w:pict>
          <v:shape id="_x0000_s1026" style="width:144.05pt;height:0.75pt;margin-top:699.94pt;margin-left:90.02pt;mso-position-horizontal-relative:page;mso-position-vertical-relative:page;position:absolute;z-index:251658240" coordorigin="0,0" coordsize="2881,15" o:allowincell="f" path="m,14l2880,14l2880,l,l,14xe" filled="t" fillcolor="black" stroked="f"/>
        </w:pict>
      </w:r>
      <w:r>
        <w:rPr>
          <w:rFonts w:ascii="SimHei" w:eastAsia="SimHei" w:hAnsi="SimHei" w:cs="SimHei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一、城中村改造提速加码，金融支持模式亟待创新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97" w:line="217" w:lineRule="auto"/>
        <w:ind w:left="754"/>
      </w:pPr>
      <w:r>
        <w:rPr>
          <w:spacing w:val="-2"/>
        </w:rPr>
        <w:t>（一）城中村发展及现状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8" w:line="359" w:lineRule="auto"/>
        <w:ind w:left="33" w:right="18" w:firstLine="600"/>
        <w:jc w:val="both"/>
      </w:pPr>
      <w:r>
        <w:rPr>
          <w:spacing w:val="7"/>
        </w:rPr>
        <w:t>今年以来，新一轮城中村改造工作全面启动，且推动力度</w:t>
      </w:r>
      <w:r>
        <w:rPr>
          <w:spacing w:val="5"/>
        </w:rPr>
        <w:t xml:space="preserve"> </w:t>
      </w:r>
      <w:r>
        <w:rPr>
          <w:spacing w:val="6"/>
        </w:rPr>
        <w:t>空前。城中村是指原农村农用地在城市发展过程中被征用，剩</w:t>
      </w:r>
      <w:r>
        <w:rPr>
          <w:spacing w:val="16"/>
        </w:rPr>
        <w:t xml:space="preserve"> </w:t>
      </w:r>
      <w:r>
        <w:rPr>
          <w:spacing w:val="6"/>
        </w:rPr>
        <w:t>余未被征用的土地仍实行村民自治和农村集体所有制，并被快</w:t>
      </w:r>
      <w:r>
        <w:rPr>
          <w:spacing w:val="16"/>
        </w:rPr>
        <w:t xml:space="preserve"> </w:t>
      </w:r>
      <w:r>
        <w:rPr>
          <w:spacing w:val="1"/>
        </w:rPr>
        <w:t>速发展的城区包围所形成的村落（叶裕民和牛楠，2012）</w:t>
      </w:r>
      <w:r>
        <w:rPr>
          <w:spacing w:val="1"/>
          <w:position w:val="15"/>
          <w:sz w:val="15"/>
          <w:szCs w:val="15"/>
        </w:rPr>
        <w:t>1</w:t>
      </w:r>
      <w:r>
        <w:rPr>
          <w:spacing w:val="-9"/>
          <w:position w:val="15"/>
          <w:sz w:val="15"/>
          <w:szCs w:val="15"/>
        </w:rPr>
        <w:t xml:space="preserve"> </w:t>
      </w:r>
      <w:r>
        <w:rPr>
          <w:spacing w:val="1"/>
        </w:rPr>
        <w:t>。城</w:t>
      </w:r>
      <w:r>
        <w:t xml:space="preserve"> </w:t>
      </w:r>
      <w:r>
        <w:rPr>
          <w:spacing w:val="6"/>
        </w:rPr>
        <w:t>中村的形成一方面是由于城镇化进程的快速发展，另一方面也</w:t>
      </w:r>
      <w:r>
        <w:rPr>
          <w:spacing w:val="16"/>
        </w:rPr>
        <w:t xml:space="preserve"> </w:t>
      </w:r>
      <w:r>
        <w:rPr>
          <w:spacing w:val="6"/>
        </w:rPr>
        <w:t>是在特定制度（城乡二元管理体制等）和行为主体（居民、政</w:t>
      </w:r>
      <w:r>
        <w:rPr>
          <w:spacing w:val="16"/>
        </w:rPr>
        <w:t xml:space="preserve"> </w:t>
      </w:r>
      <w:r>
        <w:rPr>
          <w:spacing w:val="1"/>
        </w:rPr>
        <w:t>府等）相互作用下的产物（赖亚妮和桂艺丹，2019）</w:t>
      </w:r>
      <w:r>
        <w:rPr>
          <w:spacing w:val="1"/>
          <w:position w:val="15"/>
          <w:sz w:val="15"/>
          <w:szCs w:val="15"/>
        </w:rPr>
        <w:t>2</w:t>
      </w:r>
      <w:r>
        <w:rPr>
          <w:spacing w:val="-10"/>
          <w:position w:val="15"/>
          <w:sz w:val="15"/>
          <w:szCs w:val="15"/>
        </w:rPr>
        <w:t xml:space="preserve"> </w:t>
      </w:r>
      <w:r>
        <w:rPr>
          <w:spacing w:val="1"/>
        </w:rPr>
        <w:t>。城中村</w:t>
      </w:r>
      <w:r>
        <w:t xml:space="preserve"> </w:t>
      </w:r>
      <w:r>
        <w:rPr>
          <w:spacing w:val="6"/>
        </w:rPr>
        <w:t>作为城市外来人口的居住场所，为我国城镇化进程和城市经济</w:t>
      </w:r>
    </w:p>
    <w:p>
      <w:pPr>
        <w:pStyle w:val="BodyText"/>
        <w:spacing w:before="1" w:line="215" w:lineRule="auto"/>
        <w:ind w:left="42"/>
      </w:pPr>
      <w:r>
        <w:rPr>
          <w:spacing w:val="-13"/>
        </w:rPr>
        <w:t>发展做出了巨大贡献（田莉，</w:t>
      </w:r>
      <w:r>
        <w:rPr>
          <w:spacing w:val="82"/>
        </w:rPr>
        <w:t xml:space="preserve"> </w:t>
      </w:r>
      <w:r>
        <w:rPr>
          <w:spacing w:val="-13"/>
        </w:rPr>
        <w:t>2019）</w:t>
      </w:r>
      <w:r>
        <w:rPr>
          <w:spacing w:val="-13"/>
          <w:position w:val="15"/>
          <w:sz w:val="15"/>
          <w:szCs w:val="15"/>
        </w:rPr>
        <w:t>3</w:t>
      </w:r>
      <w:r>
        <w:rPr>
          <w:spacing w:val="-13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8" w:line="585" w:lineRule="exact"/>
        <w:ind w:right="18"/>
        <w:jc w:val="right"/>
      </w:pPr>
      <w:r>
        <w:rPr>
          <w:spacing w:val="7"/>
          <w:position w:val="21"/>
        </w:rPr>
        <w:t>但是发展至今，城中村规模持续扩张，也产生了一些突出</w:t>
      </w:r>
    </w:p>
    <w:p>
      <w:pPr>
        <w:pStyle w:val="BodyText"/>
        <w:spacing w:before="1" w:line="218" w:lineRule="auto"/>
        <w:ind w:left="63"/>
      </w:pPr>
      <w:r>
        <w:rPr>
          <w:spacing w:val="-17"/>
        </w:rPr>
        <w:t>问题：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8" w:line="359" w:lineRule="auto"/>
        <w:ind w:left="39" w:right="11" w:firstLine="595"/>
      </w:pPr>
      <w:r>
        <w:rPr>
          <w:spacing w:val="1"/>
        </w:rPr>
        <w:t>（1）城中村社会问题逐步凸显。当前城中村普遍存在居住</w:t>
      </w:r>
      <w:r>
        <w:rPr>
          <w:spacing w:val="11"/>
        </w:rPr>
        <w:t xml:space="preserve"> </w:t>
      </w:r>
      <w:r>
        <w:rPr>
          <w:spacing w:val="6"/>
        </w:rPr>
        <w:t>卫生条件欠佳、居住密度大、基础设施配套不够完备等问题，</w:t>
      </w:r>
      <w:r>
        <w:rPr>
          <w:spacing w:val="4"/>
        </w:rPr>
        <w:t xml:space="preserve"> </w:t>
      </w:r>
      <w:r>
        <w:rPr>
          <w:spacing w:val="6"/>
        </w:rPr>
        <w:t>同时社会治安问题频发，城市治理难度随着城中村规模的扩张</w:t>
      </w:r>
    </w:p>
    <w:p>
      <w:pPr>
        <w:pStyle w:val="BodyText"/>
        <w:spacing w:before="1" w:line="216" w:lineRule="auto"/>
        <w:ind w:left="41"/>
      </w:pPr>
      <w:r>
        <w:rPr>
          <w:spacing w:val="-11"/>
        </w:rPr>
        <w:t>不断加大。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  <w:sectPr>
          <w:headerReference w:type="default" r:id="rId5"/>
          <w:footerReference w:type="default" r:id="rId6"/>
          <w:pgSz w:w="11907" w:h="16839"/>
          <w:pgMar w:top="1529" w:right="1785" w:bottom="1271" w:left="1785" w:header="850" w:footer="1108" w:gutter="0"/>
          <w:pgNumType w:start="2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59" w:line="225" w:lineRule="auto"/>
        <w:ind w:left="22" w:right="154" w:firstLine="1"/>
        <w:rPr>
          <w:sz w:val="18"/>
          <w:szCs w:val="18"/>
        </w:rPr>
      </w:pPr>
      <w:r>
        <w:rPr>
          <w:rFonts w:ascii="Calibri" w:eastAsia="Calibri" w:hAnsi="Calibri" w:cs="Calibri"/>
          <w:position w:val="5"/>
          <w:sz w:val="12"/>
          <w:szCs w:val="12"/>
        </w:rPr>
        <w:t>1</w:t>
      </w:r>
      <w:r>
        <w:rPr>
          <w:rFonts w:ascii="Calibri" w:eastAsia="Calibri" w:hAnsi="Calibri" w:cs="Calibri"/>
          <w:spacing w:val="-7"/>
          <w:position w:val="5"/>
          <w:sz w:val="12"/>
          <w:szCs w:val="12"/>
        </w:rPr>
        <w:t xml:space="preserve"> </w:t>
      </w:r>
      <w:r>
        <w:rPr>
          <w:sz w:val="18"/>
          <w:szCs w:val="18"/>
        </w:rPr>
        <w:t>叶裕民,牛楠.转型时期城中村改造:基于农民工住宅选择的</w:t>
      </w:r>
      <w:r>
        <w:rPr>
          <w:spacing w:val="-1"/>
          <w:sz w:val="18"/>
          <w:szCs w:val="18"/>
        </w:rPr>
        <w:t>实证研究[J].经济与管理研究,2012(04):18-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25.DOI:10.13502/j.cnki.issn1000-7636.2012.</w:t>
      </w:r>
      <w:r>
        <w:rPr>
          <w:spacing w:val="-1"/>
          <w:sz w:val="18"/>
          <w:szCs w:val="18"/>
        </w:rPr>
        <w:t>04.006.</w:t>
      </w:r>
    </w:p>
    <w:p>
      <w:pPr>
        <w:pStyle w:val="BodyText"/>
        <w:spacing w:before="27" w:line="217" w:lineRule="auto"/>
        <w:ind w:left="18"/>
        <w:rPr>
          <w:sz w:val="18"/>
          <w:szCs w:val="18"/>
        </w:rPr>
      </w:pPr>
      <w:r>
        <w:rPr>
          <w:position w:val="9"/>
          <w:sz w:val="9"/>
          <w:szCs w:val="9"/>
        </w:rPr>
        <w:t>2</w:t>
      </w:r>
      <w:r>
        <w:rPr>
          <w:position w:val="9"/>
          <w:sz w:val="9"/>
          <w:szCs w:val="9"/>
        </w:rPr>
        <w:t xml:space="preserve">  </w:t>
      </w:r>
      <w:r>
        <w:rPr>
          <w:sz w:val="18"/>
          <w:szCs w:val="18"/>
        </w:rPr>
        <w:t>赖亚妮,桂艺丹.城中村土地发展问题：文献回顾与研究展望[J].城市规划,2019,43(07):108-114.</w:t>
      </w:r>
    </w:p>
    <w:p>
      <w:pPr>
        <w:pStyle w:val="BodyText"/>
        <w:spacing w:before="22" w:line="226" w:lineRule="auto"/>
        <w:ind w:left="27" w:right="1327" w:hanging="7"/>
        <w:rPr>
          <w:sz w:val="18"/>
          <w:szCs w:val="18"/>
        </w:rPr>
      </w:pPr>
      <w:r>
        <w:rPr>
          <w:rFonts w:ascii="Calibri" w:eastAsia="Calibri" w:hAnsi="Calibri" w:cs="Calibri"/>
          <w:position w:val="5"/>
          <w:sz w:val="12"/>
          <w:szCs w:val="12"/>
        </w:rPr>
        <w:t xml:space="preserve">3    </w:t>
      </w:r>
      <w:r>
        <w:rPr>
          <w:sz w:val="18"/>
          <w:szCs w:val="18"/>
        </w:rPr>
        <w:t>田莉.从城市更新到城市复兴:外来</w:t>
      </w:r>
      <w:r>
        <w:rPr>
          <w:spacing w:val="-1"/>
          <w:sz w:val="18"/>
          <w:szCs w:val="18"/>
        </w:rPr>
        <w:t>人口居住权益视角下的城市转型发展[J].城市规划学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刊,2019(04):56-62.DOI:10.16361/j.upf.2019040</w:t>
      </w:r>
      <w:r>
        <w:rPr>
          <w:spacing w:val="-1"/>
          <w:sz w:val="18"/>
          <w:szCs w:val="18"/>
        </w:rPr>
        <w:t>07.</w:t>
      </w:r>
    </w:p>
    <w:p>
      <w:pPr>
        <w:spacing w:line="226" w:lineRule="auto"/>
        <w:rPr>
          <w:sz w:val="18"/>
          <w:szCs w:val="18"/>
        </w:rPr>
        <w:sectPr>
          <w:headerReference w:type="default" r:id="rId7"/>
          <w:footerReference w:type="default" r:id="rId8"/>
          <w:type w:val="nextPage"/>
          <w:pgSz w:w="11907" w:h="16839"/>
          <w:pgMar w:top="1529" w:right="1785" w:bottom="1271" w:left="1785" w:header="850" w:footer="1108" w:gutter="0"/>
          <w:pgNumType w:start="3"/>
          <w:cols w:space="708"/>
          <w:titlePg w:val="0"/>
        </w:sectPr>
      </w:pPr>
    </w:p>
    <w:p>
      <w:pPr>
        <w:pStyle w:val="BodyText"/>
        <w:spacing w:before="173" w:line="359" w:lineRule="auto"/>
        <w:ind w:left="88" w:right="225" w:firstLine="545"/>
        <w:jc w:val="both"/>
      </w:pPr>
      <w:r>
        <w:pict>
          <v:shape id="_x0000_s1027" style="width:144.05pt;height:0.75pt;margin-top:746.64pt;margin-left:90.02pt;mso-position-horizontal-relative:page;mso-position-vertical-relative:page;position:absolute;z-index:251659264" coordorigin="0,0" coordsize="2881,15" o:allowincell="f" path="m,14l2880,14l2880,l,l,14xe" filled="t" fillcolor="black" stroked="f"/>
        </w:pict>
      </w:r>
      <w:r>
        <w:rPr>
          <w:spacing w:val="1"/>
        </w:rPr>
        <w:t>（2）城中村整体效率低下。当前城中村边界不断扩展，人</w:t>
      </w:r>
      <w:r>
        <w:rPr>
          <w:spacing w:val="11"/>
        </w:rPr>
        <w:t xml:space="preserve"> </w:t>
      </w:r>
      <w:r>
        <w:rPr>
          <w:spacing w:val="4"/>
        </w:rPr>
        <w:t>口众多且错综复杂，城中村管理效率、规划效率、资源利用效</w:t>
      </w:r>
    </w:p>
    <w:p>
      <w:pPr>
        <w:pStyle w:val="BodyText"/>
        <w:spacing w:line="217" w:lineRule="auto"/>
        <w:ind w:left="43"/>
      </w:pPr>
      <w:r>
        <w:rPr>
          <w:spacing w:val="-10"/>
        </w:rPr>
        <w:t>率等均较低。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8" w:line="360" w:lineRule="auto"/>
        <w:ind w:left="35" w:right="225" w:firstLine="598"/>
        <w:jc w:val="both"/>
      </w:pPr>
      <w:r>
        <w:rPr>
          <w:spacing w:val="1"/>
        </w:rPr>
        <w:t>（3）城市内部逐步分化。当前大量城中村位于城市中心地</w:t>
      </w:r>
      <w:r>
        <w:rPr>
          <w:spacing w:val="11"/>
        </w:rPr>
        <w:t xml:space="preserve"> </w:t>
      </w:r>
      <w:r>
        <w:rPr>
          <w:spacing w:val="6"/>
        </w:rPr>
        <w:t>带，经济发展步伐不一、资源分配不均等进一步加剧了城市内</w:t>
      </w:r>
      <w:r>
        <w:rPr>
          <w:spacing w:val="14"/>
        </w:rPr>
        <w:t xml:space="preserve"> </w:t>
      </w:r>
      <w:r>
        <w:rPr>
          <w:spacing w:val="7"/>
        </w:rPr>
        <w:t>部分化，部分城市内部甚至逐步形成“新二元结构”</w:t>
      </w:r>
      <w:r>
        <w:rPr>
          <w:spacing w:val="6"/>
        </w:rPr>
        <w:t>（叶裕民</w:t>
      </w:r>
    </w:p>
    <w:p>
      <w:pPr>
        <w:pStyle w:val="BodyText"/>
        <w:spacing w:before="1" w:line="218" w:lineRule="auto"/>
        <w:ind w:left="34"/>
      </w:pPr>
      <w:r>
        <w:rPr>
          <w:spacing w:val="-2"/>
        </w:rPr>
        <w:t>和文爱平，2021）</w:t>
      </w:r>
      <w:r>
        <w:rPr>
          <w:spacing w:val="-2"/>
          <w:position w:val="14"/>
          <w:sz w:val="15"/>
          <w:szCs w:val="15"/>
        </w:rPr>
        <w:t>4</w:t>
      </w:r>
      <w:r>
        <w:rPr>
          <w:spacing w:val="-2"/>
        </w:rPr>
        <w:t>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7" w:line="217" w:lineRule="auto"/>
        <w:ind w:left="664"/>
      </w:pPr>
      <w:r>
        <w:rPr>
          <w:spacing w:val="-6"/>
        </w:rPr>
        <w:t>因此，针对城中村进行全面改造意义重大：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8" w:line="359" w:lineRule="auto"/>
        <w:ind w:left="33" w:right="235" w:firstLine="600"/>
        <w:jc w:val="both"/>
      </w:pPr>
      <w:r>
        <w:rPr>
          <w:spacing w:val="-1"/>
        </w:rPr>
        <w:t>（1）大幅改善城中村生活环境，提高居民生活水平。城中</w:t>
      </w:r>
      <w:r>
        <w:rPr>
          <w:spacing w:val="15"/>
        </w:rPr>
        <w:t xml:space="preserve"> </w:t>
      </w:r>
      <w:r>
        <w:rPr>
          <w:spacing w:val="6"/>
        </w:rPr>
        <w:t>村改造工程将重点针对城中村居住环境、基础设施等方面进行</w:t>
      </w:r>
    </w:p>
    <w:p>
      <w:pPr>
        <w:pStyle w:val="BodyText"/>
        <w:spacing w:line="217" w:lineRule="auto"/>
        <w:ind w:left="50"/>
      </w:pPr>
      <w:r>
        <w:rPr>
          <w:spacing w:val="-3"/>
        </w:rPr>
        <w:t>改造，将有效改善居民生活条件，大幅提高其生活水平。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8" w:line="359" w:lineRule="auto"/>
        <w:ind w:left="33" w:firstLine="600"/>
        <w:jc w:val="both"/>
      </w:pPr>
      <w:r>
        <w:rPr>
          <w:spacing w:val="1"/>
        </w:rPr>
        <w:t>（2）提升城市治理水平，推动城市高质量发展。城中村改</w:t>
      </w:r>
      <w:r>
        <w:rPr>
          <w:spacing w:val="6"/>
        </w:rPr>
        <w:t xml:space="preserve">  </w:t>
      </w:r>
      <w:r>
        <w:rPr>
          <w:spacing w:val="2"/>
        </w:rPr>
        <w:t>造将有效优化城中村布局、降低居住密度，便于城市治理，</w:t>
      </w:r>
      <w:r>
        <w:rPr>
          <w:spacing w:val="-75"/>
        </w:rPr>
        <w:t xml:space="preserve"> </w:t>
      </w:r>
      <w:r>
        <w:rPr>
          <w:spacing w:val="2"/>
        </w:rPr>
        <w:t>同</w:t>
      </w:r>
      <w:r>
        <w:rPr>
          <w:spacing w:val="2"/>
        </w:rPr>
        <w:t xml:space="preserve">  </w:t>
      </w:r>
      <w:r>
        <w:rPr>
          <w:spacing w:val="4"/>
        </w:rPr>
        <w:t>时改造过程中还可有效利用互联网、大数据等新一代信息技术，</w:t>
      </w:r>
    </w:p>
    <w:p>
      <w:pPr>
        <w:pStyle w:val="BodyText"/>
        <w:spacing w:line="218" w:lineRule="auto"/>
        <w:ind w:left="36"/>
      </w:pPr>
      <w:r>
        <w:rPr>
          <w:spacing w:val="-6"/>
        </w:rPr>
        <w:t>推动城市现代化治理。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8" w:line="359" w:lineRule="auto"/>
        <w:ind w:left="33" w:right="225" w:firstLine="600"/>
      </w:pPr>
      <w:r>
        <w:rPr>
          <w:spacing w:val="1"/>
        </w:rPr>
        <w:t>（3）优化地产行业结构，有效拉动投资和消费。当前经济</w:t>
      </w:r>
      <w:r>
        <w:rPr>
          <w:spacing w:val="12"/>
        </w:rPr>
        <w:t xml:space="preserve"> </w:t>
      </w:r>
      <w:r>
        <w:rPr>
          <w:spacing w:val="6"/>
        </w:rPr>
        <w:t>增速放缓、房地产业处于深度调整，城中村改造将有效带动投</w:t>
      </w:r>
      <w:r>
        <w:rPr>
          <w:spacing w:val="16"/>
        </w:rPr>
        <w:t xml:space="preserve"> </w:t>
      </w:r>
      <w:r>
        <w:rPr>
          <w:spacing w:val="4"/>
        </w:rPr>
        <w:t>资和消费，激活家居家电、建筑建材等上下游行业，</w:t>
      </w:r>
      <w:r>
        <w:rPr>
          <w:spacing w:val="-79"/>
        </w:rPr>
        <w:t xml:space="preserve"> </w:t>
      </w:r>
      <w:r>
        <w:rPr>
          <w:spacing w:val="4"/>
        </w:rPr>
        <w:t>同时还有</w:t>
      </w:r>
      <w:r>
        <w:t xml:space="preserve"> 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https://d.book118.com/426052015023010043</w:t>
        </w:r>
      </w:hyperlink>
    </w:p>
    <w:p>
      <w:pPr>
        <w:pStyle w:val="BodyText"/>
        <w:spacing w:before="98" w:line="359" w:lineRule="auto"/>
        <w:ind w:left="33" w:right="225" w:firstLine="600"/>
      </w:pPr>
    </w:p>
    <w:sectPr>
      <w:headerReference w:type="default" r:id="rId10"/>
      <w:footerReference w:type="default" r:id="rId11"/>
      <w:pgSz w:w="11907" w:h="16839"/>
      <w:pgMar w:top="1529" w:right="1572" w:bottom="1272" w:left="1785" w:header="850" w:footer="1108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69" w:lineRule="exact"/>
    </w:pPr>
    <w:r>
      <w:rPr>
        <w:position w:val="-13"/>
      </w:rPr>
      <w:drawing>
        <wp:inline distT="0" distB="0" distL="0" distR="0">
          <wp:extent cx="1630679" cy="425284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30679" cy="425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69" w:lineRule="exact"/>
      <w:ind w:firstLine="14"/>
    </w:pPr>
    <w:r>
      <w:rPr>
        <w:position w:val="-13"/>
      </w:rPr>
      <w:drawing>
        <wp:inline distT="0" distB="0" distL="0" distR="0">
          <wp:extent cx="1630679" cy="425284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30679" cy="425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69" w:lineRule="exact"/>
      <w:ind w:firstLine="14"/>
    </w:pPr>
    <w:r>
      <w:rPr>
        <w:position w:val="-13"/>
      </w:rPr>
      <w:drawing>
        <wp:inline distT="0" distB="0" distL="0" distR="0">
          <wp:extent cx="1630679" cy="425284"/>
          <wp:effectExtent l="0" t="0" r="0" b="0"/>
          <wp:docPr id="32590940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90940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30679" cy="425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69" w:lineRule="exact"/>
      <w:ind w:firstLine="14"/>
    </w:pPr>
    <w:r>
      <w:rPr>
        <w:position w:val="-13"/>
      </w:rPr>
      <w:drawing>
        <wp:inline distT="0" distB="0" distL="0" distR="0">
          <wp:extent cx="1630679" cy="425284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30679" cy="425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0"/>
      <w:szCs w:val="3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header" Target="header3.xml" /><Relationship Id="rId8" Type="http://schemas.openxmlformats.org/officeDocument/2006/relationships/footer" Target="footer2.xml" /><Relationship Id="rId9" Type="http://schemas.openxmlformats.org/officeDocument/2006/relationships/hyperlink" Target="https://d.book118.com/426052015023010043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Zhang</dc:creator>
  <cp:revision>0</cp:revision>
  <dcterms:created xsi:type="dcterms:W3CDTF">2024-02-01T20:37:52Z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2024-02-01T20:51:49Z</vt:filetime>
  </property>
  <property fmtid="{D5CDD505-2E9C-101B-9397-08002B2CF9AE}" pid="3" name="CRO">
    <vt:lpwstr>wqlLaW5nc29mdCBQREYgdG8gV1BTIDkw</vt:lpwstr>
  </property>
</Properties>
</file>