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抗独特性抗体疫苗项目规划设计蓝图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0" w:history="1">
        <w:r>
          <w:rPr>
            <w:rFonts w:ascii="仿宋" w:eastAsia="仿宋" w:hAnsi="仿宋" w:cs="仿宋" w:hint="eastAsia"/>
            <w:lang w:eastAsia="zh-CN"/>
          </w:rPr>
          <w:t>序言</w:t>
        </w:r>
        <w:r>
          <w:tab/>
        </w:r>
        <w:r>
          <w:fldChar w:fldCharType="begin"/>
        </w:r>
        <w:r>
          <w:instrText xml:space="preserve"> PAGEREF _Toc14320 \h </w:instrText>
        </w:r>
        <w:r>
          <w:fldChar w:fldCharType="separate"/>
        </w:r>
        <w:r>
          <w:t>3</w:t>
        </w:r>
        <w:r>
          <w:fldChar w:fldCharType="end"/>
        </w:r>
      </w:hyperlink>
    </w:p>
    <w:p>
      <w:pPr>
        <w:pStyle w:val="TOC1"/>
        <w:tabs>
          <w:tab w:val="right" w:leader="dot" w:pos="8306"/>
        </w:tabs>
      </w:pPr>
      <w:hyperlink w:anchor="_Toc32519" w:history="1">
        <w:r>
          <w:rPr>
            <w:rFonts w:ascii="仿宋" w:eastAsia="仿宋" w:hAnsi="仿宋" w:cs="仿宋" w:hint="eastAsia"/>
            <w:lang w:eastAsia="zh-CN"/>
          </w:rPr>
          <w:t>一、抗独特性抗体疫苗项目土建工程</w:t>
        </w:r>
        <w:r>
          <w:tab/>
        </w:r>
        <w:r>
          <w:fldChar w:fldCharType="begin"/>
        </w:r>
        <w:r>
          <w:instrText xml:space="preserve"> PAGEREF _Toc32519 \h </w:instrText>
        </w:r>
        <w:r>
          <w:fldChar w:fldCharType="separate"/>
        </w:r>
        <w:r>
          <w:t>3</w:t>
        </w:r>
        <w:r>
          <w:fldChar w:fldCharType="end"/>
        </w:r>
      </w:hyperlink>
    </w:p>
    <w:p>
      <w:pPr>
        <w:pStyle w:val="TOC2"/>
        <w:tabs>
          <w:tab w:val="right" w:leader="dot" w:pos="8306"/>
        </w:tabs>
      </w:pPr>
      <w:hyperlink w:anchor="_Toc20702" w:history="1">
        <w:r>
          <w:rPr>
            <w:rFonts w:ascii="仿宋" w:eastAsia="仿宋" w:hAnsi="仿宋" w:cs="仿宋" w:hint="eastAsia"/>
            <w:lang w:eastAsia="zh-CN"/>
          </w:rPr>
          <w:t>(一)、建筑工程设计原则</w:t>
        </w:r>
        <w:r>
          <w:tab/>
        </w:r>
        <w:r>
          <w:fldChar w:fldCharType="begin"/>
        </w:r>
        <w:r>
          <w:instrText xml:space="preserve"> PAGEREF _Toc20702 \h </w:instrText>
        </w:r>
        <w:r>
          <w:fldChar w:fldCharType="separate"/>
        </w:r>
        <w:r>
          <w:t>3</w:t>
        </w:r>
        <w:r>
          <w:fldChar w:fldCharType="end"/>
        </w:r>
      </w:hyperlink>
    </w:p>
    <w:p>
      <w:pPr>
        <w:pStyle w:val="TOC2"/>
        <w:tabs>
          <w:tab w:val="right" w:leader="dot" w:pos="8306"/>
        </w:tabs>
      </w:pPr>
      <w:hyperlink w:anchor="_Toc627" w:history="1">
        <w:r>
          <w:rPr>
            <w:rFonts w:ascii="仿宋" w:eastAsia="仿宋" w:hAnsi="仿宋" w:cs="仿宋" w:hint="eastAsia"/>
            <w:lang w:eastAsia="zh-CN"/>
          </w:rPr>
          <w:t>(二)、土建工程设计年限及安全等级</w:t>
        </w:r>
        <w:r>
          <w:tab/>
        </w:r>
        <w:r>
          <w:fldChar w:fldCharType="begin"/>
        </w:r>
        <w:r>
          <w:instrText xml:space="preserve"> PAGEREF _Toc627 \h </w:instrText>
        </w:r>
        <w:r>
          <w:fldChar w:fldCharType="separate"/>
        </w:r>
        <w:r>
          <w:t>4</w:t>
        </w:r>
        <w:r>
          <w:fldChar w:fldCharType="end"/>
        </w:r>
      </w:hyperlink>
    </w:p>
    <w:p>
      <w:pPr>
        <w:pStyle w:val="TOC2"/>
        <w:tabs>
          <w:tab w:val="right" w:leader="dot" w:pos="8306"/>
        </w:tabs>
      </w:pPr>
      <w:hyperlink w:anchor="_Toc25364" w:history="1">
        <w:r>
          <w:rPr>
            <w:rFonts w:ascii="仿宋" w:eastAsia="仿宋" w:hAnsi="仿宋" w:cs="仿宋" w:hint="eastAsia"/>
            <w:lang w:eastAsia="zh-CN"/>
          </w:rPr>
          <w:t>(三)、建筑工程设计总体要求</w:t>
        </w:r>
        <w:r>
          <w:tab/>
        </w:r>
        <w:r>
          <w:fldChar w:fldCharType="begin"/>
        </w:r>
        <w:r>
          <w:instrText xml:space="preserve"> PAGEREF _Toc25364 \h </w:instrText>
        </w:r>
        <w:r>
          <w:fldChar w:fldCharType="separate"/>
        </w:r>
        <w:r>
          <w:t>5</w:t>
        </w:r>
        <w:r>
          <w:fldChar w:fldCharType="end"/>
        </w:r>
      </w:hyperlink>
    </w:p>
    <w:p>
      <w:pPr>
        <w:pStyle w:val="TOC2"/>
        <w:tabs>
          <w:tab w:val="right" w:leader="dot" w:pos="8306"/>
        </w:tabs>
      </w:pPr>
      <w:hyperlink w:anchor="_Toc24837" w:history="1">
        <w:r>
          <w:rPr>
            <w:rFonts w:ascii="仿宋" w:eastAsia="仿宋" w:hAnsi="仿宋" w:cs="仿宋" w:hint="eastAsia"/>
            <w:lang w:eastAsia="zh-CN"/>
          </w:rPr>
          <w:t>(四)、土建工程建设指标</w:t>
        </w:r>
        <w:r>
          <w:tab/>
        </w:r>
        <w:r>
          <w:fldChar w:fldCharType="begin"/>
        </w:r>
        <w:r>
          <w:instrText xml:space="preserve"> PAGEREF _Toc24837 \h </w:instrText>
        </w:r>
        <w:r>
          <w:fldChar w:fldCharType="separate"/>
        </w:r>
        <w:r>
          <w:t>6</w:t>
        </w:r>
        <w:r>
          <w:fldChar w:fldCharType="end"/>
        </w:r>
      </w:hyperlink>
    </w:p>
    <w:p>
      <w:pPr>
        <w:pStyle w:val="TOC1"/>
        <w:tabs>
          <w:tab w:val="right" w:leader="dot" w:pos="8306"/>
        </w:tabs>
      </w:pPr>
      <w:hyperlink w:anchor="_Toc18410" w:history="1">
        <w:r>
          <w:rPr>
            <w:rFonts w:ascii="仿宋" w:eastAsia="仿宋" w:hAnsi="仿宋" w:cs="仿宋" w:hint="eastAsia"/>
            <w:lang w:eastAsia="zh-CN"/>
          </w:rPr>
          <w:t>二、抗独特性抗体疫苗项目危机管理</w:t>
        </w:r>
        <w:r>
          <w:tab/>
        </w:r>
        <w:r>
          <w:fldChar w:fldCharType="begin"/>
        </w:r>
        <w:r>
          <w:instrText xml:space="preserve"> PAGEREF _Toc18410 \h </w:instrText>
        </w:r>
        <w:r>
          <w:fldChar w:fldCharType="separate"/>
        </w:r>
        <w:r>
          <w:t>6</w:t>
        </w:r>
        <w:r>
          <w:fldChar w:fldCharType="end"/>
        </w:r>
      </w:hyperlink>
    </w:p>
    <w:p>
      <w:pPr>
        <w:pStyle w:val="TOC2"/>
        <w:tabs>
          <w:tab w:val="right" w:leader="dot" w:pos="8306"/>
        </w:tabs>
      </w:pPr>
      <w:hyperlink w:anchor="_Toc28799" w:history="1">
        <w:r>
          <w:rPr>
            <w:rFonts w:ascii="仿宋" w:eastAsia="仿宋" w:hAnsi="仿宋" w:cs="仿宋" w:hint="eastAsia"/>
            <w:lang w:eastAsia="zh-CN"/>
          </w:rPr>
          <w:t>(一)、危机预警与识别</w:t>
        </w:r>
        <w:r>
          <w:tab/>
        </w:r>
        <w:r>
          <w:fldChar w:fldCharType="begin"/>
        </w:r>
        <w:r>
          <w:instrText xml:space="preserve"> PAGEREF _Toc28799 \h </w:instrText>
        </w:r>
        <w:r>
          <w:fldChar w:fldCharType="separate"/>
        </w:r>
        <w:r>
          <w:t>6</w:t>
        </w:r>
        <w:r>
          <w:fldChar w:fldCharType="end"/>
        </w:r>
      </w:hyperlink>
    </w:p>
    <w:p>
      <w:pPr>
        <w:pStyle w:val="TOC2"/>
        <w:tabs>
          <w:tab w:val="right" w:leader="dot" w:pos="8306"/>
        </w:tabs>
      </w:pPr>
      <w:hyperlink w:anchor="_Toc8355" w:history="1">
        <w:r>
          <w:rPr>
            <w:rFonts w:ascii="仿宋" w:eastAsia="仿宋" w:hAnsi="仿宋" w:cs="仿宋" w:hint="eastAsia"/>
            <w:lang w:eastAsia="zh-CN"/>
          </w:rPr>
          <w:t>(二)、危机应对与恢复</w:t>
        </w:r>
        <w:r>
          <w:tab/>
        </w:r>
        <w:r>
          <w:fldChar w:fldCharType="begin"/>
        </w:r>
        <w:r>
          <w:instrText xml:space="preserve"> PAGEREF _Toc8355 \h </w:instrText>
        </w:r>
        <w:r>
          <w:fldChar w:fldCharType="separate"/>
        </w:r>
        <w:r>
          <w:t>7</w:t>
        </w:r>
        <w:r>
          <w:fldChar w:fldCharType="end"/>
        </w:r>
      </w:hyperlink>
    </w:p>
    <w:p>
      <w:pPr>
        <w:pStyle w:val="TOC1"/>
        <w:tabs>
          <w:tab w:val="right" w:leader="dot" w:pos="8306"/>
        </w:tabs>
      </w:pPr>
      <w:hyperlink w:anchor="_Toc3457" w:history="1">
        <w:r>
          <w:rPr>
            <w:rFonts w:ascii="仿宋" w:eastAsia="仿宋" w:hAnsi="仿宋" w:cs="仿宋" w:hint="eastAsia"/>
            <w:lang w:eastAsia="zh-CN"/>
          </w:rPr>
          <w:t>三、抗独特性抗体疫苗项目绩效评估</w:t>
        </w:r>
        <w:r>
          <w:tab/>
        </w:r>
        <w:r>
          <w:fldChar w:fldCharType="begin"/>
        </w:r>
        <w:r>
          <w:instrText xml:space="preserve"> PAGEREF _Toc3457 \h </w:instrText>
        </w:r>
        <w:r>
          <w:fldChar w:fldCharType="separate"/>
        </w:r>
        <w:r>
          <w:t>9</w:t>
        </w:r>
        <w:r>
          <w:fldChar w:fldCharType="end"/>
        </w:r>
      </w:hyperlink>
    </w:p>
    <w:p>
      <w:pPr>
        <w:pStyle w:val="TOC2"/>
        <w:tabs>
          <w:tab w:val="right" w:leader="dot" w:pos="8306"/>
        </w:tabs>
      </w:pPr>
      <w:hyperlink w:anchor="_Toc7735" w:history="1">
        <w:r>
          <w:rPr>
            <w:rFonts w:ascii="仿宋" w:eastAsia="仿宋" w:hAnsi="仿宋" w:cs="仿宋" w:hint="eastAsia"/>
            <w:lang w:eastAsia="zh-CN"/>
          </w:rPr>
          <w:t>(一)、绩效评估指标</w:t>
        </w:r>
        <w:r>
          <w:tab/>
        </w:r>
        <w:r>
          <w:fldChar w:fldCharType="begin"/>
        </w:r>
        <w:r>
          <w:instrText xml:space="preserve"> PAGEREF _Toc7735 \h </w:instrText>
        </w:r>
        <w:r>
          <w:fldChar w:fldCharType="separate"/>
        </w:r>
        <w:r>
          <w:t>9</w:t>
        </w:r>
        <w:r>
          <w:fldChar w:fldCharType="end"/>
        </w:r>
      </w:hyperlink>
    </w:p>
    <w:p>
      <w:pPr>
        <w:pStyle w:val="TOC2"/>
        <w:tabs>
          <w:tab w:val="right" w:leader="dot" w:pos="8306"/>
        </w:tabs>
      </w:pPr>
      <w:hyperlink w:anchor="_Toc14479" w:history="1">
        <w:r>
          <w:rPr>
            <w:rFonts w:ascii="仿宋" w:eastAsia="仿宋" w:hAnsi="仿宋" w:cs="仿宋" w:hint="eastAsia"/>
            <w:lang w:eastAsia="zh-CN"/>
          </w:rPr>
          <w:t>(二)、绩效评估方法</w:t>
        </w:r>
        <w:r>
          <w:tab/>
        </w:r>
        <w:r>
          <w:fldChar w:fldCharType="begin"/>
        </w:r>
        <w:r>
          <w:instrText xml:space="preserve"> PAGEREF _Toc14479 \h </w:instrText>
        </w:r>
        <w:r>
          <w:fldChar w:fldCharType="separate"/>
        </w:r>
        <w:r>
          <w:t>10</w:t>
        </w:r>
        <w:r>
          <w:fldChar w:fldCharType="end"/>
        </w:r>
      </w:hyperlink>
    </w:p>
    <w:p>
      <w:pPr>
        <w:pStyle w:val="TOC2"/>
        <w:tabs>
          <w:tab w:val="right" w:leader="dot" w:pos="8306"/>
        </w:tabs>
      </w:pPr>
      <w:hyperlink w:anchor="_Toc19656" w:history="1">
        <w:r>
          <w:rPr>
            <w:rFonts w:ascii="仿宋" w:eastAsia="仿宋" w:hAnsi="仿宋" w:cs="仿宋" w:hint="eastAsia"/>
            <w:lang w:eastAsia="zh-CN"/>
          </w:rPr>
          <w:t>(三)、绩效评估周期</w:t>
        </w:r>
        <w:r>
          <w:tab/>
        </w:r>
        <w:r>
          <w:fldChar w:fldCharType="begin"/>
        </w:r>
        <w:r>
          <w:instrText xml:space="preserve"> PAGEREF _Toc19656 \h </w:instrText>
        </w:r>
        <w:r>
          <w:fldChar w:fldCharType="separate"/>
        </w:r>
        <w:r>
          <w:t>11</w:t>
        </w:r>
        <w:r>
          <w:fldChar w:fldCharType="end"/>
        </w:r>
      </w:hyperlink>
    </w:p>
    <w:p>
      <w:pPr>
        <w:pStyle w:val="TOC1"/>
        <w:tabs>
          <w:tab w:val="right" w:leader="dot" w:pos="8306"/>
        </w:tabs>
      </w:pPr>
      <w:hyperlink w:anchor="_Toc19532" w:history="1">
        <w:r>
          <w:rPr>
            <w:rFonts w:ascii="仿宋" w:eastAsia="仿宋" w:hAnsi="仿宋" w:cs="仿宋" w:hint="eastAsia"/>
            <w:lang w:eastAsia="zh-CN"/>
          </w:rPr>
          <w:t>四、工艺说明</w:t>
        </w:r>
        <w:r>
          <w:tab/>
        </w:r>
        <w:r>
          <w:fldChar w:fldCharType="begin"/>
        </w:r>
        <w:r>
          <w:instrText xml:space="preserve"> PAGEREF _Toc19532 \h </w:instrText>
        </w:r>
        <w:r>
          <w:fldChar w:fldCharType="separate"/>
        </w:r>
        <w:r>
          <w:t>12</w:t>
        </w:r>
        <w:r>
          <w:fldChar w:fldCharType="end"/>
        </w:r>
      </w:hyperlink>
    </w:p>
    <w:p>
      <w:pPr>
        <w:pStyle w:val="TOC2"/>
        <w:tabs>
          <w:tab w:val="right" w:leader="dot" w:pos="8306"/>
        </w:tabs>
      </w:pPr>
      <w:hyperlink w:anchor="_Toc10087" w:history="1">
        <w:r>
          <w:rPr>
            <w:rFonts w:ascii="仿宋" w:eastAsia="仿宋" w:hAnsi="仿宋" w:cs="仿宋" w:hint="eastAsia"/>
            <w:lang w:eastAsia="zh-CN"/>
          </w:rPr>
          <w:t>(一)、技术管理特点</w:t>
        </w:r>
        <w:r>
          <w:tab/>
        </w:r>
        <w:r>
          <w:fldChar w:fldCharType="begin"/>
        </w:r>
        <w:r>
          <w:instrText xml:space="preserve"> PAGEREF _Toc10087 \h </w:instrText>
        </w:r>
        <w:r>
          <w:fldChar w:fldCharType="separate"/>
        </w:r>
        <w:r>
          <w:t>12</w:t>
        </w:r>
        <w:r>
          <w:fldChar w:fldCharType="end"/>
        </w:r>
      </w:hyperlink>
    </w:p>
    <w:p>
      <w:pPr>
        <w:pStyle w:val="TOC2"/>
        <w:tabs>
          <w:tab w:val="right" w:leader="dot" w:pos="8306"/>
        </w:tabs>
      </w:pPr>
      <w:hyperlink w:anchor="_Toc7824" w:history="1">
        <w:r>
          <w:rPr>
            <w:rFonts w:ascii="仿宋" w:eastAsia="仿宋" w:hAnsi="仿宋" w:cs="仿宋" w:hint="eastAsia"/>
            <w:lang w:eastAsia="zh-CN"/>
          </w:rPr>
          <w:t>(二)、抗独特性抗体疫苗项目工艺技术设计方案</w:t>
        </w:r>
        <w:r>
          <w:tab/>
        </w:r>
        <w:r>
          <w:fldChar w:fldCharType="begin"/>
        </w:r>
        <w:r>
          <w:instrText xml:space="preserve"> PAGEREF _Toc7824 \h </w:instrText>
        </w:r>
        <w:r>
          <w:fldChar w:fldCharType="separate"/>
        </w:r>
        <w:r>
          <w:t>13</w:t>
        </w:r>
        <w:r>
          <w:fldChar w:fldCharType="end"/>
        </w:r>
      </w:hyperlink>
    </w:p>
    <w:p>
      <w:pPr>
        <w:pStyle w:val="TOC2"/>
        <w:tabs>
          <w:tab w:val="right" w:leader="dot" w:pos="8306"/>
        </w:tabs>
      </w:pPr>
      <w:hyperlink w:anchor="_Toc8017" w:history="1">
        <w:r>
          <w:rPr>
            <w:rFonts w:ascii="仿宋" w:eastAsia="仿宋" w:hAnsi="仿宋" w:cs="仿宋" w:hint="eastAsia"/>
            <w:lang w:eastAsia="zh-CN"/>
          </w:rPr>
          <w:t>(三)、设备选型方案</w:t>
        </w:r>
        <w:r>
          <w:tab/>
        </w:r>
        <w:r>
          <w:fldChar w:fldCharType="begin"/>
        </w:r>
        <w:r>
          <w:instrText xml:space="preserve"> PAGEREF _Toc8017 \h </w:instrText>
        </w:r>
        <w:r>
          <w:fldChar w:fldCharType="separate"/>
        </w:r>
        <w:r>
          <w:t>15</w:t>
        </w:r>
        <w:r>
          <w:fldChar w:fldCharType="end"/>
        </w:r>
      </w:hyperlink>
    </w:p>
    <w:p>
      <w:pPr>
        <w:pStyle w:val="TOC1"/>
        <w:tabs>
          <w:tab w:val="right" w:leader="dot" w:pos="8306"/>
        </w:tabs>
      </w:pPr>
      <w:hyperlink w:anchor="_Toc11085" w:history="1">
        <w:r>
          <w:rPr>
            <w:rFonts w:ascii="仿宋" w:eastAsia="仿宋" w:hAnsi="仿宋" w:cs="仿宋" w:hint="eastAsia"/>
            <w:lang w:eastAsia="zh-CN"/>
          </w:rPr>
          <w:t>五、抗独特性抗体疫苗项目可持续发展</w:t>
        </w:r>
        <w:r>
          <w:tab/>
        </w:r>
        <w:r>
          <w:fldChar w:fldCharType="begin"/>
        </w:r>
        <w:r>
          <w:instrText xml:space="preserve"> PAGEREF _Toc11085 \h </w:instrText>
        </w:r>
        <w:r>
          <w:fldChar w:fldCharType="separate"/>
        </w:r>
        <w:r>
          <w:t>16</w:t>
        </w:r>
        <w:r>
          <w:fldChar w:fldCharType="end"/>
        </w:r>
      </w:hyperlink>
    </w:p>
    <w:p>
      <w:pPr>
        <w:pStyle w:val="TOC2"/>
        <w:tabs>
          <w:tab w:val="right" w:leader="dot" w:pos="8306"/>
        </w:tabs>
      </w:pPr>
      <w:hyperlink w:anchor="_Toc22992" w:history="1">
        <w:r>
          <w:rPr>
            <w:rFonts w:ascii="仿宋" w:eastAsia="仿宋" w:hAnsi="仿宋" w:cs="仿宋" w:hint="eastAsia"/>
            <w:lang w:eastAsia="zh-CN"/>
          </w:rPr>
          <w:t>(一)、可持续战略与实践</w:t>
        </w:r>
        <w:r>
          <w:tab/>
        </w:r>
        <w:r>
          <w:fldChar w:fldCharType="begin"/>
        </w:r>
        <w:r>
          <w:instrText xml:space="preserve"> PAGEREF _Toc22992 \h </w:instrText>
        </w:r>
        <w:r>
          <w:fldChar w:fldCharType="separate"/>
        </w:r>
        <w:r>
          <w:t>16</w:t>
        </w:r>
        <w:r>
          <w:fldChar w:fldCharType="end"/>
        </w:r>
      </w:hyperlink>
    </w:p>
    <w:p>
      <w:pPr>
        <w:pStyle w:val="TOC2"/>
        <w:tabs>
          <w:tab w:val="right" w:leader="dot" w:pos="8306"/>
        </w:tabs>
      </w:pPr>
      <w:hyperlink w:anchor="_Toc16993" w:history="1">
        <w:r>
          <w:rPr>
            <w:rFonts w:ascii="仿宋" w:eastAsia="仿宋" w:hAnsi="仿宋" w:cs="仿宋" w:hint="eastAsia"/>
            <w:lang w:eastAsia="zh-CN"/>
          </w:rPr>
          <w:t>(二)、环保与社会责任</w:t>
        </w:r>
        <w:r>
          <w:tab/>
        </w:r>
        <w:r>
          <w:fldChar w:fldCharType="begin"/>
        </w:r>
        <w:r>
          <w:instrText xml:space="preserve"> PAGEREF _Toc16993 \h </w:instrText>
        </w:r>
        <w:r>
          <w:fldChar w:fldCharType="separate"/>
        </w:r>
        <w:r>
          <w:t>17</w:t>
        </w:r>
        <w:r>
          <w:fldChar w:fldCharType="end"/>
        </w:r>
      </w:hyperlink>
    </w:p>
    <w:p>
      <w:pPr>
        <w:pStyle w:val="TOC1"/>
        <w:tabs>
          <w:tab w:val="right" w:leader="dot" w:pos="8306"/>
        </w:tabs>
      </w:pPr>
      <w:hyperlink w:anchor="_Toc2667" w:history="1">
        <w:r>
          <w:rPr>
            <w:rFonts w:ascii="仿宋" w:eastAsia="仿宋" w:hAnsi="仿宋" w:cs="仿宋" w:hint="eastAsia"/>
            <w:lang w:eastAsia="zh-CN"/>
          </w:rPr>
          <w:t>六、抗独特性抗体疫苗项目选址可行性分析</w:t>
        </w:r>
        <w:r>
          <w:tab/>
        </w:r>
        <w:r>
          <w:fldChar w:fldCharType="begin"/>
        </w:r>
        <w:r>
          <w:instrText xml:space="preserve"> PAGEREF _Toc2667 \h </w:instrText>
        </w:r>
        <w:r>
          <w:fldChar w:fldCharType="separate"/>
        </w:r>
        <w:r>
          <w:t>18</w:t>
        </w:r>
        <w:r>
          <w:fldChar w:fldCharType="end"/>
        </w:r>
      </w:hyperlink>
    </w:p>
    <w:p>
      <w:pPr>
        <w:pStyle w:val="TOC2"/>
        <w:tabs>
          <w:tab w:val="right" w:leader="dot" w:pos="8306"/>
        </w:tabs>
      </w:pPr>
      <w:hyperlink w:anchor="_Toc15055" w:history="1">
        <w:r>
          <w:rPr>
            <w:rFonts w:ascii="仿宋" w:eastAsia="仿宋" w:hAnsi="仿宋" w:cs="仿宋" w:hint="eastAsia"/>
            <w:lang w:eastAsia="zh-CN"/>
          </w:rPr>
          <w:t>(一)、抗独特性抗体疫苗项目选址</w:t>
        </w:r>
        <w:r>
          <w:tab/>
        </w:r>
        <w:r>
          <w:fldChar w:fldCharType="begin"/>
        </w:r>
        <w:r>
          <w:instrText xml:space="preserve"> PAGEREF _Toc15055 \h </w:instrText>
        </w:r>
        <w:r>
          <w:fldChar w:fldCharType="separate"/>
        </w:r>
        <w:r>
          <w:t>18</w:t>
        </w:r>
        <w:r>
          <w:fldChar w:fldCharType="end"/>
        </w:r>
      </w:hyperlink>
    </w:p>
    <w:p>
      <w:pPr>
        <w:pStyle w:val="TOC2"/>
        <w:tabs>
          <w:tab w:val="right" w:leader="dot" w:pos="8306"/>
        </w:tabs>
      </w:pPr>
      <w:hyperlink w:anchor="_Toc31623" w:history="1">
        <w:r>
          <w:rPr>
            <w:rFonts w:ascii="仿宋" w:eastAsia="仿宋" w:hAnsi="仿宋" w:cs="仿宋" w:hint="eastAsia"/>
            <w:lang w:eastAsia="zh-CN"/>
          </w:rPr>
          <w:t>(二)、用地控制指标</w:t>
        </w:r>
        <w:r>
          <w:tab/>
        </w:r>
        <w:r>
          <w:fldChar w:fldCharType="begin"/>
        </w:r>
        <w:r>
          <w:instrText xml:space="preserve"> PAGEREF _Toc31623 \h </w:instrText>
        </w:r>
        <w:r>
          <w:fldChar w:fldCharType="separate"/>
        </w:r>
        <w:r>
          <w:t>18</w:t>
        </w:r>
        <w:r>
          <w:fldChar w:fldCharType="end"/>
        </w:r>
      </w:hyperlink>
    </w:p>
    <w:p>
      <w:pPr>
        <w:pStyle w:val="TOC2"/>
        <w:tabs>
          <w:tab w:val="right" w:leader="dot" w:pos="8306"/>
        </w:tabs>
      </w:pPr>
      <w:hyperlink w:anchor="_Toc16740" w:history="1">
        <w:r>
          <w:rPr>
            <w:rFonts w:ascii="仿宋" w:eastAsia="仿宋" w:hAnsi="仿宋" w:cs="仿宋" w:hint="eastAsia"/>
            <w:lang w:eastAsia="zh-CN"/>
          </w:rPr>
          <w:t>(三)、节约用地措施</w:t>
        </w:r>
        <w:r>
          <w:tab/>
        </w:r>
        <w:r>
          <w:fldChar w:fldCharType="begin"/>
        </w:r>
        <w:r>
          <w:instrText xml:space="preserve"> PAGEREF _Toc16740 \h </w:instrText>
        </w:r>
        <w:r>
          <w:fldChar w:fldCharType="separate"/>
        </w:r>
        <w:r>
          <w:t>20</w:t>
        </w:r>
        <w:r>
          <w:fldChar w:fldCharType="end"/>
        </w:r>
      </w:hyperlink>
    </w:p>
    <w:p>
      <w:pPr>
        <w:pStyle w:val="TOC2"/>
        <w:tabs>
          <w:tab w:val="right" w:leader="dot" w:pos="8306"/>
        </w:tabs>
      </w:pPr>
      <w:hyperlink w:anchor="_Toc7854" w:history="1">
        <w:r>
          <w:rPr>
            <w:rFonts w:ascii="仿宋" w:eastAsia="仿宋" w:hAnsi="仿宋" w:cs="仿宋" w:hint="eastAsia"/>
            <w:lang w:eastAsia="zh-CN"/>
          </w:rPr>
          <w:t>(四)、总图布置方案</w:t>
        </w:r>
        <w:r>
          <w:tab/>
        </w:r>
        <w:r>
          <w:fldChar w:fldCharType="begin"/>
        </w:r>
        <w:r>
          <w:instrText xml:space="preserve"> PAGEREF _Toc7854 \h </w:instrText>
        </w:r>
        <w:r>
          <w:fldChar w:fldCharType="separate"/>
        </w:r>
        <w:r>
          <w:t>21</w:t>
        </w:r>
        <w:r>
          <w:fldChar w:fldCharType="end"/>
        </w:r>
      </w:hyperlink>
    </w:p>
    <w:p>
      <w:pPr>
        <w:pStyle w:val="TOC2"/>
        <w:tabs>
          <w:tab w:val="right" w:leader="dot" w:pos="8306"/>
        </w:tabs>
      </w:pPr>
      <w:hyperlink w:anchor="_Toc25951" w:history="1">
        <w:r>
          <w:rPr>
            <w:rFonts w:ascii="仿宋" w:eastAsia="仿宋" w:hAnsi="仿宋" w:cs="仿宋" w:hint="eastAsia"/>
            <w:lang w:eastAsia="zh-CN"/>
          </w:rPr>
          <w:t>(五)、选址综合评价</w:t>
        </w:r>
        <w:r>
          <w:tab/>
        </w:r>
        <w:r>
          <w:fldChar w:fldCharType="begin"/>
        </w:r>
        <w:r>
          <w:instrText xml:space="preserve"> PAGEREF _Toc25951 \h </w:instrText>
        </w:r>
        <w:r>
          <w:fldChar w:fldCharType="separate"/>
        </w:r>
        <w:r>
          <w:t>22</w:t>
        </w:r>
        <w:r>
          <w:fldChar w:fldCharType="end"/>
        </w:r>
      </w:hyperlink>
    </w:p>
    <w:p>
      <w:pPr>
        <w:pStyle w:val="TOC1"/>
        <w:tabs>
          <w:tab w:val="right" w:leader="dot" w:pos="8306"/>
        </w:tabs>
      </w:pPr>
      <w:hyperlink w:anchor="_Toc29716" w:history="1">
        <w:r>
          <w:rPr>
            <w:rFonts w:ascii="仿宋" w:eastAsia="仿宋" w:hAnsi="仿宋" w:cs="仿宋" w:hint="eastAsia"/>
            <w:lang w:eastAsia="zh-CN"/>
          </w:rPr>
          <w:t>七、抗独特性抗体疫苗项目人力资源培养与发展</w:t>
        </w:r>
        <w:r>
          <w:tab/>
        </w:r>
        <w:r>
          <w:fldChar w:fldCharType="begin"/>
        </w:r>
        <w:r>
          <w:instrText xml:space="preserve"> PAGEREF _Toc29716 \h </w:instrText>
        </w:r>
        <w:r>
          <w:fldChar w:fldCharType="separate"/>
        </w:r>
        <w:r>
          <w:t>23</w:t>
        </w:r>
        <w:r>
          <w:fldChar w:fldCharType="end"/>
        </w:r>
      </w:hyperlink>
    </w:p>
    <w:p>
      <w:pPr>
        <w:pStyle w:val="TOC2"/>
        <w:tabs>
          <w:tab w:val="right" w:leader="dot" w:pos="8306"/>
        </w:tabs>
      </w:pPr>
      <w:hyperlink w:anchor="_Toc25672" w:history="1">
        <w:r>
          <w:rPr>
            <w:rFonts w:ascii="仿宋" w:eastAsia="仿宋" w:hAnsi="仿宋" w:cs="仿宋" w:hint="eastAsia"/>
            <w:lang w:eastAsia="zh-CN"/>
          </w:rPr>
          <w:t>(一)、人才需求与规划</w:t>
        </w:r>
        <w:r>
          <w:tab/>
        </w:r>
        <w:r>
          <w:fldChar w:fldCharType="begin"/>
        </w:r>
        <w:r>
          <w:instrText xml:space="preserve"> PAGEREF _Toc25672 \h </w:instrText>
        </w:r>
        <w:r>
          <w:fldChar w:fldCharType="separate"/>
        </w:r>
        <w:r>
          <w:t>23</w:t>
        </w:r>
        <w:r>
          <w:fldChar w:fldCharType="end"/>
        </w:r>
      </w:hyperlink>
    </w:p>
    <w:p>
      <w:pPr>
        <w:pStyle w:val="TOC2"/>
        <w:tabs>
          <w:tab w:val="right" w:leader="dot" w:pos="8306"/>
        </w:tabs>
      </w:pPr>
      <w:hyperlink w:anchor="_Toc12448" w:history="1">
        <w:r>
          <w:rPr>
            <w:rFonts w:ascii="仿宋" w:eastAsia="仿宋" w:hAnsi="仿宋" w:cs="仿宋" w:hint="eastAsia"/>
            <w:lang w:eastAsia="zh-CN"/>
          </w:rPr>
          <w:t>(二)、培训与发展计划</w:t>
        </w:r>
        <w:r>
          <w:tab/>
        </w:r>
        <w:r>
          <w:fldChar w:fldCharType="begin"/>
        </w:r>
        <w:r>
          <w:instrText xml:space="preserve"> PAGEREF _Toc12448 \h </w:instrText>
        </w:r>
        <w:r>
          <w:fldChar w:fldCharType="separate"/>
        </w:r>
        <w:r>
          <w:t>24</w:t>
        </w:r>
        <w:r>
          <w:fldChar w:fldCharType="end"/>
        </w:r>
      </w:hyperlink>
    </w:p>
    <w:p>
      <w:pPr>
        <w:pStyle w:val="TOC1"/>
        <w:tabs>
          <w:tab w:val="right" w:leader="dot" w:pos="8306"/>
        </w:tabs>
      </w:pPr>
      <w:hyperlink w:anchor="_Toc24298" w:history="1">
        <w:r>
          <w:rPr>
            <w:rFonts w:ascii="仿宋" w:eastAsia="仿宋" w:hAnsi="仿宋" w:cs="仿宋" w:hint="eastAsia"/>
            <w:lang w:eastAsia="zh-CN"/>
          </w:rPr>
          <w:t>八、抗独特性抗体疫苗项目创新与研发</w:t>
        </w:r>
        <w:r>
          <w:tab/>
        </w:r>
        <w:r>
          <w:fldChar w:fldCharType="begin"/>
        </w:r>
        <w:r>
          <w:instrText xml:space="preserve"> PAGEREF _Toc24298 \h </w:instrText>
        </w:r>
        <w:r>
          <w:fldChar w:fldCharType="separate"/>
        </w:r>
        <w:r>
          <w:t>24</w:t>
        </w:r>
        <w:r>
          <w:fldChar w:fldCharType="end"/>
        </w:r>
      </w:hyperlink>
    </w:p>
    <w:p>
      <w:pPr>
        <w:pStyle w:val="TOC2"/>
        <w:tabs>
          <w:tab w:val="right" w:leader="dot" w:pos="8306"/>
        </w:tabs>
      </w:pPr>
      <w:hyperlink w:anchor="_Toc7049" w:history="1">
        <w:r>
          <w:rPr>
            <w:rFonts w:ascii="仿宋" w:eastAsia="仿宋" w:hAnsi="仿宋" w:cs="仿宋" w:hint="eastAsia"/>
            <w:lang w:eastAsia="zh-CN"/>
          </w:rPr>
          <w:t>(一)、创新策略与方向</w:t>
        </w:r>
        <w:r>
          <w:tab/>
        </w:r>
        <w:r>
          <w:fldChar w:fldCharType="begin"/>
        </w:r>
        <w:r>
          <w:instrText xml:space="preserve"> PAGEREF _Toc7049 \h </w:instrText>
        </w:r>
        <w:r>
          <w:fldChar w:fldCharType="separate"/>
        </w:r>
        <w:r>
          <w:t>24</w:t>
        </w:r>
        <w:r>
          <w:fldChar w:fldCharType="end"/>
        </w:r>
      </w:hyperlink>
    </w:p>
    <w:p>
      <w:pPr>
        <w:pStyle w:val="TOC2"/>
        <w:tabs>
          <w:tab w:val="right" w:leader="dot" w:pos="8306"/>
        </w:tabs>
      </w:pPr>
      <w:hyperlink w:anchor="_Toc19179" w:history="1">
        <w:r>
          <w:rPr>
            <w:rFonts w:ascii="仿宋" w:eastAsia="仿宋" w:hAnsi="仿宋" w:cs="仿宋" w:hint="eastAsia"/>
            <w:lang w:eastAsia="zh-CN"/>
          </w:rPr>
          <w:t>(二)、研发规划与投入</w:t>
        </w:r>
        <w:r>
          <w:tab/>
        </w:r>
        <w:r>
          <w:fldChar w:fldCharType="begin"/>
        </w:r>
        <w:r>
          <w:instrText xml:space="preserve"> PAGEREF _Toc19179 \h </w:instrText>
        </w:r>
        <w:r>
          <w:fldChar w:fldCharType="separate"/>
        </w:r>
        <w:r>
          <w:t>26</w:t>
        </w:r>
        <w:r>
          <w:fldChar w:fldCharType="end"/>
        </w:r>
      </w:hyperlink>
    </w:p>
    <w:p>
      <w:pPr>
        <w:pStyle w:val="TOC1"/>
        <w:tabs>
          <w:tab w:val="right" w:leader="dot" w:pos="8306"/>
        </w:tabs>
      </w:pPr>
      <w:hyperlink w:anchor="_Toc6650" w:history="1">
        <w:r>
          <w:rPr>
            <w:rFonts w:ascii="仿宋" w:eastAsia="仿宋" w:hAnsi="仿宋" w:cs="仿宋" w:hint="eastAsia"/>
            <w:lang w:eastAsia="zh-CN"/>
          </w:rPr>
          <w:t>九、抗独特性抗体疫苗项目投资规划</w:t>
        </w:r>
        <w:r>
          <w:tab/>
        </w:r>
        <w:r>
          <w:fldChar w:fldCharType="begin"/>
        </w:r>
        <w:r>
          <w:instrText xml:space="preserve"> PAGEREF _Toc6650 \h </w:instrText>
        </w:r>
        <w:r>
          <w:fldChar w:fldCharType="separate"/>
        </w:r>
        <w:r>
          <w:t>28</w:t>
        </w:r>
        <w:r>
          <w:fldChar w:fldCharType="end"/>
        </w:r>
      </w:hyperlink>
    </w:p>
    <w:p>
      <w:pPr>
        <w:pStyle w:val="TOC2"/>
        <w:tabs>
          <w:tab w:val="right" w:leader="dot" w:pos="8306"/>
        </w:tabs>
      </w:pPr>
      <w:hyperlink w:anchor="_Toc11871" w:history="1">
        <w:r>
          <w:rPr>
            <w:rFonts w:ascii="仿宋" w:eastAsia="仿宋" w:hAnsi="仿宋" w:cs="仿宋" w:hint="eastAsia"/>
            <w:lang w:eastAsia="zh-CN"/>
          </w:rPr>
          <w:t>(一)、抗独特性抗体疫苗项目总投资估算</w:t>
        </w:r>
        <w:r>
          <w:tab/>
        </w:r>
        <w:r>
          <w:fldChar w:fldCharType="begin"/>
        </w:r>
        <w:r>
          <w:instrText xml:space="preserve"> PAGEREF _Toc11871 \h </w:instrText>
        </w:r>
        <w:r>
          <w:fldChar w:fldCharType="separate"/>
        </w:r>
        <w:r>
          <w:t>28</w:t>
        </w:r>
        <w:r>
          <w:fldChar w:fldCharType="end"/>
        </w:r>
      </w:hyperlink>
    </w:p>
    <w:p>
      <w:pPr>
        <w:pStyle w:val="TOC2"/>
        <w:tabs>
          <w:tab w:val="right" w:leader="dot" w:pos="8306"/>
        </w:tabs>
      </w:pPr>
      <w:hyperlink w:anchor="_Toc24809" w:history="1">
        <w:r>
          <w:rPr>
            <w:rFonts w:ascii="仿宋" w:eastAsia="仿宋" w:hAnsi="仿宋" w:cs="仿宋" w:hint="eastAsia"/>
            <w:lang w:eastAsia="zh-CN"/>
          </w:rPr>
          <w:t>(二)、资金筹措</w:t>
        </w:r>
        <w:r>
          <w:tab/>
        </w:r>
        <w:r>
          <w:fldChar w:fldCharType="begin"/>
        </w:r>
        <w:r>
          <w:instrText xml:space="preserve"> PAGEREF _Toc24809 \h </w:instrText>
        </w:r>
        <w:r>
          <w:fldChar w:fldCharType="separate"/>
        </w:r>
        <w:r>
          <w:t>29</w:t>
        </w:r>
        <w:r>
          <w:fldChar w:fldCharType="end"/>
        </w:r>
      </w:hyperlink>
    </w:p>
    <w:p>
      <w:pPr>
        <w:pStyle w:val="TOC1"/>
        <w:tabs>
          <w:tab w:val="right" w:leader="dot" w:pos="8306"/>
        </w:tabs>
      </w:pPr>
      <w:hyperlink w:anchor="_Toc23759" w:history="1">
        <w:r>
          <w:rPr>
            <w:rFonts w:ascii="仿宋" w:eastAsia="仿宋" w:hAnsi="仿宋" w:cs="仿宋" w:hint="eastAsia"/>
            <w:lang w:eastAsia="zh-CN"/>
          </w:rPr>
          <w:t>十、抗独特性抗体疫苗项目社会影响</w:t>
        </w:r>
        <w:r>
          <w:tab/>
        </w:r>
        <w:r>
          <w:fldChar w:fldCharType="begin"/>
        </w:r>
        <w:r>
          <w:instrText xml:space="preserve"> PAGEREF _Toc23759 \h </w:instrText>
        </w:r>
        <w:r>
          <w:fldChar w:fldCharType="separate"/>
        </w:r>
        <w:r>
          <w:t>30</w:t>
        </w:r>
        <w:r>
          <w:fldChar w:fldCharType="end"/>
        </w:r>
      </w:hyperlink>
    </w:p>
    <w:p>
      <w:pPr>
        <w:pStyle w:val="TOC2"/>
        <w:tabs>
          <w:tab w:val="right" w:leader="dot" w:pos="8306"/>
        </w:tabs>
      </w:pPr>
      <w:hyperlink w:anchor="_Toc18044" w:history="1">
        <w:r>
          <w:rPr>
            <w:rFonts w:ascii="仿宋" w:eastAsia="仿宋" w:hAnsi="仿宋" w:cs="仿宋" w:hint="eastAsia"/>
            <w:lang w:eastAsia="zh-CN"/>
          </w:rPr>
          <w:t>(一)、社会责任与义务</w:t>
        </w:r>
        <w:r>
          <w:tab/>
        </w:r>
        <w:r>
          <w:fldChar w:fldCharType="begin"/>
        </w:r>
        <w:r>
          <w:instrText xml:space="preserve"> PAGEREF _Toc18044 \h </w:instrText>
        </w:r>
        <w:r>
          <w:fldChar w:fldCharType="separate"/>
        </w:r>
        <w:r>
          <w:t>30</w:t>
        </w:r>
        <w:r>
          <w:fldChar w:fldCharType="end"/>
        </w:r>
      </w:hyperlink>
    </w:p>
    <w:p>
      <w:pPr>
        <w:pStyle w:val="TOC2"/>
        <w:tabs>
          <w:tab w:val="right" w:leader="dot" w:pos="8306"/>
        </w:tabs>
      </w:pPr>
      <w:hyperlink w:anchor="_Toc27012" w:history="1">
        <w:r>
          <w:rPr>
            <w:rFonts w:ascii="仿宋" w:eastAsia="仿宋" w:hAnsi="仿宋" w:cs="仿宋" w:hint="eastAsia"/>
            <w:lang w:eastAsia="zh-CN"/>
          </w:rPr>
          <w:t>(二)、社会参与与沟通</w:t>
        </w:r>
        <w:r>
          <w:tab/>
        </w:r>
        <w:r>
          <w:fldChar w:fldCharType="begin"/>
        </w:r>
        <w:r>
          <w:instrText xml:space="preserve"> PAGEREF _Toc27012 \h </w:instrText>
        </w:r>
        <w:r>
          <w:fldChar w:fldCharType="separate"/>
        </w:r>
        <w:r>
          <w:t>30</w:t>
        </w:r>
        <w:r>
          <w:fldChar w:fldCharType="end"/>
        </w:r>
      </w:hyperlink>
    </w:p>
    <w:p>
      <w:pPr>
        <w:pStyle w:val="TOC1"/>
        <w:tabs>
          <w:tab w:val="right" w:leader="dot" w:pos="8306"/>
        </w:tabs>
      </w:pPr>
      <w:hyperlink w:anchor="_Toc14256" w:history="1">
        <w:r>
          <w:rPr>
            <w:rFonts w:ascii="仿宋" w:eastAsia="仿宋" w:hAnsi="仿宋" w:cs="仿宋" w:hint="eastAsia"/>
            <w:lang w:eastAsia="zh-CN"/>
          </w:rPr>
          <w:t>十一、抗独特性抗体疫苗项目财务管理</w:t>
        </w:r>
        <w:r>
          <w:tab/>
        </w:r>
        <w:r>
          <w:fldChar w:fldCharType="begin"/>
        </w:r>
        <w:r>
          <w:instrText xml:space="preserve"> PAGEREF _Toc14256 \h </w:instrText>
        </w:r>
        <w:r>
          <w:fldChar w:fldCharType="separate"/>
        </w:r>
        <w:r>
          <w:t>31</w:t>
        </w:r>
        <w:r>
          <w:fldChar w:fldCharType="end"/>
        </w:r>
      </w:hyperlink>
    </w:p>
    <w:p>
      <w:pPr>
        <w:pStyle w:val="TOC2"/>
        <w:tabs>
          <w:tab w:val="right" w:leader="dot" w:pos="8306"/>
        </w:tabs>
      </w:pPr>
      <w:hyperlink w:anchor="_Toc24853" w:history="1">
        <w:r>
          <w:rPr>
            <w:rFonts w:ascii="仿宋" w:eastAsia="仿宋" w:hAnsi="仿宋" w:cs="仿宋" w:hint="eastAsia"/>
            <w:lang w:eastAsia="zh-CN"/>
          </w:rPr>
          <w:t>(一)、资金需求大</w:t>
        </w:r>
        <w:r>
          <w:tab/>
        </w:r>
        <w:r>
          <w:fldChar w:fldCharType="begin"/>
        </w:r>
        <w:r>
          <w:instrText xml:space="preserve"> PAGEREF _Toc24853 \h </w:instrText>
        </w:r>
        <w:r>
          <w:fldChar w:fldCharType="separate"/>
        </w:r>
        <w:r>
          <w:t>31</w:t>
        </w:r>
        <w:r>
          <w:fldChar w:fldCharType="end"/>
        </w:r>
      </w:hyperlink>
    </w:p>
    <w:p>
      <w:pPr>
        <w:pStyle w:val="TOC2"/>
        <w:tabs>
          <w:tab w:val="right" w:leader="dot" w:pos="8306"/>
        </w:tabs>
      </w:pPr>
      <w:hyperlink w:anchor="_Toc15389" w:history="1">
        <w:r>
          <w:rPr>
            <w:rFonts w:ascii="仿宋" w:eastAsia="仿宋" w:hAnsi="仿宋" w:cs="仿宋" w:hint="eastAsia"/>
            <w:lang w:eastAsia="zh-CN"/>
          </w:rPr>
          <w:t>(二)、研发周期长</w:t>
        </w:r>
        <w:r>
          <w:tab/>
        </w:r>
        <w:r>
          <w:fldChar w:fldCharType="begin"/>
        </w:r>
        <w:r>
          <w:instrText xml:space="preserve"> PAGEREF _Toc15389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6" w:history="1">
        <w:r>
          <w:rPr>
            <w:rFonts w:ascii="仿宋" w:eastAsia="仿宋" w:hAnsi="仿宋" w:cs="仿宋" w:hint="eastAsia"/>
            <w:lang w:eastAsia="zh-CN"/>
          </w:rPr>
          <w:t>(三)、市场风险大</w:t>
        </w:r>
        <w:r>
          <w:tab/>
        </w:r>
        <w:r>
          <w:fldChar w:fldCharType="begin"/>
        </w:r>
        <w:r>
          <w:instrText xml:space="preserve"> PAGEREF _Toc11406 \h </w:instrText>
        </w:r>
        <w:r>
          <w:fldChar w:fldCharType="separate"/>
        </w:r>
        <w:r>
          <w:t>34</w:t>
        </w:r>
        <w:r>
          <w:fldChar w:fldCharType="end"/>
        </w:r>
      </w:hyperlink>
    </w:p>
    <w:p>
      <w:pPr>
        <w:pStyle w:val="TOC2"/>
        <w:tabs>
          <w:tab w:val="right" w:leader="dot" w:pos="8306"/>
        </w:tabs>
      </w:pPr>
      <w:hyperlink w:anchor="_Toc275" w:history="1">
        <w:r>
          <w:rPr>
            <w:rFonts w:ascii="仿宋" w:eastAsia="仿宋" w:hAnsi="仿宋" w:cs="仿宋" w:hint="eastAsia"/>
            <w:lang w:eastAsia="zh-CN"/>
          </w:rPr>
          <w:t>(四)、利润率高</w:t>
        </w:r>
        <w:r>
          <w:tab/>
        </w:r>
        <w:r>
          <w:fldChar w:fldCharType="begin"/>
        </w:r>
        <w:r>
          <w:instrText xml:space="preserve"> PAGEREF _Toc275 \h </w:instrText>
        </w:r>
        <w:r>
          <w:fldChar w:fldCharType="separate"/>
        </w:r>
        <w:r>
          <w:t>36</w:t>
        </w:r>
        <w:r>
          <w:fldChar w:fldCharType="end"/>
        </w:r>
      </w:hyperlink>
    </w:p>
    <w:p>
      <w:pPr>
        <w:pStyle w:val="TOC1"/>
        <w:tabs>
          <w:tab w:val="right" w:leader="dot" w:pos="8306"/>
        </w:tabs>
      </w:pPr>
      <w:hyperlink w:anchor="_Toc21161" w:history="1">
        <w:r>
          <w:rPr>
            <w:rFonts w:ascii="仿宋" w:eastAsia="仿宋" w:hAnsi="仿宋" w:cs="仿宋" w:hint="eastAsia"/>
            <w:lang w:eastAsia="zh-CN"/>
          </w:rPr>
          <w:t>十二、抗独特性抗体疫苗项目风险管理</w:t>
        </w:r>
        <w:r>
          <w:tab/>
        </w:r>
        <w:r>
          <w:fldChar w:fldCharType="begin"/>
        </w:r>
        <w:r>
          <w:instrText xml:space="preserve"> PAGEREF _Toc21161 \h </w:instrText>
        </w:r>
        <w:r>
          <w:fldChar w:fldCharType="separate"/>
        </w:r>
        <w:r>
          <w:t>39</w:t>
        </w:r>
        <w:r>
          <w:fldChar w:fldCharType="end"/>
        </w:r>
      </w:hyperlink>
    </w:p>
    <w:p>
      <w:pPr>
        <w:pStyle w:val="TOC2"/>
        <w:tabs>
          <w:tab w:val="right" w:leader="dot" w:pos="8306"/>
        </w:tabs>
      </w:pPr>
      <w:hyperlink w:anchor="_Toc28260" w:history="1">
        <w:r>
          <w:rPr>
            <w:rFonts w:ascii="仿宋" w:eastAsia="仿宋" w:hAnsi="仿宋" w:cs="仿宋" w:hint="eastAsia"/>
            <w:lang w:eastAsia="zh-CN"/>
          </w:rPr>
          <w:t>(一)、风险识别与评估</w:t>
        </w:r>
        <w:r>
          <w:tab/>
        </w:r>
        <w:r>
          <w:fldChar w:fldCharType="begin"/>
        </w:r>
        <w:r>
          <w:instrText xml:space="preserve"> PAGEREF _Toc28260 \h </w:instrText>
        </w:r>
        <w:r>
          <w:fldChar w:fldCharType="separate"/>
        </w:r>
        <w:r>
          <w:t>39</w:t>
        </w:r>
        <w:r>
          <w:fldChar w:fldCharType="end"/>
        </w:r>
      </w:hyperlink>
    </w:p>
    <w:p>
      <w:pPr>
        <w:pStyle w:val="TOC2"/>
        <w:tabs>
          <w:tab w:val="right" w:leader="dot" w:pos="8306"/>
        </w:tabs>
      </w:pPr>
      <w:hyperlink w:anchor="_Toc12271" w:history="1">
        <w:r>
          <w:rPr>
            <w:rFonts w:ascii="仿宋" w:eastAsia="仿宋" w:hAnsi="仿宋" w:cs="仿宋" w:hint="eastAsia"/>
            <w:lang w:eastAsia="zh-CN"/>
          </w:rPr>
          <w:t>(二)、风险应对策略</w:t>
        </w:r>
        <w:r>
          <w:tab/>
        </w:r>
        <w:r>
          <w:fldChar w:fldCharType="begin"/>
        </w:r>
        <w:r>
          <w:instrText xml:space="preserve"> PAGEREF _Toc12271 \h </w:instrText>
        </w:r>
        <w:r>
          <w:fldChar w:fldCharType="separate"/>
        </w:r>
        <w:r>
          <w:t>40</w:t>
        </w:r>
        <w:r>
          <w:fldChar w:fldCharType="end"/>
        </w:r>
      </w:hyperlink>
    </w:p>
    <w:p>
      <w:pPr>
        <w:pStyle w:val="TOC2"/>
        <w:tabs>
          <w:tab w:val="right" w:leader="dot" w:pos="8306"/>
        </w:tabs>
      </w:pPr>
      <w:hyperlink w:anchor="_Toc6794" w:history="1">
        <w:r>
          <w:rPr>
            <w:rFonts w:ascii="仿宋" w:eastAsia="仿宋" w:hAnsi="仿宋" w:cs="仿宋" w:hint="eastAsia"/>
            <w:lang w:eastAsia="zh-CN"/>
          </w:rPr>
          <w:t>(三)、风险监控与控制</w:t>
        </w:r>
        <w:r>
          <w:tab/>
        </w:r>
        <w:r>
          <w:fldChar w:fldCharType="begin"/>
        </w:r>
        <w:r>
          <w:instrText xml:space="preserve"> PAGEREF _Toc6794 \h </w:instrText>
        </w:r>
        <w:r>
          <w:fldChar w:fldCharType="separate"/>
        </w:r>
        <w:r>
          <w:t>42</w:t>
        </w:r>
        <w:r>
          <w:fldChar w:fldCharType="end"/>
        </w:r>
      </w:hyperlink>
    </w:p>
    <w:p>
      <w:pPr>
        <w:pStyle w:val="TOC1"/>
        <w:tabs>
          <w:tab w:val="right" w:leader="dot" w:pos="8306"/>
        </w:tabs>
      </w:pPr>
      <w:hyperlink w:anchor="_Toc17594" w:history="1">
        <w:r>
          <w:rPr>
            <w:rFonts w:ascii="仿宋" w:eastAsia="仿宋" w:hAnsi="仿宋" w:cs="仿宋" w:hint="eastAsia"/>
            <w:lang w:eastAsia="zh-CN"/>
          </w:rPr>
          <w:t>十三、抗独特性抗体疫苗项目变更管理</w:t>
        </w:r>
        <w:r>
          <w:tab/>
        </w:r>
        <w:r>
          <w:fldChar w:fldCharType="begin"/>
        </w:r>
        <w:r>
          <w:instrText xml:space="preserve"> PAGEREF _Toc17594 \h </w:instrText>
        </w:r>
        <w:r>
          <w:fldChar w:fldCharType="separate"/>
        </w:r>
        <w:r>
          <w:t>43</w:t>
        </w:r>
        <w:r>
          <w:fldChar w:fldCharType="end"/>
        </w:r>
      </w:hyperlink>
    </w:p>
    <w:p>
      <w:pPr>
        <w:pStyle w:val="TOC2"/>
        <w:tabs>
          <w:tab w:val="right" w:leader="dot" w:pos="8306"/>
        </w:tabs>
      </w:pPr>
      <w:hyperlink w:anchor="_Toc24854" w:history="1">
        <w:r>
          <w:rPr>
            <w:rFonts w:ascii="仿宋" w:eastAsia="仿宋" w:hAnsi="仿宋" w:cs="仿宋" w:hint="eastAsia"/>
            <w:lang w:eastAsia="zh-CN"/>
          </w:rPr>
          <w:t>(一)、变更申请与评估</w:t>
        </w:r>
        <w:r>
          <w:tab/>
        </w:r>
        <w:r>
          <w:fldChar w:fldCharType="begin"/>
        </w:r>
        <w:r>
          <w:instrText xml:space="preserve"> PAGEREF _Toc24854 \h </w:instrText>
        </w:r>
        <w:r>
          <w:fldChar w:fldCharType="separate"/>
        </w:r>
        <w:r>
          <w:t>43</w:t>
        </w:r>
        <w:r>
          <w:fldChar w:fldCharType="end"/>
        </w:r>
      </w:hyperlink>
    </w:p>
    <w:p>
      <w:pPr>
        <w:pStyle w:val="TOC2"/>
        <w:tabs>
          <w:tab w:val="right" w:leader="dot" w:pos="8306"/>
        </w:tabs>
      </w:pPr>
      <w:hyperlink w:anchor="_Toc28783" w:history="1">
        <w:r>
          <w:rPr>
            <w:rFonts w:ascii="仿宋" w:eastAsia="仿宋" w:hAnsi="仿宋" w:cs="仿宋" w:hint="eastAsia"/>
            <w:lang w:eastAsia="zh-CN"/>
          </w:rPr>
          <w:t>(二)、变更实施与控制</w:t>
        </w:r>
        <w:r>
          <w:tab/>
        </w:r>
        <w:r>
          <w:fldChar w:fldCharType="begin"/>
        </w:r>
        <w:r>
          <w:instrText xml:space="preserve"> PAGEREF _Toc28783 \h </w:instrText>
        </w:r>
        <w:r>
          <w:fldChar w:fldCharType="separate"/>
        </w:r>
        <w:r>
          <w:t>43</w:t>
        </w:r>
        <w:r>
          <w:fldChar w:fldCharType="end"/>
        </w:r>
      </w:hyperlink>
    </w:p>
    <w:p>
      <w:pPr>
        <w:pStyle w:val="TOC1"/>
        <w:tabs>
          <w:tab w:val="right" w:leader="dot" w:pos="8306"/>
        </w:tabs>
      </w:pPr>
      <w:hyperlink w:anchor="_Toc13708" w:history="1">
        <w:r>
          <w:rPr>
            <w:rFonts w:ascii="仿宋" w:eastAsia="仿宋" w:hAnsi="仿宋" w:cs="仿宋" w:hint="eastAsia"/>
            <w:lang w:eastAsia="zh-CN"/>
          </w:rPr>
          <w:t>十四、抗独特性抗体疫苗项目实施保障措施</w:t>
        </w:r>
        <w:r>
          <w:tab/>
        </w:r>
        <w:r>
          <w:fldChar w:fldCharType="begin"/>
        </w:r>
        <w:r>
          <w:instrText xml:space="preserve"> PAGEREF _Toc13708 \h </w:instrText>
        </w:r>
        <w:r>
          <w:fldChar w:fldCharType="separate"/>
        </w:r>
        <w:r>
          <w:t>44</w:t>
        </w:r>
        <w:r>
          <w:fldChar w:fldCharType="end"/>
        </w:r>
      </w:hyperlink>
    </w:p>
    <w:p>
      <w:pPr>
        <w:pStyle w:val="TOC2"/>
        <w:tabs>
          <w:tab w:val="right" w:leader="dot" w:pos="8306"/>
        </w:tabs>
      </w:pPr>
      <w:hyperlink w:anchor="_Toc27501" w:history="1">
        <w:r>
          <w:rPr>
            <w:rFonts w:ascii="仿宋" w:eastAsia="仿宋" w:hAnsi="仿宋" w:cs="仿宋" w:hint="eastAsia"/>
            <w:lang w:eastAsia="zh-CN"/>
          </w:rPr>
          <w:t>(一)、抗独特性抗体疫苗项目实施保障机制</w:t>
        </w:r>
        <w:r>
          <w:tab/>
        </w:r>
        <w:r>
          <w:fldChar w:fldCharType="begin"/>
        </w:r>
        <w:r>
          <w:instrText xml:space="preserve"> PAGEREF _Toc27501 \h </w:instrText>
        </w:r>
        <w:r>
          <w:fldChar w:fldCharType="separate"/>
        </w:r>
        <w:r>
          <w:t>44</w:t>
        </w:r>
        <w:r>
          <w:fldChar w:fldCharType="end"/>
        </w:r>
      </w:hyperlink>
    </w:p>
    <w:p>
      <w:pPr>
        <w:pStyle w:val="TOC2"/>
        <w:tabs>
          <w:tab w:val="right" w:leader="dot" w:pos="8306"/>
        </w:tabs>
      </w:pPr>
      <w:hyperlink w:anchor="_Toc24081" w:history="1">
        <w:r>
          <w:rPr>
            <w:rFonts w:ascii="仿宋" w:eastAsia="仿宋" w:hAnsi="仿宋" w:cs="仿宋" w:hint="eastAsia"/>
            <w:lang w:eastAsia="zh-CN"/>
          </w:rPr>
          <w:t>(二)、抗独特性抗体疫苗项目法律合规要求</w:t>
        </w:r>
        <w:r>
          <w:tab/>
        </w:r>
        <w:r>
          <w:fldChar w:fldCharType="begin"/>
        </w:r>
        <w:r>
          <w:instrText xml:space="preserve"> PAGEREF _Toc24081 \h </w:instrText>
        </w:r>
        <w:r>
          <w:fldChar w:fldCharType="separate"/>
        </w:r>
        <w:r>
          <w:t>48</w:t>
        </w:r>
        <w:r>
          <w:fldChar w:fldCharType="end"/>
        </w:r>
      </w:hyperlink>
    </w:p>
    <w:p>
      <w:pPr>
        <w:pStyle w:val="TOC2"/>
        <w:tabs>
          <w:tab w:val="right" w:leader="dot" w:pos="8306"/>
        </w:tabs>
      </w:pPr>
      <w:hyperlink w:anchor="_Toc7550" w:history="1">
        <w:r>
          <w:rPr>
            <w:rFonts w:ascii="仿宋" w:eastAsia="仿宋" w:hAnsi="仿宋" w:cs="仿宋" w:hint="eastAsia"/>
            <w:lang w:eastAsia="zh-CN"/>
          </w:rPr>
          <w:t>(三)、抗独特性抗体疫苗项目合同管理与法律事务</w:t>
        </w:r>
        <w:r>
          <w:tab/>
        </w:r>
        <w:r>
          <w:fldChar w:fldCharType="begin"/>
        </w:r>
        <w:r>
          <w:instrText xml:space="preserve"> PAGEREF _Toc7550 \h </w:instrText>
        </w:r>
        <w:r>
          <w:fldChar w:fldCharType="separate"/>
        </w:r>
        <w:r>
          <w:t>52</w:t>
        </w:r>
        <w:r>
          <w:fldChar w:fldCharType="end"/>
        </w:r>
      </w:hyperlink>
    </w:p>
    <w:p>
      <w:pPr>
        <w:pStyle w:val="TOC2"/>
        <w:tabs>
          <w:tab w:val="right" w:leader="dot" w:pos="8306"/>
        </w:tabs>
      </w:pPr>
      <w:hyperlink w:anchor="_Toc23705" w:history="1">
        <w:r>
          <w:rPr>
            <w:rFonts w:ascii="仿宋" w:eastAsia="仿宋" w:hAnsi="仿宋" w:cs="仿宋" w:hint="eastAsia"/>
            <w:lang w:eastAsia="zh-CN"/>
          </w:rPr>
          <w:t>(四)、抗独特性抗体疫苗项目知识产权保护策略</w:t>
        </w:r>
        <w:r>
          <w:tab/>
        </w:r>
        <w:r>
          <w:fldChar w:fldCharType="begin"/>
        </w:r>
        <w:r>
          <w:instrText xml:space="preserve"> PAGEREF _Toc23705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19"/>
      <w:r>
        <w:rPr>
          <w:rFonts w:ascii="仿宋" w:eastAsia="仿宋" w:hAnsi="仿宋" w:cs="仿宋" w:hint="eastAsia"/>
          <w:sz w:val="28"/>
          <w:lang w:eastAsia="zh-CN"/>
        </w:rPr>
        <w:t>一、抗独特性抗体疫苗项目土建工程</w:t>
      </w:r>
      <w:bookmarkEnd w:id="2"/>
    </w:p>
    <w:p>
      <w:pPr>
        <w:pStyle w:val="Heading2"/>
        <w:rPr>
          <w:rFonts w:ascii="仿宋" w:eastAsia="仿宋" w:hAnsi="仿宋" w:cs="仿宋" w:hint="eastAsia"/>
          <w:lang w:eastAsia="zh-CN"/>
        </w:rPr>
      </w:pPr>
      <w:bookmarkStart w:id="3" w:name="_Toc207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在抗独特性抗体疫苗项目的建筑工程设计中，我们将秉承一系列重要的设计原则，以确保抗独特性抗体疫苗项目建筑在功能、美观、可持续性等方面达到最佳效果。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首要原则是确保建筑的功能性得到最大化的发挥。我们将充分理解抗独特性抗体疫苗项目的实际需求，合理布局各个功能区域，保证建筑在满足业务需求的同时，提供高效的工作环境。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在建筑设计中，我们将综合考虑建设和运营成本。通过精细的经济效益分析，确保设计方案在高效利用资源的同时，对抗独特性抗体疫苗项目的长期盈利能力有积极的贡献。</w:t>
      </w:r>
    </w:p>
    <w:p>
      <w:pPr>
        <w:pStyle w:val="Heading2"/>
        <w:ind w:firstLine="560" w:firstLineChars="200"/>
        <w:rPr>
          <w:rFonts w:ascii="仿宋" w:eastAsia="仿宋" w:hAnsi="仿宋" w:cs="仿宋" w:hint="eastAsia"/>
          <w:sz w:val="28"/>
          <w:lang w:eastAsia="zh-CN"/>
        </w:rPr>
      </w:pPr>
      <w:bookmarkStart w:id="4" w:name="_Toc6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的土建工程设计中，我们将精准设定设计年限，结合抗独特性抗体疫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独特性抗体疫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53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独特性抗体疫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独特性抗体疫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独特性抗体疫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8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本期工程抗独特性抗体疫苗项目预计总建筑面积XXX平方米，其中：计容建筑面积XXX平方米，计划建筑工程投资XX万元，占抗独特性抗体疫苗项目总投资的XX%。</w:t>
      </w:r>
    </w:p>
    <w:p>
      <w:pPr>
        <w:pStyle w:val="Heading1"/>
        <w:ind w:firstLine="560" w:firstLineChars="200"/>
        <w:rPr>
          <w:rFonts w:ascii="仿宋" w:eastAsia="仿宋" w:hAnsi="仿宋" w:cs="仿宋" w:hint="eastAsia"/>
          <w:sz w:val="28"/>
          <w:lang w:eastAsia="zh-CN"/>
        </w:rPr>
      </w:pPr>
      <w:bookmarkStart w:id="7" w:name="_Toc18410"/>
      <w:r>
        <w:rPr>
          <w:rFonts w:ascii="仿宋" w:eastAsia="仿宋" w:hAnsi="仿宋" w:cs="仿宋" w:hint="eastAsia"/>
          <w:sz w:val="28"/>
          <w:lang w:eastAsia="zh-CN"/>
        </w:rPr>
        <w:t>二、抗独特性抗体疫苗项目危机管理</w:t>
      </w:r>
      <w:bookmarkEnd w:id="7"/>
    </w:p>
    <w:p>
      <w:pPr>
        <w:pStyle w:val="Heading2"/>
        <w:rPr>
          <w:rFonts w:ascii="仿宋" w:eastAsia="仿宋" w:hAnsi="仿宋" w:cs="仿宋" w:hint="eastAsia"/>
          <w:lang w:eastAsia="zh-CN"/>
        </w:rPr>
      </w:pPr>
      <w:bookmarkStart w:id="8" w:name="_Toc28799"/>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危机管理中，危机预警与识别是确保抗独特性抗体疫苗项目稳健运行的核心步骤。通过建立全面的监测机制，抗独特性抗体疫苗项目团队旨在及时发现和理解潜在的风险和危机因素，以便采取及时的预防和应对措施，确保抗独特性抗体疫苗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独特性抗体疫苗项目团队全面分析了整个抗独特性抗体疫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独特性抗体疫苗项目团队着重于明确定义抗独特性抗体疫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独特性抗体疫苗项目进展的持续监控，团队能够及时发现潜在问题并作出迅速反应。抗独特性抗体疫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在这一阶段，团队的专业素养和反应速度将发挥至关重要的作用，以确保潜在危机能够在初期得到有效的处理，最大程度地减轻负面影响。通过危机预警与识别，抗独特性抗体疫苗项目得以更有序、可控地推进。</w:t>
      </w:r>
    </w:p>
    <w:p>
      <w:pPr>
        <w:pStyle w:val="Heading2"/>
        <w:ind w:firstLine="560" w:firstLineChars="200"/>
        <w:rPr>
          <w:rFonts w:ascii="仿宋" w:eastAsia="仿宋" w:hAnsi="仿宋" w:cs="仿宋" w:hint="eastAsia"/>
          <w:sz w:val="28"/>
          <w:lang w:eastAsia="zh-CN"/>
        </w:rPr>
      </w:pPr>
      <w:bookmarkStart w:id="9" w:name="_Toc835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在危机发生时，抗独特性抗体疫苗项目团队立即行动，成立了应急小组。该小组的任务是迅速制定并实施紧急应对措施，以最小化潜在损失。以下是采取的主要措施：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暂停抗独特性抗体疫苗项目进度：为遏制危机蔓延，抗独特性抗体疫苗项目暂时停止进行，以便全面评估当前状况。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资源重新分配：重新评估抗独特性抗体疫苗项目资源的分配，确保最大限度地减小损失。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实时沟通：与关键利益相关者建立实时沟通机制，向他们传递抗独特性抗体疫苗项目危机的实际状况，保障抗独特性抗体疫苗项目核心利益。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在紧急应对的同时，抗独特性抗体疫苗项目团队强调了团队协作和有效沟通的重要性。以下是团队协作的关键举措：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信息共享机制：建立了信息共享平台，确保团队成员能够及时获取抗独特性抗体疫苗项目危机的实时信息。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领导者沟通：抗独特性抗体疫苗项目领导者通过定期会议和即时沟通工具，指导团队应对危机，保持团队稳定运行。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随着危机得到初步控制，抗独特性抗体疫苗项目团队转向制定恢复计划，以确保抗独特性抗体疫苗项目能够从中迅速恢复。主要恢复计划包括：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修复受损的进度计划：重新评估抗独特性抗体疫苗项目进度，制定修复计划，确保抗独特性抗体疫苗项目尽快回归正常进程。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重新调整资源分配：优化资源分配，确保抗独特性抗体疫苗项目在有限资源下高效运转。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风险管理机制加强：对抗独特性抗体疫苗项目风险进行全面评估，制定更强化的风险管理策略，以预防未来可能的危机。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3457"/>
      <w:r>
        <w:rPr>
          <w:rFonts w:ascii="仿宋" w:eastAsia="仿宋" w:hAnsi="仿宋" w:cs="仿宋" w:hint="eastAsia"/>
          <w:sz w:val="28"/>
          <w:lang w:eastAsia="zh-CN"/>
        </w:rPr>
        <w:t>三、抗独特性抗体疫苗项目绩效评估</w:t>
      </w:r>
      <w:bookmarkEnd w:id="10"/>
    </w:p>
    <w:p>
      <w:pPr>
        <w:pStyle w:val="Heading2"/>
        <w:rPr>
          <w:rFonts w:ascii="仿宋" w:eastAsia="仿宋" w:hAnsi="仿宋" w:cs="仿宋" w:hint="eastAsia"/>
          <w:lang w:eastAsia="zh-CN"/>
        </w:rPr>
      </w:pPr>
      <w:bookmarkStart w:id="11" w:name="_Toc773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中，我们设计了一套全面的绩效评估指标，以确保抗独特性抗体疫苗项目的可控和成功交付。这些指标跨足抗独特性抗体疫苗项目目标、成本、进度和质量等多个维度，为我们提供了全面洞察抗独特性抗体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目标达成率是我们关注的首要指标。我们设定了明确的目标，并通过定期监测和评估，迅速发现并应对潜在的目标偏差。这为抗独特性抗体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成本绩效是另一个核心关注点。通过实际成本与预算成本的对比分析，我们深入了解成本差异的原因，及时调整资源分配，保持抗独特性抗体疫苗项目在经济效益方面的合理水平。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独特性抗体疫苗项目进度作为关键的绩效指标之一，得到了精心的关注。我们制定了详细的抗独特性抗体疫苗项目进度计划，并设立了进度符合度指标，确保实际进度与计划进度保持一致。这使我们能够快速发现和解决潜在的进度问题，保持抗独特性抗体疫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独特性抗体疫苗项目绩效的不可或缺的一环。我们引入了一系列的质量标准和客户满意度指标，以确保抗独特性抗体疫苗项目交付的成果在质量上达到或超越预期水平。通过持续监测这些指标，我们努力提升抗独特性抗体疫苗项目整体质量水平，为抗独特性抗体疫苗项目的成功交付提供有力保障。通过这些科学且全面的绩效评估，我们能够更好地引导抗独特性抗体疫苗项目的持续改进，确保抗独特性抗体疫苗项目目标的顺利达成。</w:t>
      </w:r>
    </w:p>
    <w:p>
      <w:pPr>
        <w:pStyle w:val="Heading2"/>
        <w:ind w:firstLine="560" w:firstLineChars="200"/>
        <w:rPr>
          <w:rFonts w:ascii="仿宋" w:eastAsia="仿宋" w:hAnsi="仿宋" w:cs="仿宋" w:hint="eastAsia"/>
          <w:sz w:val="28"/>
          <w:lang w:eastAsia="zh-CN"/>
        </w:rPr>
      </w:pPr>
      <w:bookmarkStart w:id="12" w:name="_Toc1447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绩效评估是抗独特性抗体疫苗项目中的关键环节，为确保抗独特性抗体疫苗项目达到预期目标，我们采用了多层次、多维度的绩效评估方法。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独特性抗体疫苗项目的战略目标对齐，确保每个决策和行动都与抗独特性抗体疫苗项目整体目标保持一致。团队会定期召开战略对齐会议，审视当前工作与抗独特性抗体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独特性抗体疫苗项目进度、质量、成本和风险等方面。这些指标通过数据收集和分析，为抗独特性抗体疫苗项目管理团队提供了客观的评估依据。例如，我们通过抗独特性抗体疫苗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独特性抗体疫苗项目内部，还考虑了抗独特性抗体疫苗项目对外部环境的影响。我们定期进行干系人满意度调查，以了解各利益相关方对抗独特性抗体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这种多层次、多角度的绩效评估方法，使得我们能够全面了解抗独特性抗体疫苗项目的运行状态，及时做出调整，确保抗独特性抗体疫苗项目在不断变化的环境中保持稳健前行。</w:t>
      </w:r>
    </w:p>
    <w:p>
      <w:pPr>
        <w:pStyle w:val="Heading2"/>
        <w:ind w:firstLine="560" w:firstLineChars="200"/>
        <w:rPr>
          <w:rFonts w:ascii="仿宋" w:eastAsia="仿宋" w:hAnsi="仿宋" w:cs="仿宋" w:hint="eastAsia"/>
          <w:sz w:val="28"/>
          <w:lang w:eastAsia="zh-CN"/>
        </w:rPr>
      </w:pPr>
      <w:bookmarkStart w:id="13" w:name="_Toc1965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为了确保抗独特性抗体疫苗项目的有效管理和不断优化，我们采用了精心设计的绩效评估周期。这个周期旨在实现灵活、实时和全面的评估，以适应抗独特性抗体疫苗项目执行中的各种挑战。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独特性抗体疫苗项目的不同需求，分为短期、中期和长期。短期评估关注每个迭代或工作周期，以及时发现和解决当前任务中的问题。中期评估涵盖几个迭代，深入了解整体抗独特性抗体疫苗项目的趋势和性能。长期评估则着眼于整个抗独特性抗体疫苗项目阶段，确保抗独特性抗体疫苗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独特性抗体疫苗项目管理工具和协作平台，团队成员能够随时更新和分享抗独特性抗体疫苗项目数据。这种实时性的反馈机制使我们能够及时察觉潜在问题，快速调整，保持抗独特性抗体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独特性抗体疫苗项目的决策制定密不可分。每个周期的抗独特性抗体疫苗项目回顾会议成为集体总结经验、识别问题深层次原因并找到创新解决方案的平台。这种定期的反思与调整机制使抗独特性抗体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5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08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抗独特性抗体疫苗项目的技术管理特点体现在其创新导向。通过引入最先进的技术趋势和解决方案，抗独特性抗体疫苗项目致力于提升科技含量、提高质量和效率水平。这意味着我们将采用最新的工具和方法，确保抗独特性抗体疫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独特性抗体疫苗项目技术管理的显著特征。通过整合不同领域的技术资源，我们实现了跨学科的协同工作。这有助于优化技术架构，提高整体效能。此外，整合性策略还促进了不同技术团队之间的紧密沟通和高效合作，确保抗独特性抗体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独特性抗体疫苗项目所采用的技术。通过不断优化技术方案，抗独特性抗体疫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独特性抗体疫苗项目团队将在抗独特性抗体疫苗项目初期识别可能的技术风险，并采取相应的预防和应对措施。通过建立健全的风险评估机制，抗独特性抗体疫苗项目能够在实施过程中及时发现并解决潜在的技术问题，保障抗独特性抗体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独特性抗体疫苗项目中，技术将成为抗独特性抗体疫苗项目成功的有力支持。这一深度剖析揭示了技术管理在抗独特性抗体疫苗项目实施中的关键作用，为抗独特性抗体疫苗项目的技术基础奠定了坚实的基础。</w:t>
      </w:r>
    </w:p>
    <w:p>
      <w:pPr>
        <w:pStyle w:val="Heading2"/>
        <w:ind w:firstLine="560" w:firstLineChars="200"/>
        <w:rPr>
          <w:rFonts w:ascii="仿宋" w:eastAsia="仿宋" w:hAnsi="仿宋" w:cs="仿宋" w:hint="eastAsia"/>
          <w:sz w:val="28"/>
          <w:lang w:eastAsia="zh-CN"/>
        </w:rPr>
      </w:pPr>
      <w:bookmarkStart w:id="16" w:name="_Toc7824"/>
      <w:r>
        <w:rPr>
          <w:rFonts w:ascii="仿宋" w:eastAsia="仿宋" w:hAnsi="仿宋" w:cs="仿宋" w:hint="eastAsia"/>
          <w:sz w:val="28"/>
          <w:lang w:eastAsia="zh-CN"/>
        </w:rPr>
        <w:t>(二)、抗独特性抗体疫苗项目工艺技术设计方案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抗独特性抗体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独特性抗体疫苗项目将严格按照相关行业规范要求进行组织。通过有效控制产品质量，抗独特性抗体疫苗项目将致力于为顾客提供优质的抗独特性抗体疫苗项目产品和良好的服务。这体现了抗独特性抗体疫苗项目对于生产活动合规性和质量标准的高度重视，为抗独特性抗体疫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独特性抗体疫苗项目注重生态效益和清洁生产原则。抗独特性抗体疫苗项目建设将紧密结合地方特色经济发展，与社会经济发展规划和区域环境保护规划方案相协调一致。通过与当地区域自然生态系统的结合，抗独特性抗体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独特性抗体疫苗项目产品具有多样化的客户需求和个性化的特点。因此，抗独特性抗体疫苗项目产品规格品种多样，且单批生产数量较小。为满足这一特点，抗独特性抗体疫苗项目承办单位将建设先进的柔性制造生产线。通过广泛应用柔性制造技术，抗独特性抗体疫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抗独特性抗体疫苗项目采用的技术具有较高的技术含量和自动化水平，处于国内先进水平。这一技术选用不仅体现了对生产效率、质量和环境友好性的高标准要求，同时为抗独特性抗体疫苗项目的可持续发展奠定了坚实的基础。</w:t>
      </w:r>
    </w:p>
    <w:p>
      <w:pPr>
        <w:pStyle w:val="Heading2"/>
        <w:ind w:firstLine="560" w:firstLineChars="200"/>
        <w:rPr>
          <w:rFonts w:ascii="仿宋" w:eastAsia="仿宋" w:hAnsi="仿宋" w:cs="仿宋" w:hint="eastAsia"/>
          <w:sz w:val="28"/>
          <w:lang w:eastAsia="zh-CN"/>
        </w:rPr>
      </w:pPr>
      <w:bookmarkStart w:id="17" w:name="_Toc801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为确保抗独特性抗体疫苗项目的高效生产和技术实施，我们制定了一套精心设计的设备选型方案，以满足抗独特性抗体疫苗项目生产、质量和环保的要求。该方案的主要特点如下：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独特性抗体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针对抗独特性抗体疫苗项目产品的多样性和小批量生产的特点，我们将建设柔性制造生产线。通过在设备选型中考虑柔性制造技术，可以灵活应对不同产品规格和生产需求，实现生产线的高度灵活性和适应性。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1085"/>
      <w:r>
        <w:rPr>
          <w:rFonts w:ascii="仿宋" w:eastAsia="仿宋" w:hAnsi="仿宋" w:cs="仿宋" w:hint="eastAsia"/>
          <w:sz w:val="28"/>
          <w:lang w:eastAsia="zh-CN"/>
        </w:rPr>
        <w:t>五、抗独特性抗体疫苗项目可持续发展</w:t>
      </w:r>
      <w:bookmarkEnd w:id="18"/>
    </w:p>
    <w:p>
      <w:pPr>
        <w:pStyle w:val="Heading2"/>
        <w:rPr>
          <w:rFonts w:ascii="仿宋" w:eastAsia="仿宋" w:hAnsi="仿宋" w:cs="仿宋" w:hint="eastAsia"/>
          <w:lang w:eastAsia="zh-CN"/>
        </w:rPr>
      </w:pPr>
      <w:bookmarkStart w:id="19" w:name="_Toc2299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独特性抗体疫苗项目中，抗独特性抗体疫苗项目团队着眼于未来，明确了可持续发展的战略方向。制定的具体可持续发展目标包括降低资源使用、采用环保技术、最大化社会效益等。这一步骤不仅有助于抗独特性抗体疫苗项目在环保和社会责任方面达到最高标准，也为未来提供了明确的指引，确保抗独特性抗体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可持续实践的融入抗独特性抗体疫苗项目管理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https://d.book118.com/426121001235010033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抗独特性抗体疫苗项目规划设计蓝图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85875"/>
    <w:rsid w:val="087858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210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2024-01-12T01:28:00Z</dcterms:created>
  <dcterms:modified xsi:type="dcterms:W3CDTF">2024-01-12T01:28:17Z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C312787FAF6745A1B7C03929AA6D5DF8_11</vt:lpwstr>
  </property>
  <property fmtid="{D5CDD505-2E9C-101B-9397-08002B2CF9AE}" pid="3" name="KSOProductBuildVer">
    <vt:lpwstr>2052-12.1.0.16120</vt:lpwstr>
  </property>
</Properties>
</file>