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轮毂相关项目运行指导方案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3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_Toc10032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53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_Toc14851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8" w:history="1">
        <w:r>
          <w:rPr>
            <w:rFonts w:ascii="仿宋" w:eastAsia="仿宋" w:hAnsi="仿宋" w:cs="仿宋" w:hint="eastAsia"/>
            <w:lang w:eastAsia="zh-CN"/>
          </w:rPr>
          <w:t>二、轮毂概述</w:t>
        </w:r>
        <w:r>
          <w:tab/>
        </w:r>
        <w:r>
          <w:fldChar w:fldCharType="begin"/>
        </w:r>
        <w:r>
          <w:instrText xml:space="preserve"> PAGEREF _Toc24458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3" w:history="1">
        <w:r>
          <w:rPr>
            <w:rFonts w:ascii="仿宋" w:eastAsia="仿宋" w:hAnsi="仿宋" w:cs="仿宋" w:hint="eastAsia"/>
            <w:lang w:eastAsia="zh-CN"/>
          </w:rPr>
          <w:t>(一)、轮毂项目名称及建设性质</w:t>
        </w:r>
        <w:r>
          <w:tab/>
        </w:r>
        <w:r>
          <w:fldChar w:fldCharType="begin"/>
        </w:r>
        <w:r>
          <w:instrText xml:space="preserve"> PAGEREF _Toc10173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9" w:history="1">
        <w:r>
          <w:rPr>
            <w:rFonts w:ascii="仿宋" w:eastAsia="仿宋" w:hAnsi="仿宋" w:cs="仿宋" w:hint="eastAsia"/>
            <w:lang w:eastAsia="zh-CN"/>
          </w:rPr>
          <w:t>(二)、轮毂项目承办单位背景分析</w:t>
        </w:r>
        <w:r>
          <w:tab/>
        </w:r>
        <w:r>
          <w:fldChar w:fldCharType="begin"/>
        </w:r>
        <w:r>
          <w:instrText xml:space="preserve"> PAGEREF _Toc26819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8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_Toc29438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(四)、轮毂项目提出的理由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3" w:history="1">
        <w:r>
          <w:rPr>
            <w:rFonts w:ascii="仿宋" w:eastAsia="仿宋" w:hAnsi="仿宋" w:cs="仿宋" w:hint="eastAsia"/>
            <w:lang w:eastAsia="zh-CN"/>
          </w:rPr>
          <w:t>(五)、轮毂项目选址及用地综述</w:t>
        </w:r>
        <w:r>
          <w:tab/>
        </w:r>
        <w:r>
          <w:fldChar w:fldCharType="begin"/>
        </w:r>
        <w:r>
          <w:instrText xml:space="preserve"> PAGEREF _Toc27753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_Toc20559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7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_Toc16107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_Toc2204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0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_Toc32170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(十)、轮毂项目能耗分析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_Toc3181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eastAsia="zh-CN"/>
          </w:rPr>
          <w:t>(十二)、轮毂项目建设符合性</w:t>
        </w:r>
        <w:r>
          <w:tab/>
        </w:r>
        <w:r>
          <w:fldChar w:fldCharType="begin"/>
        </w:r>
        <w:r>
          <w:instrText xml:space="preserve"> PAGEREF _Toc25629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" w:history="1">
        <w:r>
          <w:rPr>
            <w:rFonts w:ascii="仿宋" w:eastAsia="仿宋" w:hAnsi="仿宋" w:cs="仿宋" w:hint="eastAsia"/>
            <w:lang w:eastAsia="zh-CN"/>
          </w:rPr>
          <w:t>(十三)、轮毂项目进度规划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3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_Toc17623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6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_Toc25356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6" w:history="1">
        <w:r>
          <w:rPr>
            <w:rFonts w:ascii="仿宋" w:eastAsia="仿宋" w:hAnsi="仿宋" w:cs="仿宋" w:hint="eastAsia"/>
            <w:lang w:eastAsia="zh-CN"/>
          </w:rPr>
          <w:t>(十六)、轮毂项目评价</w:t>
        </w:r>
        <w:r>
          <w:tab/>
        </w:r>
        <w:r>
          <w:fldChar w:fldCharType="begin"/>
        </w:r>
        <w:r>
          <w:instrText xml:space="preserve"> PAGEREF _Toc24466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6" w:history="1">
        <w:r>
          <w:rPr>
            <w:rFonts w:ascii="仿宋" w:eastAsia="仿宋" w:hAnsi="仿宋" w:cs="仿宋" w:hint="eastAsia"/>
            <w:lang w:eastAsia="zh-CN"/>
          </w:rPr>
          <w:t>三、轮毂项目招投标方案</w:t>
        </w:r>
        <w:r>
          <w:tab/>
        </w:r>
        <w:r>
          <w:fldChar w:fldCharType="begin"/>
        </w:r>
        <w:r>
          <w:instrText xml:space="preserve"> PAGEREF _Toc21826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1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_Toc12494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" w:history="1">
        <w:r>
          <w:rPr>
            <w:rFonts w:ascii="仿宋" w:eastAsia="仿宋" w:hAnsi="仿宋" w:cs="仿宋" w:hint="eastAsia"/>
            <w:lang w:eastAsia="zh-CN"/>
          </w:rPr>
          <w:t>(三)、轮毂项目招投标要求</w:t>
        </w:r>
        <w:r>
          <w:tab/>
        </w:r>
        <w:r>
          <w:fldChar w:fldCharType="begin"/>
        </w:r>
        <w:r>
          <w:instrText xml:space="preserve"> PAGEREF _Toc1973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(四)、轮毂项目招标方式和招标程序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6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_Toc4026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7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_Toc9807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6" w:history="1">
        <w:r>
          <w:rPr>
            <w:rFonts w:ascii="仿宋" w:eastAsia="仿宋" w:hAnsi="仿宋" w:cs="仿宋" w:hint="eastAsia"/>
            <w:lang w:eastAsia="zh-CN"/>
          </w:rPr>
          <w:t>(一)、轮毂项目估算说明</w:t>
        </w:r>
        <w:r>
          <w:tab/>
        </w:r>
        <w:r>
          <w:fldChar w:fldCharType="begin"/>
        </w:r>
        <w:r>
          <w:instrText xml:space="preserve"> PAGEREF _Toc17026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2" w:history="1">
        <w:r>
          <w:rPr>
            <w:rFonts w:ascii="仿宋" w:eastAsia="仿宋" w:hAnsi="仿宋" w:cs="仿宋" w:hint="eastAsia"/>
            <w:lang w:eastAsia="zh-CN"/>
          </w:rPr>
          <w:t>(二)、轮毂项目总投资估算</w:t>
        </w:r>
        <w:r>
          <w:tab/>
        </w:r>
        <w:r>
          <w:fldChar w:fldCharType="begin"/>
        </w:r>
        <w:r>
          <w:instrText xml:space="preserve"> PAGEREF _Toc23742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_Toc21886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0" w:history="1">
        <w:r>
          <w:rPr>
            <w:rFonts w:ascii="仿宋" w:eastAsia="仿宋" w:hAnsi="仿宋" w:cs="仿宋" w:hint="eastAsia"/>
            <w:lang w:eastAsia="zh-CN"/>
          </w:rPr>
          <w:t>五、环境保护概况</w:t>
        </w:r>
        <w:r>
          <w:tab/>
        </w:r>
        <w:r>
          <w:fldChar w:fldCharType="begin"/>
        </w:r>
        <w:r>
          <w:instrText xml:space="preserve"> PAGEREF _Toc6420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_Toc15019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5" w:history="1">
        <w:r>
          <w:rPr>
            <w:rFonts w:ascii="仿宋" w:eastAsia="仿宋" w:hAnsi="仿宋" w:cs="仿宋" w:hint="eastAsia"/>
            <w:lang w:eastAsia="zh-CN"/>
          </w:rPr>
          <w:t>(四)、轮毂项目建设对区域经济的影响</w:t>
        </w:r>
        <w:r>
          <w:tab/>
        </w:r>
        <w:r>
          <w:fldChar w:fldCharType="begin"/>
        </w:r>
        <w:r>
          <w:instrText xml:space="preserve"> PAGEREF _Toc24605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_Toc19898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_Toc15146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9" w:history="1">
        <w:r>
          <w:rPr>
            <w:rFonts w:ascii="仿宋" w:eastAsia="仿宋" w:hAnsi="仿宋" w:cs="仿宋" w:hint="eastAsia"/>
            <w:lang w:eastAsia="zh-CN"/>
          </w:rPr>
          <w:t>(八)、轮毂项目建设对区域经济的影响</w:t>
        </w:r>
        <w:r>
          <w:tab/>
        </w:r>
        <w:r>
          <w:fldChar w:fldCharType="begin"/>
        </w:r>
        <w:r>
          <w:instrText xml:space="preserve"> PAGEREF _Toc24249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_Toc21458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69" w:history="1">
        <w:r>
          <w:rPr>
            <w:rFonts w:ascii="仿宋" w:eastAsia="仿宋" w:hAnsi="仿宋" w:cs="仿宋" w:hint="eastAsia"/>
            <w:lang w:eastAsia="zh-CN"/>
          </w:rPr>
          <w:t>六、轮毂项目风险概况</w:t>
        </w:r>
        <w:r>
          <w:tab/>
        </w:r>
        <w:r>
          <w:fldChar w:fldCharType="begin"/>
        </w:r>
        <w:r>
          <w:instrText xml:space="preserve"> PAGEREF _Toc14569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_Toc20849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_Toc12703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_Toc20536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_Toc16818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_Toc9567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_Toc12857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_Toc2568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_Toc8807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75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_Toc17475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_Toc4146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_Toc14577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_Toc8597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6" w:history="1">
        <w:r>
          <w:rPr>
            <w:rFonts w:ascii="仿宋" w:eastAsia="仿宋" w:hAnsi="仿宋" w:cs="仿宋" w:hint="eastAsia"/>
            <w:lang w:eastAsia="zh-CN"/>
          </w:rPr>
          <w:t>(六)、轮毂项目实施保障</w:t>
        </w:r>
        <w:r>
          <w:tab/>
        </w:r>
        <w:r>
          <w:fldChar w:fldCharType="begin"/>
        </w:r>
        <w:r>
          <w:instrText xml:space="preserve"> PAGEREF _Toc13576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1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_Toc20221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_Toc24464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_Toc10003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_Toc9226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03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853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851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轮毂项目产品方案时，我们充分考虑了国家及地方产业发展政策、市场需求、资源供应、企业资金筹措能力、生产工艺技术水平、轮毂项目经济效益及投资风险等多方面因素。此轮毂项目的主要产品为轮毂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轮毂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轮毂项目产品的市场需求是轮毂项目存在和发展的关键，市场需要量是根据分析轮毂项目产品市场容量、产品产量及其技术发展来进行预测的。目前，我国各行各业对轮毂项目产品的需求量大，由于此类产品具有市场需求多样化、升级换代快的特点，因此轮毂项目产品的生产量难以满足市场的要求，每年需要大量从外部调入或从国外进口。商品市场需求高于产品制造发展速度，因此，轮毂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轮毂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20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轮毂项目总征地面积为XX平方米，相当于约XX亩。其中，净用地面积为XX平方米，符合生态保护红线范围，也即约XX亩。轮毂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https://d.book118.com/426212140223010030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轮毂相关项目运行指导方案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轮毂相关项目运行指导方案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轮毂相关项目运行指导方案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轮毂相关项目运行指导方案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轮毂相关项目运行指导方案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9929EE"/>
    <w:rsid w:val="779929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6212140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2023-12-30T03:42:00Z</dcterms:created>
  <dcterms:modified xsi:type="dcterms:W3CDTF">2023-12-30T03:42:49Z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3202106587224D3CAB31E9E787785A7B_11</vt:lpwstr>
  </property>
  <property fmtid="{D5CDD505-2E9C-101B-9397-08002B2CF9AE}" pid="3" name="KSOProductBuildVer">
    <vt:lpwstr>2052-12.1.0.16120</vt:lpwstr>
  </property>
</Properties>
</file>