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1" w:lineRule="auto"/>
      </w:pPr>
    </w:p>
    <w:p>
      <w:pPr>
        <w:pStyle w:val="BodyText"/>
        <w:spacing w:before="84" w:line="222" w:lineRule="auto"/>
        <w:ind w:left="7739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-407720</wp:posOffset>
            </wp:positionV>
            <wp:extent cx="7804150" cy="104965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04150" cy="10496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8"/>
          <w:sz w:val="26"/>
          <w:szCs w:val="26"/>
        </w:rPr>
        <w:t>PERCENT</w:t>
      </w:r>
      <w:r>
        <w:rPr>
          <w:b/>
          <w:bCs/>
          <w:color w:val="FFFFFF"/>
          <w:spacing w:val="58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color w:val="FFFFFF"/>
          <w:spacing w:val="-8"/>
          <w:sz w:val="26"/>
          <w:szCs w:val="26"/>
        </w:rPr>
        <w:t>百分点</w:t>
      </w:r>
      <w:r>
        <w:rPr>
          <w:rFonts w:ascii="SimHei" w:eastAsia="SimHei" w:hAnsi="SimHei" w:cs="SimHei"/>
          <w:color w:val="FFFFFF"/>
          <w:spacing w:val="-8"/>
          <w:sz w:val="26"/>
          <w:szCs w:val="26"/>
        </w:rPr>
        <w:t xml:space="preserve">      </w:t>
      </w:r>
      <w:r>
        <w:rPr>
          <w:color w:val="FFFFFF"/>
          <w:spacing w:val="-8"/>
        </w:rPr>
        <w:t>Mediaforce</w:t>
      </w: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spacing w:before="500" w:line="248" w:lineRule="auto"/>
        <w:ind w:left="495" w:right="5393" w:firstLine="6"/>
        <w:outlineLvl w:val="0"/>
        <w:rPr>
          <w:rFonts w:ascii="SimHei" w:eastAsia="SimHei" w:hAnsi="SimHei" w:cs="SimHei"/>
          <w:sz w:val="106"/>
          <w:szCs w:val="106"/>
        </w:rPr>
      </w:pPr>
      <w:r>
        <w:rPr>
          <w:rFonts w:ascii="SimHei" w:eastAsia="SimHei" w:hAnsi="SimHei" w:cs="SimHei"/>
          <w:b/>
          <w:bCs/>
          <w:color w:val="132D76"/>
          <w:spacing w:val="42"/>
          <w:sz w:val="154"/>
          <w:szCs w:val="154"/>
        </w:rPr>
        <w:t>汽车行业</w:t>
      </w:r>
      <w:r>
        <w:rPr>
          <w:rFonts w:ascii="SimHei" w:eastAsia="SimHei" w:hAnsi="SimHei" w:cs="SimHei"/>
          <w:color w:val="132D76"/>
          <w:sz w:val="154"/>
          <w:szCs w:val="154"/>
        </w:rPr>
        <w:t xml:space="preserve"> </w:t>
      </w:r>
      <w:r>
        <w:rPr>
          <w:rFonts w:ascii="SimHei" w:eastAsia="SimHei" w:hAnsi="SimHei" w:cs="SimHei"/>
          <w:b/>
          <w:bCs/>
          <w:color w:val="132D76"/>
          <w:spacing w:val="157"/>
          <w:sz w:val="106"/>
          <w:szCs w:val="106"/>
        </w:rPr>
        <w:t>舆情月报</w:t>
      </w:r>
    </w:p>
    <w:p>
      <w:pPr>
        <w:pStyle w:val="BodyText"/>
        <w:spacing w:line="387" w:lineRule="auto"/>
      </w:pPr>
    </w:p>
    <w:p>
      <w:pPr>
        <w:pStyle w:val="BodyText"/>
        <w:spacing w:before="101" w:line="198" w:lineRule="auto"/>
        <w:ind w:left="409"/>
        <w:rPr>
          <w:sz w:val="35"/>
          <w:szCs w:val="35"/>
        </w:rPr>
      </w:pPr>
      <w:r>
        <w:rPr>
          <w:color w:val="132D76"/>
          <w:spacing w:val="-5"/>
          <w:sz w:val="35"/>
          <w:szCs w:val="35"/>
        </w:rPr>
        <w:t>Automobile</w:t>
      </w:r>
      <w:r>
        <w:rPr>
          <w:color w:val="132D76"/>
          <w:spacing w:val="37"/>
          <w:sz w:val="35"/>
          <w:szCs w:val="35"/>
        </w:rPr>
        <w:t xml:space="preserve"> </w:t>
      </w:r>
      <w:r>
        <w:rPr>
          <w:color w:val="132D76"/>
          <w:spacing w:val="-5"/>
          <w:sz w:val="35"/>
          <w:szCs w:val="35"/>
        </w:rPr>
        <w:t>Industry</w:t>
      </w:r>
      <w:r>
        <w:rPr>
          <w:color w:val="132D76"/>
          <w:spacing w:val="24"/>
          <w:sz w:val="35"/>
          <w:szCs w:val="35"/>
        </w:rPr>
        <w:t xml:space="preserve"> </w:t>
      </w:r>
      <w:r>
        <w:rPr>
          <w:color w:val="132D76"/>
          <w:spacing w:val="-5"/>
          <w:sz w:val="35"/>
          <w:szCs w:val="35"/>
        </w:rPr>
        <w:t>Public Opinion</w:t>
      </w:r>
    </w:p>
    <w:p>
      <w:pPr>
        <w:pStyle w:val="BodyText"/>
        <w:spacing w:before="271" w:line="196" w:lineRule="auto"/>
        <w:ind w:left="480"/>
        <w:rPr>
          <w:sz w:val="35"/>
          <w:szCs w:val="35"/>
        </w:rPr>
      </w:pPr>
      <w:r>
        <w:rPr>
          <w:color w:val="132D76"/>
          <w:spacing w:val="-4"/>
          <w:sz w:val="35"/>
          <w:szCs w:val="35"/>
        </w:rPr>
        <w:t>Monthly</w:t>
      </w:r>
      <w:r>
        <w:rPr>
          <w:color w:val="132D76"/>
          <w:spacing w:val="83"/>
          <w:sz w:val="35"/>
          <w:szCs w:val="35"/>
        </w:rPr>
        <w:t xml:space="preserve"> </w:t>
      </w:r>
      <w:r>
        <w:rPr>
          <w:color w:val="132D76"/>
          <w:spacing w:val="-4"/>
          <w:sz w:val="35"/>
          <w:szCs w:val="35"/>
        </w:rPr>
        <w:t>Report</w:t>
      </w: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4" w:lineRule="auto"/>
      </w:pPr>
    </w:p>
    <w:p>
      <w:pPr>
        <w:pStyle w:val="BodyText"/>
        <w:spacing w:line="274" w:lineRule="auto"/>
      </w:pPr>
    </w:p>
    <w:p>
      <w:pPr>
        <w:pStyle w:val="BodyText"/>
        <w:spacing w:line="274" w:lineRule="auto"/>
      </w:pPr>
    </w:p>
    <w:p>
      <w:pPr>
        <w:spacing w:before="85" w:line="223" w:lineRule="auto"/>
        <w:ind w:left="8740"/>
        <w:rPr>
          <w:rFonts w:ascii="SimHei" w:eastAsia="SimHei" w:hAnsi="SimHei" w:cs="SimHei"/>
          <w:sz w:val="26"/>
          <w:szCs w:val="26"/>
        </w:rPr>
      </w:pPr>
      <w:r>
        <w:rPr>
          <w:rFonts w:ascii="SimHei" w:eastAsia="SimHei" w:hAnsi="SimHei" w:cs="SimHei"/>
          <w:color w:val="FFFFFF"/>
          <w:spacing w:val="27"/>
          <w:sz w:val="26"/>
          <w:szCs w:val="26"/>
        </w:rPr>
        <w:t>2023年10月</w:t>
      </w: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  <w:sectPr>
          <w:headerReference w:type="default" r:id="rId5"/>
          <w:pgSz w:w="12290" w:h="16530"/>
          <w:pgMar w:top="400" w:right="0" w:bottom="0" w:left="0" w:header="0" w:footer="0" w:gutter="0"/>
          <w:cols w:space="708"/>
        </w:sectPr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spacing w:before="68" w:line="221" w:lineRule="auto"/>
        <w:ind w:left="8892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5"/>
          <w:sz w:val="21"/>
          <w:szCs w:val="21"/>
        </w:rPr>
        <w:t>百</w:t>
      </w:r>
      <w:r>
        <w:rPr>
          <w:rFonts w:ascii="SimHei" w:eastAsia="SimHei" w:hAnsi="SimHei" w:cs="SimHei"/>
          <w:spacing w:val="35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5"/>
          <w:sz w:val="21"/>
          <w:szCs w:val="21"/>
        </w:rPr>
        <w:t>分</w:t>
      </w:r>
      <w:r>
        <w:rPr>
          <w:rFonts w:ascii="SimHei" w:eastAsia="SimHei" w:hAnsi="SimHei" w:cs="SimHei"/>
          <w:spacing w:val="30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5"/>
          <w:sz w:val="21"/>
          <w:szCs w:val="21"/>
        </w:rPr>
        <w:t>点</w:t>
      </w:r>
      <w:r>
        <w:rPr>
          <w:rFonts w:ascii="SimHei" w:eastAsia="SimHei" w:hAnsi="SimHei" w:cs="SimHei"/>
          <w:spacing w:val="28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5"/>
          <w:sz w:val="21"/>
          <w:szCs w:val="21"/>
        </w:rPr>
        <w:t>舆</w:t>
      </w:r>
      <w:r>
        <w:rPr>
          <w:rFonts w:ascii="SimHei" w:eastAsia="SimHei" w:hAnsi="SimHei" w:cs="SimHei"/>
          <w:spacing w:val="27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5"/>
          <w:sz w:val="21"/>
          <w:szCs w:val="21"/>
        </w:rPr>
        <w:t>情</w:t>
      </w:r>
      <w:r>
        <w:rPr>
          <w:rFonts w:ascii="SimHei" w:eastAsia="SimHei" w:hAnsi="SimHei" w:cs="SimHei"/>
          <w:spacing w:val="44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5"/>
          <w:sz w:val="21"/>
          <w:szCs w:val="21"/>
        </w:rPr>
        <w:t>中</w:t>
      </w:r>
      <w:r>
        <w:rPr>
          <w:rFonts w:ascii="SimHei" w:eastAsia="SimHei" w:hAnsi="SimHei" w:cs="SimHei"/>
          <w:spacing w:val="31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5"/>
          <w:sz w:val="21"/>
          <w:szCs w:val="21"/>
        </w:rPr>
        <w:t>心</w:t>
      </w:r>
      <w:r>
        <w:rPr>
          <w:rFonts w:ascii="SimHei" w:eastAsia="SimHei" w:hAnsi="SimHei" w:cs="SimHei"/>
          <w:spacing w:val="41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5"/>
          <w:sz w:val="21"/>
          <w:szCs w:val="21"/>
        </w:rPr>
        <w:t>出</w:t>
      </w:r>
      <w:r>
        <w:rPr>
          <w:rFonts w:ascii="SimHei" w:eastAsia="SimHei" w:hAnsi="SimHei" w:cs="SimHei"/>
          <w:spacing w:val="39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5"/>
          <w:sz w:val="21"/>
          <w:szCs w:val="21"/>
        </w:rPr>
        <w:t>品</w:t>
      </w:r>
    </w:p>
    <w:p>
      <w:pPr>
        <w:spacing w:line="221" w:lineRule="auto"/>
        <w:rPr>
          <w:rFonts w:ascii="SimHei" w:eastAsia="SimHei" w:hAnsi="SimHei" w:cs="SimHei"/>
          <w:sz w:val="21"/>
          <w:szCs w:val="21"/>
        </w:rPr>
        <w:sectPr>
          <w:headerReference w:type="default" r:id="rId6"/>
          <w:type w:val="nextPage"/>
          <w:pgSz w:w="12290" w:h="1653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71" w:lineRule="auto"/>
      </w:pPr>
      <w: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-2921433</wp:posOffset>
                </wp:positionH>
                <wp:positionV relativeFrom="page">
                  <wp:posOffset>3473060</wp:posOffset>
                </wp:positionV>
                <wp:extent cx="7595869" cy="2541904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-2921433" y="3473060"/>
                          <a:ext cx="7595869" cy="254190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955" w:line="182" w:lineRule="auto"/>
                              <w:jc w:val="right"/>
                              <w:rPr>
                                <w:rFonts w:ascii="SimHei" w:eastAsia="SimHei" w:hAnsi="SimHei" w:cs="SimHei"/>
                                <w:sz w:val="307"/>
                                <w:szCs w:val="307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spacing w:val="-45"/>
                                <w:sz w:val="307"/>
                                <w:szCs w:val="307"/>
                              </w:rPr>
                              <w:t>Foreword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5" type="#_x0000_t202" style="width:598.1pt;height:200.15pt;margin-top:273.47pt;margin-left:-230.03pt;mso-position-horizontal-relative:page;mso-position-vertical-relative:page;mso-wrap-distance-bottom:0;mso-wrap-distance-left:0;mso-wrap-distance-right:0;mso-wrap-distance-top:0;position:absolute;rotation:90;v-text-anchor:top;z-index:251659264" o:allowincell="f" filled="f" fillcolor="this" stroked="f">
                <v:textbox inset="0,0,0,0">
                  <w:txbxContent>
                    <w:p>
                      <w:pPr>
                        <w:spacing w:before="955" w:line="182" w:lineRule="auto"/>
                        <w:jc w:val="right"/>
                        <w:rPr>
                          <w:rFonts w:ascii="SimHei" w:eastAsia="SimHei" w:hAnsi="SimHei" w:cs="SimHei"/>
                          <w:sz w:val="307"/>
                          <w:szCs w:val="307"/>
                        </w:rPr>
                      </w:pPr>
                      <w:r>
                        <w:rPr>
                          <w:rFonts w:ascii="SimHei" w:eastAsia="SimHei" w:hAnsi="SimHei" w:cs="SimHei"/>
                          <w:spacing w:val="-45"/>
                          <w:sz w:val="307"/>
                          <w:szCs w:val="307"/>
                        </w:rPr>
                        <w:t>Foreword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269" w:line="222" w:lineRule="auto"/>
        <w:ind w:right="30"/>
        <w:jc w:val="right"/>
        <w:rPr>
          <w:rFonts w:ascii="SimHei" w:eastAsia="SimHei" w:hAnsi="SimHei" w:cs="SimHei"/>
          <w:sz w:val="83"/>
          <w:szCs w:val="83"/>
        </w:rPr>
      </w:pPr>
      <w:r>
        <w:rPr>
          <w:rFonts w:ascii="SimHei" w:eastAsia="SimHei" w:hAnsi="SimHei" w:cs="SimHei"/>
          <w:b/>
          <w:bCs/>
          <w:color w:val="132D76"/>
          <w:spacing w:val="-25"/>
          <w:sz w:val="83"/>
          <w:szCs w:val="83"/>
        </w:rPr>
        <w:t>前</w:t>
      </w:r>
      <w:r>
        <w:rPr>
          <w:rFonts w:ascii="SimHei" w:eastAsia="SimHei" w:hAnsi="SimHei" w:cs="SimHei"/>
          <w:color w:val="132D76"/>
          <w:spacing w:val="-111"/>
          <w:sz w:val="83"/>
          <w:szCs w:val="83"/>
        </w:rPr>
        <w:t xml:space="preserve"> </w:t>
      </w:r>
      <w:r>
        <w:rPr>
          <w:rFonts w:ascii="SimHei" w:eastAsia="SimHei" w:hAnsi="SimHei" w:cs="SimHei"/>
          <w:b/>
          <w:bCs/>
          <w:color w:val="132D76"/>
          <w:spacing w:val="-25"/>
          <w:sz w:val="83"/>
          <w:szCs w:val="83"/>
        </w:rPr>
        <w:t>言</w:t>
      </w: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spacing w:before="81" w:line="221" w:lineRule="auto"/>
        <w:ind w:left="3343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8"/>
          <w:sz w:val="25"/>
          <w:szCs w:val="25"/>
        </w:rPr>
        <w:t>研</w:t>
      </w:r>
      <w:r>
        <w:rPr>
          <w:rFonts w:ascii="SimHei" w:eastAsia="SimHei" w:hAnsi="SimHei" w:cs="SimHei"/>
          <w:spacing w:val="84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8"/>
          <w:sz w:val="25"/>
          <w:szCs w:val="25"/>
        </w:rPr>
        <w:t>究</w:t>
      </w:r>
      <w:r>
        <w:rPr>
          <w:rFonts w:ascii="SimHei" w:eastAsia="SimHei" w:hAnsi="SimHei" w:cs="SimHei"/>
          <w:spacing w:val="89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8"/>
          <w:sz w:val="25"/>
          <w:szCs w:val="25"/>
        </w:rPr>
        <w:t>方</w:t>
      </w:r>
      <w:r>
        <w:rPr>
          <w:rFonts w:ascii="SimHei" w:eastAsia="SimHei" w:hAnsi="SimHei" w:cs="SimHei"/>
          <w:spacing w:val="87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8"/>
          <w:sz w:val="25"/>
          <w:szCs w:val="25"/>
        </w:rPr>
        <w:t>法</w:t>
      </w:r>
    </w:p>
    <w:p>
      <w:pPr>
        <w:pStyle w:val="BodyText"/>
        <w:spacing w:line="426" w:lineRule="auto"/>
      </w:pPr>
    </w:p>
    <w:p>
      <w:pPr>
        <w:spacing w:before="82" w:line="425" w:lineRule="auto"/>
        <w:ind w:left="3253" w:right="197"/>
        <w:jc w:val="both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11"/>
          <w:sz w:val="25"/>
          <w:szCs w:val="25"/>
        </w:rPr>
        <w:t>本报告以百分点舆情洞察系统的数据为基础，运用案头研究和交叉学科研究两</w:t>
      </w:r>
      <w:r>
        <w:rPr>
          <w:rFonts w:ascii="SimHei" w:eastAsia="SimHei" w:hAnsi="SimHei" w:cs="SimHei"/>
          <w:spacing w:val="18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10"/>
          <w:sz w:val="25"/>
          <w:szCs w:val="25"/>
        </w:rPr>
        <w:t>种方法，结合百分点科技长期服务政企客户积累的丰富行业知识，为相关领域</w:t>
      </w:r>
    </w:p>
    <w:p>
      <w:pPr>
        <w:spacing w:line="221" w:lineRule="auto"/>
        <w:ind w:left="3253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13"/>
          <w:sz w:val="25"/>
          <w:szCs w:val="25"/>
        </w:rPr>
        <w:t>用户提供行业分析参考。</w:t>
      </w:r>
    </w:p>
    <w:p>
      <w:pPr>
        <w:pStyle w:val="BodyText"/>
        <w:spacing w:line="342" w:lineRule="auto"/>
      </w:pPr>
    </w:p>
    <w:p>
      <w:pPr>
        <w:pStyle w:val="BodyText"/>
        <w:spacing w:line="343" w:lineRule="auto"/>
      </w:pPr>
    </w:p>
    <w:p>
      <w:pPr>
        <w:spacing w:before="82" w:line="222" w:lineRule="auto"/>
        <w:ind w:left="3343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color w:val="006FB9"/>
          <w:spacing w:val="26"/>
          <w:sz w:val="25"/>
          <w:szCs w:val="25"/>
        </w:rPr>
        <w:t>全媒体信息覆盖</w:t>
      </w:r>
    </w:p>
    <w:p>
      <w:pPr>
        <w:pStyle w:val="BodyText"/>
        <w:spacing w:line="313" w:lineRule="auto"/>
      </w:pPr>
    </w:p>
    <w:p>
      <w:pPr>
        <w:pStyle w:val="BodyText"/>
        <w:spacing w:before="81" w:line="425" w:lineRule="auto"/>
        <w:ind w:left="3523" w:hanging="270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11"/>
          <w:sz w:val="25"/>
          <w:szCs w:val="25"/>
        </w:rPr>
        <w:t>◆百分点舆情洞察系统覆盖新舆情环境下的全媒体信息，包括新闻资讯、报刊、</w:t>
      </w:r>
      <w:r>
        <w:rPr>
          <w:rFonts w:ascii="SimHei" w:eastAsia="SimHei" w:hAnsi="SimHei" w:cs="SimHei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11"/>
          <w:sz w:val="25"/>
          <w:szCs w:val="25"/>
        </w:rPr>
        <w:t>自媒体、微博、微信、问答、视频、评论等十多项信源渠道，横跨</w:t>
      </w:r>
      <w:r>
        <w:rPr>
          <w:spacing w:val="-11"/>
          <w:sz w:val="25"/>
          <w:szCs w:val="25"/>
        </w:rPr>
        <w:t>PC</w:t>
      </w:r>
      <w:r>
        <w:rPr>
          <w:rFonts w:ascii="SimHei" w:eastAsia="SimHei" w:hAnsi="SimHei" w:cs="SimHei"/>
          <w:spacing w:val="-11"/>
          <w:sz w:val="25"/>
          <w:szCs w:val="25"/>
        </w:rPr>
        <w:t>及移动</w:t>
      </w:r>
    </w:p>
    <w:p>
      <w:pPr>
        <w:spacing w:before="1" w:line="220" w:lineRule="auto"/>
        <w:ind w:left="3523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10"/>
          <w:sz w:val="25"/>
          <w:szCs w:val="25"/>
        </w:rPr>
        <w:t>端、境内外240多万个信源点。</w:t>
      </w:r>
    </w:p>
    <w:p>
      <w:pPr>
        <w:pStyle w:val="BodyText"/>
        <w:spacing w:line="374" w:lineRule="auto"/>
      </w:pPr>
    </w:p>
    <w:p>
      <w:pPr>
        <w:spacing w:before="82" w:line="222" w:lineRule="auto"/>
        <w:ind w:left="3346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b/>
          <w:bCs/>
          <w:color w:val="006FB9"/>
          <w:spacing w:val="24"/>
          <w:sz w:val="25"/>
          <w:szCs w:val="25"/>
        </w:rPr>
        <w:t>智能精准分析</w:t>
      </w:r>
    </w:p>
    <w:p>
      <w:pPr>
        <w:pStyle w:val="BodyText"/>
        <w:spacing w:line="308" w:lineRule="auto"/>
      </w:pPr>
    </w:p>
    <w:p>
      <w:pPr>
        <w:spacing w:before="82" w:line="421" w:lineRule="auto"/>
        <w:ind w:left="3523" w:right="190" w:hanging="270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10"/>
          <w:sz w:val="25"/>
          <w:szCs w:val="25"/>
        </w:rPr>
        <w:t>◆深度探索人工智能在自然语言处理方面的应用，包括机器智能负面判断、重</w:t>
      </w:r>
      <w:r>
        <w:rPr>
          <w:rFonts w:ascii="SimHei" w:eastAsia="SimHei" w:hAnsi="SimHei" w:cs="SimHei"/>
          <w:spacing w:val="13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11"/>
          <w:sz w:val="25"/>
          <w:szCs w:val="25"/>
        </w:rPr>
        <w:t>点信息智能排序，结合行业细分特点和用户日常使用习惯，智能调整负面信</w:t>
      </w:r>
    </w:p>
    <w:p>
      <w:pPr>
        <w:spacing w:before="1" w:line="212" w:lineRule="auto"/>
        <w:ind w:left="3523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11"/>
          <w:sz w:val="25"/>
          <w:szCs w:val="25"/>
        </w:rPr>
        <w:t>息、重点信息定义，实现更智能的舆情分析</w:t>
      </w:r>
      <w:r>
        <w:rPr>
          <w:rFonts w:ascii="SimHei" w:eastAsia="SimHei" w:hAnsi="SimHei" w:cs="SimHei"/>
          <w:spacing w:val="-12"/>
          <w:sz w:val="25"/>
          <w:szCs w:val="25"/>
        </w:rPr>
        <w:t>效果。</w:t>
      </w:r>
    </w:p>
    <w:p>
      <w:pPr>
        <w:pStyle w:val="BodyText"/>
        <w:spacing w:line="444" w:lineRule="auto"/>
      </w:pPr>
    </w:p>
    <w:p>
      <w:pPr>
        <w:spacing w:before="82" w:line="221" w:lineRule="auto"/>
        <w:ind w:left="3346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b/>
          <w:bCs/>
          <w:color w:val="006FB9"/>
          <w:spacing w:val="17"/>
          <w:sz w:val="25"/>
          <w:szCs w:val="25"/>
        </w:rPr>
        <w:t>专业舆情服务</w:t>
      </w:r>
    </w:p>
    <w:p>
      <w:pPr>
        <w:pStyle w:val="BodyText"/>
        <w:spacing w:line="310" w:lineRule="auto"/>
        <w:sectPr>
          <w:headerReference w:type="default" r:id="rId7"/>
          <w:pgSz w:w="12290" w:h="16530"/>
          <w:pgMar w:top="400" w:right="344" w:bottom="0" w:left="326" w:header="0" w:footer="0" w:gutter="0"/>
          <w:pgNumType w:start="3"/>
          <w:cols w:space="708"/>
        </w:sectPr>
      </w:pPr>
    </w:p>
    <w:p>
      <w:pPr>
        <w:spacing w:before="81" w:line="421" w:lineRule="auto"/>
        <w:ind w:left="3523" w:right="193" w:hanging="270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10"/>
          <w:sz w:val="25"/>
          <w:szCs w:val="25"/>
        </w:rPr>
        <w:t>◆百分点舆情团队拥有数十位资深舆情分析专家，为跨行业、跨领域的客户提</w:t>
      </w:r>
      <w:r>
        <w:rPr>
          <w:rFonts w:ascii="SimHei" w:eastAsia="SimHei" w:hAnsi="SimHei" w:cs="SimHei"/>
          <w:spacing w:val="8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11"/>
          <w:sz w:val="25"/>
          <w:szCs w:val="25"/>
        </w:rPr>
        <w:t>供深度报告定制、事件分析、舆情处置方案建议等专业舆情服务，凭借深度</w:t>
      </w:r>
    </w:p>
    <w:p>
      <w:pPr>
        <w:spacing w:before="2" w:line="212" w:lineRule="auto"/>
        <w:ind w:left="3523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12"/>
          <w:sz w:val="25"/>
          <w:szCs w:val="25"/>
        </w:rPr>
        <w:t>解读视角和资深服务经验，提供无忧舆情服务体验。</w:t>
      </w:r>
    </w:p>
    <w:p>
      <w:pPr>
        <w:spacing w:line="212" w:lineRule="auto"/>
        <w:rPr>
          <w:rFonts w:ascii="SimHei" w:eastAsia="SimHei" w:hAnsi="SimHei" w:cs="SimHei"/>
          <w:sz w:val="25"/>
          <w:szCs w:val="25"/>
        </w:rPr>
        <w:sectPr>
          <w:headerReference w:type="default" r:id="rId8"/>
          <w:type w:val="nextPage"/>
          <w:pgSz w:w="12290" w:h="16530"/>
          <w:pgMar w:top="400" w:right="344" w:bottom="0" w:left="326" w:header="0" w:footer="0" w:gutter="0"/>
          <w:pgNumType w:start="4"/>
          <w:cols w:space="708"/>
          <w:titlePg w:val="0"/>
        </w:sectPr>
      </w:pPr>
    </w:p>
    <w:p>
      <w:pPr>
        <w:spacing w:before="138"/>
      </w:pPr>
      <w: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-3002315</wp:posOffset>
                </wp:positionH>
                <wp:positionV relativeFrom="page">
                  <wp:posOffset>3576196</wp:posOffset>
                </wp:positionV>
                <wp:extent cx="7698740" cy="2654300"/>
                <wp:effectExtent l="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-3002315" y="3576196"/>
                          <a:ext cx="7698740" cy="26543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980" w:line="184" w:lineRule="auto"/>
                              <w:jc w:val="right"/>
                              <w:rPr>
                                <w:rFonts w:ascii="SimHei" w:eastAsia="SimHei" w:hAnsi="SimHei" w:cs="SimHei"/>
                                <w:sz w:val="319"/>
                                <w:szCs w:val="319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FFFFFF"/>
                                <w:spacing w:val="-85"/>
                                <w:sz w:val="319"/>
                                <w:szCs w:val="319"/>
                              </w:rPr>
                              <w:t>Contents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6" o:spid="_x0000_s1026" type="#_x0000_t202" style="width:606.2pt;height:209pt;margin-top:281.59pt;margin-left:-236.4pt;mso-position-horizontal-relative:page;mso-position-vertical-relative:page;mso-wrap-distance-bottom:0;mso-wrap-distance-left:0;mso-wrap-distance-right:0;mso-wrap-distance-top:0;position:absolute;rotation:90;v-text-anchor:top;z-index:251661312" o:allowincell="f" filled="f" fillcolor="this" stroked="f">
                <v:textbox inset="0,0,0,0">
                  <w:txbxContent>
                    <w:p>
                      <w:pPr>
                        <w:spacing w:before="980" w:line="184" w:lineRule="auto"/>
                        <w:jc w:val="right"/>
                        <w:rPr>
                          <w:rFonts w:ascii="SimHei" w:eastAsia="SimHei" w:hAnsi="SimHei" w:cs="SimHei"/>
                          <w:sz w:val="319"/>
                          <w:szCs w:val="319"/>
                        </w:rPr>
                      </w:pPr>
                      <w:r>
                        <w:rPr>
                          <w:rFonts w:ascii="SimHei" w:eastAsia="SimHei" w:hAnsi="SimHei" w:cs="SimHei"/>
                          <w:color w:val="FFFFFF"/>
                          <w:spacing w:val="-85"/>
                          <w:sz w:val="319"/>
                          <w:szCs w:val="319"/>
                        </w:rPr>
                        <w:t>Contents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headerReference w:type="default" r:id="rId9"/>
          <w:pgSz w:w="12290" w:h="16530"/>
          <w:pgMar w:top="400" w:right="0" w:bottom="0" w:left="0" w:header="0" w:footer="0" w:gutter="0"/>
          <w:pgNumType w:start="5"/>
          <w:cols w:num="1" w:space="708" w:equalWidth="0">
            <w:col w:w="12290" w:space="0"/>
          </w:cols>
        </w:sectPr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438" w:line="184" w:lineRule="auto"/>
        <w:ind w:left="3649"/>
        <w:rPr>
          <w:rFonts w:ascii="SimSun" w:eastAsia="SimSun" w:hAnsi="SimSun" w:cs="SimSun"/>
          <w:sz w:val="135"/>
          <w:szCs w:val="135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-2680255</wp:posOffset>
            </wp:positionV>
            <wp:extent cx="7804150" cy="104965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04150" cy="10496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color w:val="2B3F76"/>
          <w:spacing w:val="-31"/>
          <w:sz w:val="135"/>
          <w:szCs w:val="135"/>
        </w:rPr>
        <w:t>01</w:t>
      </w: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438" w:line="183" w:lineRule="auto"/>
        <w:ind w:left="3649"/>
        <w:rPr>
          <w:rFonts w:ascii="SimSun" w:eastAsia="SimSun" w:hAnsi="SimSun" w:cs="SimSun"/>
          <w:sz w:val="135"/>
          <w:szCs w:val="135"/>
        </w:rPr>
      </w:pPr>
      <w:r>
        <w:rPr>
          <w:rFonts w:ascii="SimSun" w:eastAsia="SimSun" w:hAnsi="SimSun" w:cs="SimSun"/>
          <w:b/>
          <w:bCs/>
          <w:color w:val="2B3F76"/>
          <w:spacing w:val="-31"/>
          <w:sz w:val="135"/>
          <w:szCs w:val="135"/>
        </w:rPr>
        <w:t>02</w:t>
      </w:r>
    </w:p>
    <w:p>
      <w:pPr>
        <w:pStyle w:val="BodyText"/>
        <w:spacing w:line="242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spacing w:before="439" w:line="183" w:lineRule="auto"/>
        <w:ind w:left="3649"/>
        <w:rPr>
          <w:rFonts w:ascii="SimSun" w:eastAsia="SimSun" w:hAnsi="SimSun" w:cs="SimSun"/>
          <w:sz w:val="135"/>
          <w:szCs w:val="135"/>
        </w:rPr>
      </w:pPr>
      <w:r>
        <w:rPr>
          <w:rFonts w:ascii="SimSun" w:eastAsia="SimSun" w:hAnsi="SimSun" w:cs="SimSun"/>
          <w:b/>
          <w:bCs/>
          <w:color w:val="2B3F76"/>
          <w:spacing w:val="-31"/>
          <w:sz w:val="135"/>
          <w:szCs w:val="135"/>
        </w:rPr>
        <w:t>03</w:t>
      </w: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spacing w:line="1400" w:lineRule="exact"/>
        <w:ind w:firstLine="3609"/>
      </w:pPr>
      <w:r>
        <w:rPr>
          <w:position w:val="-27"/>
        </w:rPr>
        <w:drawing>
          <wp:inline distT="0" distB="0" distL="0" distR="0">
            <wp:extent cx="1333572" cy="888952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72" cy="88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  <w:sectPr>
          <w:headerReference w:type="default" r:id="rId12"/>
          <w:type w:val="continuous"/>
          <w:pgSz w:w="12290" w:h="16530"/>
          <w:pgMar w:top="400" w:right="0" w:bottom="0" w:left="0" w:header="0" w:footer="0" w:gutter="0"/>
          <w:pgNumType w:start="6"/>
          <w:cols w:num="2" w:space="708" w:equalWidth="0">
            <w:col w:w="6051" w:space="100"/>
            <w:col w:w="6140" w:space="0"/>
          </w:cols>
        </w:sectPr>
      </w:pPr>
      <w:r>
        <w:rPr>
          <w:sz w:val="2"/>
          <w:szCs w:val="2"/>
        </w:rPr>
        <w:br w:type="column"/>
      </w:r>
    </w:p>
    <w:p>
      <w:pPr>
        <w:spacing w:before="184" w:line="222" w:lineRule="auto"/>
        <w:ind w:left="3921"/>
        <w:rPr>
          <w:rFonts w:ascii="SimHei" w:eastAsia="SimHei" w:hAnsi="SimHei" w:cs="SimHei"/>
          <w:sz w:val="81"/>
          <w:szCs w:val="81"/>
        </w:rPr>
      </w:pPr>
      <w:r>
        <w:rPr>
          <w:rFonts w:ascii="SimHei" w:eastAsia="SimHei" w:hAnsi="SimHei" w:cs="SimHei"/>
          <w:b/>
          <w:bCs/>
          <w:color w:val="132D76"/>
          <w:spacing w:val="-75"/>
          <w:sz w:val="81"/>
          <w:szCs w:val="81"/>
        </w:rPr>
        <w:t>目</w:t>
      </w:r>
      <w:r>
        <w:rPr>
          <w:rFonts w:ascii="SimHei" w:eastAsia="SimHei" w:hAnsi="SimHei" w:cs="SimHei"/>
          <w:color w:val="132D76"/>
          <w:spacing w:val="-86"/>
          <w:sz w:val="81"/>
          <w:szCs w:val="81"/>
        </w:rPr>
        <w:t xml:space="preserve"> </w:t>
      </w:r>
      <w:r>
        <w:rPr>
          <w:rFonts w:ascii="SimHei" w:eastAsia="SimHei" w:hAnsi="SimHei" w:cs="SimHei"/>
          <w:b/>
          <w:bCs/>
          <w:color w:val="132D76"/>
          <w:spacing w:val="-75"/>
          <w:sz w:val="81"/>
          <w:szCs w:val="81"/>
        </w:rPr>
        <w:t>录</w: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before="179" w:line="222" w:lineRule="auto"/>
        <w:ind w:left="147"/>
        <w:rPr>
          <w:rFonts w:ascii="SimHei" w:eastAsia="SimHei" w:hAnsi="SimHei" w:cs="SimHei"/>
          <w:sz w:val="55"/>
          <w:szCs w:val="55"/>
        </w:rPr>
      </w:pPr>
      <w:r>
        <w:rPr>
          <w:rFonts w:ascii="SimHei" w:eastAsia="SimHei" w:hAnsi="SimHei" w:cs="SimHei"/>
          <w:b/>
          <w:bCs/>
          <w:spacing w:val="7"/>
          <w:sz w:val="55"/>
          <w:szCs w:val="55"/>
        </w:rPr>
        <w:t>政策与监管动态</w:t>
      </w:r>
    </w:p>
    <w:p>
      <w:pPr>
        <w:spacing w:before="205" w:line="222" w:lineRule="auto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21"/>
          <w:sz w:val="22"/>
          <w:szCs w:val="22"/>
        </w:rPr>
        <w:t>·</w:t>
      </w:r>
      <w:r>
        <w:rPr>
          <w:rFonts w:ascii="SimHei" w:eastAsia="SimHei" w:hAnsi="SimHei" w:cs="SimHei"/>
          <w:spacing w:val="35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21"/>
          <w:sz w:val="22"/>
          <w:szCs w:val="22"/>
        </w:rPr>
        <w:t>宏观政策</w:t>
      </w:r>
    </w:p>
    <w:p>
      <w:pPr>
        <w:spacing w:before="135" w:line="221" w:lineRule="auto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20"/>
          <w:sz w:val="22"/>
          <w:szCs w:val="22"/>
        </w:rPr>
        <w:t>·</w:t>
      </w:r>
      <w:r>
        <w:rPr>
          <w:rFonts w:ascii="SimHei" w:eastAsia="SimHei" w:hAnsi="SimHei" w:cs="SimHei"/>
          <w:spacing w:val="32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20"/>
          <w:sz w:val="22"/>
          <w:szCs w:val="22"/>
        </w:rPr>
        <w:t>地方政策</w:t>
      </w: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1" w:lineRule="auto"/>
      </w:pPr>
    </w:p>
    <w:p>
      <w:pPr>
        <w:pStyle w:val="BodyText"/>
        <w:spacing w:line="261" w:lineRule="auto"/>
      </w:pPr>
    </w:p>
    <w:p>
      <w:pPr>
        <w:spacing w:before="178" w:line="221" w:lineRule="auto"/>
        <w:ind w:left="139"/>
        <w:rPr>
          <w:rFonts w:ascii="SimHei" w:eastAsia="SimHei" w:hAnsi="SimHei" w:cs="SimHei"/>
          <w:sz w:val="55"/>
          <w:szCs w:val="55"/>
        </w:rPr>
      </w:pPr>
      <w:r>
        <w:rPr>
          <w:rFonts w:ascii="SimHei" w:eastAsia="SimHei" w:hAnsi="SimHei" w:cs="SimHei"/>
          <w:spacing w:val="17"/>
          <w:sz w:val="55"/>
          <w:szCs w:val="55"/>
        </w:rPr>
        <w:t>新车上市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spacing w:before="180" w:line="221" w:lineRule="auto"/>
        <w:ind w:left="147"/>
        <w:rPr>
          <w:rFonts w:ascii="SimHei" w:eastAsia="SimHei" w:hAnsi="SimHei" w:cs="SimHei"/>
          <w:sz w:val="55"/>
          <w:szCs w:val="55"/>
        </w:rPr>
      </w:pPr>
      <w:r>
        <w:rPr>
          <w:rFonts w:ascii="SimHei" w:eastAsia="SimHei" w:hAnsi="SimHei" w:cs="SimHei"/>
          <w:b/>
          <w:bCs/>
          <w:spacing w:val="3"/>
          <w:sz w:val="55"/>
          <w:szCs w:val="55"/>
        </w:rPr>
        <w:t>汽车行业热点舆情</w:t>
      </w:r>
    </w:p>
    <w:p>
      <w:pPr>
        <w:pStyle w:val="BodyText"/>
        <w:spacing w:line="275" w:lineRule="auto"/>
      </w:pPr>
    </w:p>
    <w:p>
      <w:pPr>
        <w:spacing w:before="72" w:line="221" w:lineRule="auto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5"/>
          <w:sz w:val="22"/>
          <w:szCs w:val="22"/>
        </w:rPr>
        <w:t>·</w:t>
      </w:r>
      <w:r>
        <w:rPr>
          <w:rFonts w:ascii="SimHei" w:eastAsia="SimHei" w:hAnsi="SimHei" w:cs="SimHei"/>
          <w:spacing w:val="63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5"/>
          <w:sz w:val="22"/>
          <w:szCs w:val="22"/>
        </w:rPr>
        <w:t>欧盟对中国电动汽车发起反补贴调查</w:t>
      </w:r>
    </w:p>
    <w:p>
      <w:pPr>
        <w:pStyle w:val="BodyText"/>
        <w:spacing w:before="117" w:line="213" w:lineRule="auto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5"/>
          <w:sz w:val="22"/>
          <w:szCs w:val="22"/>
        </w:rPr>
        <w:t>·</w:t>
      </w:r>
      <w:r>
        <w:rPr>
          <w:rFonts w:ascii="SimHei" w:eastAsia="SimHei" w:hAnsi="SimHei" w:cs="SimHei"/>
          <w:spacing w:val="56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5"/>
          <w:sz w:val="22"/>
          <w:szCs w:val="22"/>
        </w:rPr>
        <w:t>问界新</w:t>
      </w:r>
      <w:r>
        <w:rPr>
          <w:spacing w:val="-5"/>
          <w:sz w:val="22"/>
          <w:szCs w:val="22"/>
        </w:rPr>
        <w:t>M7</w:t>
      </w:r>
      <w:r>
        <w:rPr>
          <w:rFonts w:ascii="SimHei" w:eastAsia="SimHei" w:hAnsi="SimHei" w:cs="SimHei"/>
          <w:spacing w:val="-5"/>
          <w:sz w:val="22"/>
          <w:szCs w:val="22"/>
        </w:rPr>
        <w:t>大定数量超预期，华为赋能延续品牌势能</w:t>
      </w:r>
    </w:p>
    <w:p>
      <w:pPr>
        <w:spacing w:before="156" w:line="222" w:lineRule="auto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2"/>
          <w:sz w:val="22"/>
          <w:szCs w:val="22"/>
        </w:rPr>
        <w:t>·</w:t>
      </w:r>
      <w:r>
        <w:rPr>
          <w:rFonts w:ascii="SimHei" w:eastAsia="SimHei" w:hAnsi="SimHei" w:cs="SimHei"/>
          <w:spacing w:val="48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2"/>
          <w:sz w:val="22"/>
          <w:szCs w:val="22"/>
        </w:rPr>
        <w:t>特斯拉业绩“换挡降速”,关注度有所下滑</w:t>
      </w:r>
    </w:p>
    <w:p>
      <w:pPr>
        <w:spacing w:before="136" w:line="390" w:lineRule="exact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"/>
          <w:position w:val="12"/>
          <w:sz w:val="22"/>
          <w:szCs w:val="22"/>
        </w:rPr>
        <w:t>·</w:t>
      </w:r>
      <w:r>
        <w:rPr>
          <w:rFonts w:ascii="SimHei" w:eastAsia="SimHei" w:hAnsi="SimHei" w:cs="SimHei"/>
          <w:spacing w:val="55"/>
          <w:position w:val="12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"/>
          <w:position w:val="12"/>
          <w:sz w:val="22"/>
          <w:szCs w:val="22"/>
        </w:rPr>
        <w:t>比亚迪携五款车型及核心技术亮相2023东京车展</w:t>
      </w:r>
    </w:p>
    <w:p>
      <w:pPr>
        <w:spacing w:before="1" w:line="212" w:lineRule="auto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"/>
          <w:sz w:val="22"/>
          <w:szCs w:val="22"/>
        </w:rPr>
        <w:t>·</w:t>
      </w:r>
      <w:r>
        <w:rPr>
          <w:rFonts w:ascii="SimHei" w:eastAsia="SimHei" w:hAnsi="SimHei" w:cs="SimHei"/>
          <w:spacing w:val="-1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"/>
          <w:sz w:val="22"/>
          <w:szCs w:val="22"/>
        </w:rPr>
        <w:t>丰田4</w:t>
      </w:r>
      <w:r>
        <w:rPr>
          <w:rFonts w:ascii="SimSun" w:eastAsia="SimSun" w:hAnsi="SimSun" w:cs="SimSun"/>
          <w:spacing w:val="-1"/>
          <w:sz w:val="22"/>
          <w:szCs w:val="22"/>
        </w:rPr>
        <w:t>S</w:t>
      </w:r>
      <w:r>
        <w:rPr>
          <w:rFonts w:ascii="SimHei" w:eastAsia="SimHei" w:hAnsi="SimHei" w:cs="SimHei"/>
          <w:spacing w:val="-1"/>
          <w:sz w:val="22"/>
          <w:szCs w:val="22"/>
        </w:rPr>
        <w:t>店员工辱骂顾客引众怒，丰田品牌形象受损</w: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spacing w:before="179" w:line="222" w:lineRule="auto"/>
        <w:ind w:left="147"/>
        <w:rPr>
          <w:rFonts w:ascii="SimHei" w:eastAsia="SimHei" w:hAnsi="SimHei" w:cs="SimHei"/>
          <w:sz w:val="55"/>
          <w:szCs w:val="55"/>
        </w:rPr>
      </w:pPr>
      <w:r>
        <w:rPr>
          <w:rFonts w:ascii="SimHei" w:eastAsia="SimHei" w:hAnsi="SimHei" w:cs="SimHei"/>
          <w:b/>
          <w:bCs/>
          <w:spacing w:val="3"/>
          <w:sz w:val="55"/>
          <w:szCs w:val="55"/>
        </w:rPr>
        <w:t>分析师观察</w:t>
      </w:r>
    </w:p>
    <w:p>
      <w:pPr>
        <w:spacing w:line="222" w:lineRule="auto"/>
        <w:rPr>
          <w:rFonts w:ascii="SimHei" w:eastAsia="SimHei" w:hAnsi="SimHei" w:cs="SimHei"/>
          <w:sz w:val="55"/>
          <w:szCs w:val="55"/>
        </w:rPr>
        <w:sectPr>
          <w:headerReference w:type="default" r:id="rId13"/>
          <w:type w:val="nextPage"/>
          <w:pgSz w:w="12290" w:h="16530"/>
          <w:pgMar w:top="400" w:right="0" w:bottom="0" w:left="0" w:header="0" w:footer="0" w:gutter="0"/>
          <w:pgNumType w:start="7"/>
          <w:cols w:num="2" w:space="708" w:equalWidth="0">
            <w:col w:w="6051" w:space="100"/>
            <w:col w:w="6140" w:space="0"/>
          </w:cols>
          <w:titlePg w:val="0"/>
        </w:sectPr>
      </w:pPr>
    </w:p>
    <w:p>
      <w:pPr>
        <w:pStyle w:val="BodyText"/>
        <w:spacing w:line="249" w:lineRule="auto"/>
      </w:pP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1282690</wp:posOffset>
            </wp:positionH>
            <wp:positionV relativeFrom="page">
              <wp:posOffset>2076428</wp:posOffset>
            </wp:positionV>
            <wp:extent cx="2019323" cy="2197137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19323" cy="2197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spacing w:before="163" w:line="222" w:lineRule="auto"/>
        <w:ind w:left="5847"/>
        <w:rPr>
          <w:rFonts w:ascii="SimHei" w:eastAsia="SimHei" w:hAnsi="SimHei" w:cs="SimHei"/>
          <w:sz w:val="50"/>
          <w:szCs w:val="50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-2646839</wp:posOffset>
            </wp:positionV>
            <wp:extent cx="7804150" cy="104965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04150" cy="10496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spacing w:val="-18"/>
          <w:sz w:val="50"/>
          <w:szCs w:val="50"/>
        </w:rPr>
        <w:t>政</w:t>
      </w:r>
      <w:r>
        <w:rPr>
          <w:rFonts w:ascii="SimHei" w:eastAsia="SimHei" w:hAnsi="SimHei" w:cs="SimHei"/>
          <w:spacing w:val="-18"/>
          <w:sz w:val="50"/>
          <w:szCs w:val="50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50"/>
          <w:szCs w:val="50"/>
        </w:rPr>
        <w:t>策</w:t>
      </w:r>
      <w:r>
        <w:rPr>
          <w:rFonts w:ascii="SimHei" w:eastAsia="SimHei" w:hAnsi="SimHei" w:cs="SimHei"/>
          <w:spacing w:val="31"/>
          <w:sz w:val="50"/>
          <w:szCs w:val="50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50"/>
          <w:szCs w:val="50"/>
        </w:rPr>
        <w:t>与</w:t>
      </w:r>
      <w:r>
        <w:rPr>
          <w:rFonts w:ascii="SimHei" w:eastAsia="SimHei" w:hAnsi="SimHei" w:cs="SimHei"/>
          <w:spacing w:val="-18"/>
          <w:sz w:val="50"/>
          <w:szCs w:val="50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50"/>
          <w:szCs w:val="50"/>
        </w:rPr>
        <w:t>监</w:t>
      </w:r>
      <w:r>
        <w:rPr>
          <w:rFonts w:ascii="SimHei" w:eastAsia="SimHei" w:hAnsi="SimHei" w:cs="SimHei"/>
          <w:spacing w:val="12"/>
          <w:sz w:val="50"/>
          <w:szCs w:val="50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50"/>
          <w:szCs w:val="50"/>
        </w:rPr>
        <w:t>管</w:t>
      </w:r>
      <w:r>
        <w:rPr>
          <w:rFonts w:ascii="SimHei" w:eastAsia="SimHei" w:hAnsi="SimHei" w:cs="SimHei"/>
          <w:spacing w:val="11"/>
          <w:sz w:val="50"/>
          <w:szCs w:val="50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50"/>
          <w:szCs w:val="50"/>
        </w:rPr>
        <w:t>动</w:t>
      </w:r>
      <w:r>
        <w:rPr>
          <w:rFonts w:ascii="SimHei" w:eastAsia="SimHei" w:hAnsi="SimHei" w:cs="SimHei"/>
          <w:spacing w:val="12"/>
          <w:sz w:val="50"/>
          <w:szCs w:val="50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50"/>
          <w:szCs w:val="50"/>
        </w:rPr>
        <w:t>态</w:t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https://d.book118.com/426233011001010032</w:t>
        </w:r>
      </w:hyperlink>
    </w:p>
    <w:p>
      <w:pPr>
        <w:pStyle w:val="BodyText"/>
        <w:spacing w:line="244" w:lineRule="auto"/>
      </w:pPr>
    </w:p>
    <w:sectPr>
      <w:headerReference w:type="default" r:id="rId17"/>
      <w:pgSz w:w="12290" w:h="16530"/>
      <w:pgMar w:top="400" w:right="0" w:bottom="0" w:left="0" w:header="0" w:footer="0" w:gutter="0"/>
      <w:pgNumType w:start="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6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image" Target="media/image3.jpeg" /><Relationship Id="rId12" Type="http://schemas.openxmlformats.org/officeDocument/2006/relationships/header" Target="header6.xml" /><Relationship Id="rId13" Type="http://schemas.openxmlformats.org/officeDocument/2006/relationships/header" Target="header7.xml" /><Relationship Id="rId14" Type="http://schemas.openxmlformats.org/officeDocument/2006/relationships/image" Target="media/image4.jpeg" /><Relationship Id="rId15" Type="http://schemas.openxmlformats.org/officeDocument/2006/relationships/image" Target="media/image5.jpeg" /><Relationship Id="rId16" Type="http://schemas.openxmlformats.org/officeDocument/2006/relationships/hyperlink" Target="https://d.book118.com/426233011001010032" TargetMode="External" /><Relationship Id="rId17" Type="http://schemas.openxmlformats.org/officeDocument/2006/relationships/header" Target="header8.xm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2024-01-06T21:06:36Z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2024-01-06T21:06:41Z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659950574d394d001f059dbewl</vt:lpwstr>
  </property>
</Properties>
</file>