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snapToGrid w:val="0"/>
        <w:spacing w:before="0" w:after="0"/>
        <w:ind w:left="-420" w:leftChars="-200"/>
        <w:rPr>
          <w:rFonts w:ascii="Times New Roman" w:hAnsi="Times New Roman"/>
        </w:rPr>
      </w:pPr>
      <w:r>
        <w:rPr>
          <w:rFonts w:ascii="Times New Roman" w:hAnsi="Times New Roman" w:hint="eastAsia"/>
          <w:lang w:eastAsia="zh-CN"/>
        </w:rPr>
        <w:t>一、</w:t>
      </w:r>
      <w:r>
        <w:rPr>
          <w:rFonts w:ascii="Times New Roman" w:hAnsi="Times New Roman"/>
        </w:rPr>
        <w:t>建设项目基本情况</w:t>
      </w: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77"/>
        <w:gridCol w:w="1900"/>
        <w:gridCol w:w="38"/>
        <w:gridCol w:w="1235"/>
        <w:gridCol w:w="1390"/>
        <w:gridCol w:w="308"/>
        <w:gridCol w:w="1698"/>
        <w:gridCol w:w="1493"/>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02"/>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项目名称</w:t>
            </w:r>
          </w:p>
        </w:tc>
        <w:tc>
          <w:tcPr>
            <w:tcW w:w="8062" w:type="dxa"/>
            <w:gridSpan w:val="7"/>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rFonts w:hint="eastAsia"/>
                <w:sz w:val="24"/>
              </w:rPr>
              <w:t>超声波指纹识别模组建设项目</w:t>
            </w:r>
          </w:p>
        </w:tc>
      </w:tr>
      <w:tr>
        <w:tblPrEx>
          <w:tblW w:w="9639" w:type="dxa"/>
          <w:jc w:val="center"/>
          <w:tblLayout w:type="fixed"/>
          <w:tblCellMar>
            <w:top w:w="0" w:type="dxa"/>
            <w:left w:w="108" w:type="dxa"/>
            <w:bottom w:w="0" w:type="dxa"/>
            <w:right w:w="108" w:type="dxa"/>
          </w:tblCellMar>
          <w:tblLook w:val="0000"/>
        </w:tblPrEx>
        <w:trPr>
          <w:trHeight w:val="503"/>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建设单位</w:t>
            </w:r>
          </w:p>
        </w:tc>
        <w:tc>
          <w:tcPr>
            <w:tcW w:w="8062" w:type="dxa"/>
            <w:gridSpan w:val="7"/>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sz w:val="24"/>
                <w:u w:val="single"/>
              </w:rPr>
            </w:pPr>
            <w:r>
              <w:rPr>
                <w:rFonts w:hint="eastAsia"/>
                <w:sz w:val="24"/>
              </w:rPr>
              <w:t>南昌欧菲生物识别技术有限公司</w:t>
            </w:r>
          </w:p>
        </w:tc>
      </w:tr>
      <w:tr>
        <w:tblPrEx>
          <w:tblW w:w="9639" w:type="dxa"/>
          <w:jc w:val="center"/>
          <w:tblLayout w:type="fixed"/>
          <w:tblCellMar>
            <w:top w:w="0" w:type="dxa"/>
            <w:left w:w="108" w:type="dxa"/>
            <w:bottom w:w="0" w:type="dxa"/>
            <w:right w:w="108" w:type="dxa"/>
          </w:tblCellMar>
          <w:tblLook w:val="0000"/>
        </w:tblPrEx>
        <w:trPr>
          <w:trHeight w:val="521"/>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法人代表</w:t>
            </w:r>
          </w:p>
        </w:tc>
        <w:tc>
          <w:tcPr>
            <w:tcW w:w="3173" w:type="dxa"/>
            <w:gridSpan w:val="3"/>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p>
        </w:tc>
        <w:tc>
          <w:tcPr>
            <w:tcW w:w="1698" w:type="dxa"/>
            <w:gridSpan w:val="2"/>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p>
        </w:tc>
        <w:tc>
          <w:tcPr>
            <w:tcW w:w="3191" w:type="dxa"/>
            <w:gridSpan w:val="2"/>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p>
        </w:tc>
      </w:tr>
      <w:tr>
        <w:tblPrEx>
          <w:tblW w:w="9639" w:type="dxa"/>
          <w:jc w:val="center"/>
          <w:tblLayout w:type="fixed"/>
          <w:tblCellMar>
            <w:top w:w="0" w:type="dxa"/>
            <w:left w:w="108" w:type="dxa"/>
            <w:bottom w:w="0" w:type="dxa"/>
            <w:right w:w="108" w:type="dxa"/>
          </w:tblCellMar>
          <w:tblLook w:val="0000"/>
        </w:tblPrEx>
        <w:trPr>
          <w:trHeight w:val="503"/>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通讯地址</w:t>
            </w:r>
          </w:p>
        </w:tc>
        <w:tc>
          <w:tcPr>
            <w:tcW w:w="8062" w:type="dxa"/>
            <w:gridSpan w:val="7"/>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rFonts w:hint="eastAsia"/>
                <w:sz w:val="24"/>
              </w:rPr>
              <w:t>江西南昌</w:t>
            </w:r>
            <w:r>
              <w:rPr>
                <w:sz w:val="24"/>
              </w:rPr>
              <w:t>高新区京东大道</w:t>
            </w:r>
            <w:r>
              <w:rPr>
                <w:rFonts w:hint="eastAsia"/>
                <w:sz w:val="24"/>
              </w:rPr>
              <w:t>1189号</w:t>
            </w:r>
          </w:p>
        </w:tc>
      </w:tr>
      <w:tr>
        <w:tblPrEx>
          <w:tblW w:w="9639" w:type="dxa"/>
          <w:jc w:val="center"/>
          <w:tblLayout w:type="fixed"/>
          <w:tblCellMar>
            <w:top w:w="0" w:type="dxa"/>
            <w:left w:w="108" w:type="dxa"/>
            <w:bottom w:w="0" w:type="dxa"/>
            <w:right w:w="108" w:type="dxa"/>
          </w:tblCellMar>
          <w:tblLook w:val="0000"/>
        </w:tblPrEx>
        <w:trPr>
          <w:trHeight w:val="502"/>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联系电话</w:t>
            </w:r>
          </w:p>
        </w:tc>
        <w:tc>
          <w:tcPr>
            <w:tcW w:w="1938" w:type="dxa"/>
            <w:gridSpan w:val="2"/>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p>
        </w:tc>
        <w:tc>
          <w:tcPr>
            <w:tcW w:w="1235"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传真</w:t>
            </w:r>
          </w:p>
        </w:tc>
        <w:tc>
          <w:tcPr>
            <w:tcW w:w="1698" w:type="dxa"/>
            <w:gridSpan w:val="2"/>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p>
        </w:tc>
        <w:tc>
          <w:tcPr>
            <w:tcW w:w="1698" w:type="dxa"/>
            <w:tcBorders>
              <w:top w:val="single" w:sz="4" w:space="0" w:color="auto"/>
              <w:left w:val="single" w:sz="4" w:space="0" w:color="auto"/>
              <w:bottom w:val="single" w:sz="4" w:space="0" w:color="auto"/>
              <w:right w:val="single" w:sz="4" w:space="0" w:color="auto"/>
            </w:tcBorders>
            <w:vAlign w:val="center"/>
          </w:tcPr>
          <w:p>
            <w:pPr>
              <w:snapToGrid w:val="0"/>
              <w:spacing w:line="240" w:lineRule="atLeast"/>
              <w:ind w:left="-105" w:right="-105" w:leftChars="-50" w:rightChars="-50"/>
              <w:jc w:val="center"/>
              <w:rPr>
                <w:sz w:val="24"/>
              </w:rPr>
            </w:pPr>
            <w:r>
              <w:rPr>
                <w:sz w:val="24"/>
              </w:rPr>
              <w:t>邮政编码</w:t>
            </w:r>
          </w:p>
        </w:tc>
        <w:tc>
          <w:tcPr>
            <w:tcW w:w="1493"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330096</w:t>
            </w:r>
          </w:p>
        </w:tc>
      </w:tr>
      <w:tr>
        <w:tblPrEx>
          <w:tblW w:w="9639" w:type="dxa"/>
          <w:jc w:val="center"/>
          <w:tblLayout w:type="fixed"/>
          <w:tblCellMar>
            <w:top w:w="0" w:type="dxa"/>
            <w:left w:w="108" w:type="dxa"/>
            <w:bottom w:w="0" w:type="dxa"/>
            <w:right w:w="108" w:type="dxa"/>
          </w:tblCellMar>
          <w:tblLook w:val="0000"/>
        </w:tblPrEx>
        <w:trPr>
          <w:trHeight w:val="537"/>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建设地点</w:t>
            </w:r>
          </w:p>
        </w:tc>
        <w:tc>
          <w:tcPr>
            <w:tcW w:w="8062" w:type="dxa"/>
            <w:gridSpan w:val="7"/>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rFonts w:hint="eastAsia"/>
                <w:sz w:val="24"/>
              </w:rPr>
              <w:t>南昌</w:t>
            </w:r>
            <w:r>
              <w:rPr>
                <w:sz w:val="24"/>
              </w:rPr>
              <w:t>高新区天祥大道欧菲高新科技园内</w:t>
            </w:r>
            <w:r>
              <w:rPr>
                <w:rFonts w:hint="eastAsia"/>
                <w:sz w:val="24"/>
              </w:rPr>
              <w:t>1#厂房</w:t>
            </w:r>
          </w:p>
        </w:tc>
      </w:tr>
      <w:tr>
        <w:tblPrEx>
          <w:tblW w:w="9639" w:type="dxa"/>
          <w:jc w:val="center"/>
          <w:tblLayout w:type="fixed"/>
          <w:tblCellMar>
            <w:top w:w="0" w:type="dxa"/>
            <w:left w:w="108" w:type="dxa"/>
            <w:bottom w:w="0" w:type="dxa"/>
            <w:right w:w="108" w:type="dxa"/>
          </w:tblCellMar>
          <w:tblLook w:val="0000"/>
        </w:tblPrEx>
        <w:trPr>
          <w:trHeight w:val="502"/>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备案部门</w:t>
            </w:r>
          </w:p>
        </w:tc>
        <w:tc>
          <w:tcPr>
            <w:tcW w:w="3173" w:type="dxa"/>
            <w:gridSpan w:val="3"/>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sz w:val="24"/>
              </w:rPr>
              <w:t>南昌高新技术产业开发区</w:t>
            </w:r>
            <w:r>
              <w:rPr>
                <w:rFonts w:hint="eastAsia"/>
                <w:sz w:val="24"/>
              </w:rPr>
              <w:t>管理委员会</w:t>
            </w:r>
          </w:p>
        </w:tc>
        <w:tc>
          <w:tcPr>
            <w:tcW w:w="1390" w:type="dxa"/>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rFonts w:hint="eastAsia"/>
                <w:sz w:val="24"/>
              </w:rPr>
              <w:t>项目</w:t>
            </w:r>
            <w:r>
              <w:rPr>
                <w:sz w:val="24"/>
              </w:rPr>
              <w:t>代码</w:t>
            </w:r>
          </w:p>
        </w:tc>
        <w:tc>
          <w:tcPr>
            <w:tcW w:w="3499" w:type="dxa"/>
            <w:gridSpan w:val="3"/>
            <w:tcBorders>
              <w:top w:val="single" w:sz="4" w:space="0" w:color="auto"/>
              <w:left w:val="single" w:sz="4" w:space="0" w:color="auto"/>
              <w:bottom w:val="single" w:sz="4" w:space="0" w:color="auto"/>
              <w:right w:val="single" w:sz="4" w:space="0" w:color="auto"/>
            </w:tcBorders>
            <w:vAlign w:val="center"/>
          </w:tcPr>
          <w:p>
            <w:pPr>
              <w:snapToGrid w:val="0"/>
              <w:jc w:val="center"/>
              <w:rPr>
                <w:sz w:val="24"/>
              </w:rPr>
            </w:pPr>
            <w:r>
              <w:rPr>
                <w:rFonts w:hint="eastAsia"/>
                <w:sz w:val="24"/>
              </w:rPr>
              <w:t>2017-360198-39-03-010466</w:t>
            </w:r>
          </w:p>
        </w:tc>
      </w:tr>
      <w:tr>
        <w:tblPrEx>
          <w:tblW w:w="9639" w:type="dxa"/>
          <w:jc w:val="center"/>
          <w:tblLayout w:type="fixed"/>
          <w:tblCellMar>
            <w:top w:w="0" w:type="dxa"/>
            <w:left w:w="108" w:type="dxa"/>
            <w:bottom w:w="0" w:type="dxa"/>
            <w:right w:w="108" w:type="dxa"/>
          </w:tblCellMar>
          <w:tblLook w:val="0000"/>
        </w:tblPrEx>
        <w:trPr>
          <w:trHeight w:val="503"/>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建设性质</w:t>
            </w:r>
          </w:p>
        </w:tc>
        <w:tc>
          <w:tcPr>
            <w:tcW w:w="3173"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新建■改扩建□技改□</w:t>
            </w:r>
          </w:p>
        </w:tc>
        <w:tc>
          <w:tcPr>
            <w:tcW w:w="1390"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行业类别及代码</w:t>
            </w:r>
          </w:p>
        </w:tc>
        <w:tc>
          <w:tcPr>
            <w:tcW w:w="3499"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Cs w:val="21"/>
              </w:rPr>
            </w:pPr>
            <w:r>
              <w:rPr>
                <w:rFonts w:hint="eastAsia"/>
                <w:szCs w:val="21"/>
              </w:rPr>
              <w:t>C3979</w:t>
            </w:r>
          </w:p>
          <w:p>
            <w:pPr>
              <w:snapToGrid w:val="0"/>
              <w:spacing w:line="360" w:lineRule="exact"/>
              <w:jc w:val="center"/>
              <w:rPr>
                <w:sz w:val="24"/>
              </w:rPr>
            </w:pPr>
            <w:r>
              <w:rPr>
                <w:sz w:val="22"/>
                <w:szCs w:val="21"/>
              </w:rPr>
              <w:t>其他电子器件制造</w:t>
            </w:r>
          </w:p>
        </w:tc>
      </w:tr>
      <w:tr>
        <w:tblPrEx>
          <w:tblW w:w="9639" w:type="dxa"/>
          <w:jc w:val="center"/>
          <w:tblLayout w:type="fixed"/>
          <w:tblCellMar>
            <w:top w:w="0" w:type="dxa"/>
            <w:left w:w="108" w:type="dxa"/>
            <w:bottom w:w="0" w:type="dxa"/>
            <w:right w:w="108" w:type="dxa"/>
          </w:tblCellMar>
          <w:tblLook w:val="0000"/>
        </w:tblPrEx>
        <w:trPr>
          <w:trHeight w:val="630"/>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占地面积</w:t>
            </w:r>
          </w:p>
          <w:p>
            <w:pPr>
              <w:snapToGrid w:val="0"/>
              <w:spacing w:line="360" w:lineRule="exact"/>
              <w:jc w:val="center"/>
              <w:rPr>
                <w:sz w:val="24"/>
              </w:rPr>
            </w:pPr>
            <w:r>
              <w:rPr>
                <w:sz w:val="24"/>
              </w:rPr>
              <w:t>（m</w:t>
            </w:r>
            <w:r>
              <w:rPr>
                <w:sz w:val="24"/>
                <w:vertAlign w:val="superscript"/>
              </w:rPr>
              <w:t>2</w:t>
            </w:r>
            <w:r>
              <w:rPr>
                <w:sz w:val="24"/>
              </w:rPr>
              <w:t>）</w:t>
            </w:r>
          </w:p>
        </w:tc>
        <w:tc>
          <w:tcPr>
            <w:tcW w:w="3173"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5000</w:t>
            </w:r>
          </w:p>
        </w:tc>
        <w:tc>
          <w:tcPr>
            <w:tcW w:w="1390"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绿化面积</w:t>
            </w:r>
          </w:p>
          <w:p>
            <w:pPr>
              <w:snapToGrid w:val="0"/>
              <w:spacing w:line="360" w:lineRule="exact"/>
              <w:jc w:val="center"/>
              <w:rPr>
                <w:sz w:val="24"/>
              </w:rPr>
            </w:pPr>
            <w:r>
              <w:rPr>
                <w:sz w:val="24"/>
              </w:rPr>
              <w:t>（m</w:t>
            </w:r>
            <w:r>
              <w:rPr>
                <w:sz w:val="24"/>
                <w:vertAlign w:val="superscript"/>
              </w:rPr>
              <w:t>2</w:t>
            </w:r>
            <w:r>
              <w:rPr>
                <w:sz w:val="24"/>
              </w:rPr>
              <w:t>）</w:t>
            </w:r>
          </w:p>
        </w:tc>
        <w:tc>
          <w:tcPr>
            <w:tcW w:w="3499"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w:t>
            </w:r>
          </w:p>
        </w:tc>
      </w:tr>
      <w:tr>
        <w:tblPrEx>
          <w:tblW w:w="9639" w:type="dxa"/>
          <w:jc w:val="center"/>
          <w:tblLayout w:type="fixed"/>
          <w:tblCellMar>
            <w:top w:w="0" w:type="dxa"/>
            <w:left w:w="108" w:type="dxa"/>
            <w:bottom w:w="0" w:type="dxa"/>
            <w:right w:w="108" w:type="dxa"/>
          </w:tblCellMar>
          <w:tblLook w:val="0000"/>
        </w:tblPrEx>
        <w:trPr>
          <w:trHeight w:val="630"/>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总投资（万元）</w:t>
            </w:r>
          </w:p>
        </w:tc>
        <w:tc>
          <w:tcPr>
            <w:tcW w:w="1900"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28125</w:t>
            </w:r>
          </w:p>
        </w:tc>
        <w:tc>
          <w:tcPr>
            <w:tcW w:w="1273"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环保投资</w:t>
            </w:r>
          </w:p>
          <w:p>
            <w:pPr>
              <w:snapToGrid w:val="0"/>
              <w:spacing w:line="360" w:lineRule="exact"/>
              <w:jc w:val="center"/>
              <w:rPr>
                <w:sz w:val="24"/>
              </w:rPr>
            </w:pPr>
            <w:r>
              <w:rPr>
                <w:sz w:val="24"/>
              </w:rPr>
              <w:t>（万元）</w:t>
            </w:r>
          </w:p>
        </w:tc>
        <w:tc>
          <w:tcPr>
            <w:tcW w:w="1390"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39</w:t>
            </w:r>
          </w:p>
        </w:tc>
        <w:tc>
          <w:tcPr>
            <w:tcW w:w="2006" w:type="dxa"/>
            <w:gridSpan w:val="2"/>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环保投资占总投资比例</w:t>
            </w:r>
          </w:p>
        </w:tc>
        <w:tc>
          <w:tcPr>
            <w:tcW w:w="1493"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0.14%</w:t>
            </w:r>
          </w:p>
        </w:tc>
      </w:tr>
      <w:tr>
        <w:tblPrEx>
          <w:tblW w:w="9639" w:type="dxa"/>
          <w:jc w:val="center"/>
          <w:tblLayout w:type="fixed"/>
          <w:tblCellMar>
            <w:top w:w="0" w:type="dxa"/>
            <w:left w:w="108" w:type="dxa"/>
            <w:bottom w:w="0" w:type="dxa"/>
            <w:right w:w="108" w:type="dxa"/>
          </w:tblCellMar>
          <w:tblLook w:val="0000"/>
        </w:tblPrEx>
        <w:trPr>
          <w:trHeight w:val="377"/>
          <w:jc w:val="center"/>
        </w:trPr>
        <w:tc>
          <w:tcPr>
            <w:tcW w:w="1577"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评价经费</w:t>
            </w:r>
          </w:p>
          <w:p>
            <w:pPr>
              <w:snapToGrid w:val="0"/>
              <w:spacing w:line="360" w:lineRule="exact"/>
              <w:jc w:val="center"/>
              <w:rPr>
                <w:sz w:val="24"/>
              </w:rPr>
            </w:pPr>
            <w:r>
              <w:rPr>
                <w:sz w:val="24"/>
              </w:rPr>
              <w:t>（万元）</w:t>
            </w:r>
          </w:p>
        </w:tc>
        <w:tc>
          <w:tcPr>
            <w:tcW w:w="3173"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p>
        </w:tc>
        <w:tc>
          <w:tcPr>
            <w:tcW w:w="1390" w:type="dxa"/>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sz w:val="24"/>
              </w:rPr>
              <w:t>预期投产日期</w:t>
            </w:r>
          </w:p>
        </w:tc>
        <w:tc>
          <w:tcPr>
            <w:tcW w:w="3499" w:type="dxa"/>
            <w:gridSpan w:val="3"/>
            <w:tcBorders>
              <w:top w:val="single" w:sz="4" w:space="0" w:color="auto"/>
              <w:left w:val="single" w:sz="4" w:space="0" w:color="auto"/>
              <w:bottom w:val="single" w:sz="4" w:space="0" w:color="auto"/>
              <w:right w:val="single" w:sz="4" w:space="0" w:color="auto"/>
            </w:tcBorders>
            <w:vAlign w:val="center"/>
          </w:tcPr>
          <w:p>
            <w:pPr>
              <w:snapToGrid w:val="0"/>
              <w:spacing w:line="360" w:lineRule="exact"/>
              <w:jc w:val="center"/>
              <w:rPr>
                <w:sz w:val="24"/>
              </w:rPr>
            </w:pPr>
            <w:r>
              <w:rPr>
                <w:rFonts w:hint="eastAsia"/>
                <w:sz w:val="24"/>
              </w:rPr>
              <w:t>2018年4月</w:t>
            </w:r>
          </w:p>
        </w:tc>
      </w:tr>
      <w:tr>
        <w:tblPrEx>
          <w:tblW w:w="9639" w:type="dxa"/>
          <w:jc w:val="center"/>
          <w:tblLayout w:type="fixed"/>
          <w:tblCellMar>
            <w:top w:w="0" w:type="dxa"/>
            <w:left w:w="108" w:type="dxa"/>
            <w:bottom w:w="0" w:type="dxa"/>
            <w:right w:w="108" w:type="dxa"/>
          </w:tblCellMar>
          <w:tblLook w:val="0000"/>
        </w:tblPrEx>
        <w:trPr>
          <w:trHeight w:val="983"/>
          <w:jc w:val="center"/>
        </w:trPr>
        <w:tc>
          <w:tcPr>
            <w:tcW w:w="9639" w:type="dxa"/>
            <w:gridSpan w:val="8"/>
            <w:tcBorders>
              <w:top w:val="single" w:sz="4" w:space="0" w:color="auto"/>
              <w:left w:val="single" w:sz="4" w:space="0" w:color="auto"/>
              <w:bottom w:val="single" w:sz="4" w:space="0" w:color="auto"/>
              <w:right w:val="single" w:sz="4" w:space="0" w:color="auto"/>
            </w:tcBorders>
            <w:vAlign w:val="center"/>
          </w:tcPr>
          <w:p>
            <w:pPr>
              <w:snapToGrid w:val="0"/>
              <w:spacing w:line="360" w:lineRule="auto"/>
              <w:rPr>
                <w:b/>
                <w:sz w:val="30"/>
                <w:szCs w:val="30"/>
              </w:rPr>
            </w:pPr>
            <w:r>
              <w:rPr>
                <w:b/>
                <w:sz w:val="30"/>
                <w:szCs w:val="30"/>
              </w:rPr>
              <w:t>工程内容及规模</w:t>
            </w:r>
          </w:p>
          <w:p>
            <w:pPr>
              <w:pStyle w:val="Heading2"/>
              <w:snapToGrid w:val="0"/>
              <w:spacing w:before="0" w:after="0" w:line="360" w:lineRule="auto"/>
              <w:ind w:left="210" w:right="210"/>
              <w:rPr>
                <w:rFonts w:ascii="Times New Roman" w:hAnsi="Times New Roman"/>
                <w:sz w:val="28"/>
                <w:szCs w:val="28"/>
                <w:lang w:val="en-US" w:eastAsia="zh-CN"/>
              </w:rPr>
            </w:pPr>
            <w:r>
              <w:rPr>
                <w:rFonts w:ascii="Times New Roman" w:hAnsi="Times New Roman"/>
                <w:lang w:val="en-US" w:eastAsia="zh-CN"/>
              </w:rPr>
              <w:t>1、项目背景</w:t>
            </w:r>
          </w:p>
          <w:p>
            <w:pPr>
              <w:snapToGrid w:val="0"/>
              <w:spacing w:line="360" w:lineRule="auto"/>
              <w:ind w:firstLine="480" w:firstLineChars="200"/>
              <w:rPr>
                <w:rFonts w:hint="eastAsia"/>
                <w:sz w:val="24"/>
              </w:rPr>
            </w:pPr>
            <w:r>
              <w:rPr>
                <w:rFonts w:hint="eastAsia"/>
                <w:sz w:val="24"/>
              </w:rPr>
              <w:t>南昌欧菲生物识别技术有限公司是深圳欧菲光科技股份有限公司于2014年在南昌成立的子公司，该公司在南昌高新区天祥大道南侧租赁原赛维硅片项目基地内部分厂区作为生产基地。公司于2014年计划建设年产12000万片指纹识别模组项目，并在2014年11月8号取得南昌市环保局环评批复（洪环审批[2014]263号），于2015年9月投产运行。</w:t>
            </w:r>
          </w:p>
          <w:p>
            <w:pPr>
              <w:snapToGrid w:val="0"/>
              <w:spacing w:line="360" w:lineRule="auto"/>
              <w:ind w:firstLine="480" w:firstLineChars="200"/>
              <w:rPr>
                <w:rFonts w:hint="eastAsia"/>
                <w:sz w:val="24"/>
              </w:rPr>
            </w:pPr>
            <w:r>
              <w:rPr>
                <w:rFonts w:hint="eastAsia"/>
                <w:sz w:val="24"/>
              </w:rPr>
              <w:t>考虑到实际生产操作及企业后期规划，公司于2017年对原项目（年产12000万片指纹识别模组项目）进行技术改造，并在2017年4月5号取得了南昌市环保局环评批复（洪环审批[2017]65号），预期将于2017年11月投产运行。技改后生产规模降为年产11880万片指纹识别模组，原用于生产指纹识别模组的1#厂房改为预留厂房，原预留的2#厂房用于生产指纹识别模组，原预留的3#厂房用于指纹识别模组组装。</w:t>
            </w:r>
          </w:p>
          <w:p>
            <w:pPr>
              <w:snapToGrid w:val="0"/>
              <w:spacing w:after="0" w:line="360" w:lineRule="auto"/>
              <w:ind w:firstLine="480" w:firstLineChars="200"/>
              <w:rPr>
                <w:rFonts w:hint="eastAsia"/>
                <w:sz w:val="24"/>
              </w:rPr>
            </w:pPr>
            <w:r>
              <w:rPr>
                <w:rFonts w:hint="eastAsia"/>
                <w:sz w:val="24"/>
              </w:rPr>
              <w:t>超声波指纹识别技术原理为超声波通过测声学阻抗，利用高分辨超声波扫描指纹，根据超声波在指纹的脊和谷的返回时间，生成3D模型，目前手机指纹识别市场上超声波方案将有望成为新的焦点。在此背景下南昌欧菲生物识别技术有限公司</w:t>
            </w:r>
            <w:r>
              <w:rPr>
                <w:sz w:val="24"/>
              </w:rPr>
              <w:t>拟投资</w:t>
            </w:r>
            <w:r>
              <w:rPr>
                <w:rFonts w:hint="eastAsia"/>
                <w:sz w:val="24"/>
              </w:rPr>
              <w:t>28125</w:t>
            </w:r>
            <w:r>
              <w:rPr>
                <w:sz w:val="24"/>
              </w:rPr>
              <w:t>万元</w:t>
            </w:r>
          </w:p>
        </w:tc>
      </w:tr>
    </w:tbl>
    <w:p>
      <w:pPr>
        <w:sectPr>
          <w:headerReference w:type="default" r:id="rId4"/>
          <w:footerReference w:type="even" r:id="rId5"/>
          <w:footerReference w:type="default" r:id="rId6"/>
          <w:pgSz w:w="11906" w:h="16838"/>
          <w:pgMar w:top="1440" w:right="1469" w:bottom="1440" w:left="1797" w:header="851" w:footer="992" w:gutter="0"/>
          <w:pgNumType w:start="1"/>
          <w:cols w:space="708"/>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p>
            <w:pPr>
              <w:snapToGrid w:val="0"/>
              <w:spacing w:before="0" w:line="360" w:lineRule="auto"/>
              <w:ind w:firstLine="480" w:firstLineChars="200"/>
              <w:rPr>
                <w:rFonts w:hint="eastAsia"/>
                <w:sz w:val="24"/>
              </w:rPr>
            </w:pPr>
            <w:r>
              <w:rPr>
                <w:rFonts w:hint="eastAsia"/>
                <w:sz w:val="24"/>
              </w:rPr>
              <w:t>租用南昌高新区天祥大道欧菲高新科技园内1#厂房（即原年产12000万片指纹识别模组项目技改后预留空置厂房）用于</w:t>
            </w:r>
            <w:r>
              <w:rPr>
                <w:sz w:val="24"/>
              </w:rPr>
              <w:t>建设</w:t>
            </w:r>
            <w:r>
              <w:rPr>
                <w:rFonts w:hint="eastAsia"/>
                <w:sz w:val="24"/>
              </w:rPr>
              <w:t>超声波指纹识别模组建设项目（即本项目）。</w:t>
            </w:r>
            <w:r>
              <w:rPr>
                <w:sz w:val="24"/>
              </w:rPr>
              <w:t>项目</w:t>
            </w:r>
            <w:r>
              <w:rPr>
                <w:rFonts w:hint="eastAsia"/>
                <w:sz w:val="24"/>
              </w:rPr>
              <w:t>租赁厂房面积约5000m</w:t>
            </w:r>
            <w:r>
              <w:rPr>
                <w:rFonts w:hint="eastAsia"/>
                <w:sz w:val="24"/>
                <w:vertAlign w:val="superscript"/>
              </w:rPr>
              <w:t>2</w:t>
            </w:r>
            <w:r>
              <w:rPr>
                <w:rFonts w:hint="eastAsia"/>
                <w:sz w:val="24"/>
              </w:rPr>
              <w:t>，实施后可实现年产3600万个超声波指纹识别模组的生产能力。</w:t>
            </w:r>
          </w:p>
          <w:p>
            <w:pPr>
              <w:snapToGrid w:val="0"/>
              <w:spacing w:line="360" w:lineRule="auto"/>
              <w:ind w:firstLine="480" w:firstLineChars="200"/>
              <w:rPr>
                <w:sz w:val="24"/>
              </w:rPr>
            </w:pPr>
            <w:r>
              <w:rPr>
                <w:sz w:val="24"/>
              </w:rPr>
              <w:t>本项目为新建项目，根据《中华人民共和国环境影响评价法》和《建设项目环境保护管理条例》的有关规定，本项目需编制环境影响报告表，</w:t>
            </w:r>
            <w:r>
              <w:rPr>
                <w:rFonts w:hint="eastAsia"/>
                <w:sz w:val="24"/>
              </w:rPr>
              <w:t>南昌欧菲生物识别技术有限公司</w:t>
            </w:r>
            <w:r>
              <w:rPr>
                <w:sz w:val="24"/>
              </w:rPr>
              <w:t>委托安徽省四维环境工程有限公司承担该项目的环境影响评价工作。我单位接受建设单位委托后，即组织技术人员到项目所在地及其周围进行了实地调查和现场踏勘，详细了解和收集了本项目的有关资料。结合该项目的特点，编制了该项目的环境影响评价报告表，现呈报环境保护行政主管部门审查。</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2、地理位置及周边关系</w:t>
            </w:r>
          </w:p>
          <w:p>
            <w:pPr>
              <w:snapToGrid w:val="0"/>
              <w:spacing w:line="360" w:lineRule="auto"/>
              <w:ind w:firstLine="480" w:firstLineChars="200"/>
              <w:rPr>
                <w:sz w:val="24"/>
              </w:rPr>
            </w:pPr>
            <w:r>
              <w:rPr>
                <w:sz w:val="24"/>
              </w:rPr>
              <w:t>（1）地理位置</w:t>
            </w:r>
          </w:p>
          <w:p>
            <w:pPr>
              <w:snapToGrid w:val="0"/>
              <w:spacing w:line="360" w:lineRule="auto"/>
              <w:ind w:firstLine="480" w:firstLineChars="200"/>
              <w:rPr>
                <w:sz w:val="24"/>
              </w:rPr>
            </w:pPr>
            <w:r>
              <w:rPr>
                <w:sz w:val="24"/>
              </w:rPr>
              <w:t>本项目建设地址位于</w:t>
            </w:r>
            <w:r>
              <w:rPr>
                <w:rFonts w:hint="eastAsia"/>
                <w:sz w:val="24"/>
              </w:rPr>
              <w:t>南昌高新区天祥大道欧菲高新科技园内1#厂房</w:t>
            </w:r>
            <w:r>
              <w:rPr>
                <w:sz w:val="24"/>
              </w:rPr>
              <w:t>，项目中心地理位置为28°44'00.49"N，116°02'59.04"E，具体地理位置详见附图一。</w:t>
            </w:r>
          </w:p>
          <w:p>
            <w:pPr>
              <w:snapToGrid w:val="0"/>
              <w:spacing w:line="360" w:lineRule="auto"/>
              <w:ind w:firstLine="480" w:firstLineChars="200"/>
              <w:rPr>
                <w:sz w:val="24"/>
              </w:rPr>
            </w:pPr>
            <w:r>
              <w:rPr>
                <w:sz w:val="24"/>
              </w:rPr>
              <w:t>（2）周边环境</w:t>
            </w:r>
          </w:p>
          <w:p>
            <w:pPr>
              <w:snapToGrid w:val="0"/>
              <w:spacing w:line="360" w:lineRule="auto"/>
              <w:ind w:firstLine="480" w:firstLineChars="200"/>
              <w:rPr>
                <w:sz w:val="24"/>
              </w:rPr>
            </w:pPr>
            <w:r>
              <w:rPr>
                <w:rFonts w:hint="eastAsia"/>
                <w:sz w:val="24"/>
              </w:rPr>
              <w:t>项目北面隔天祥大道为中节能（江西）低碳环保科技园和川奇药业，西侧为正星光电，南侧为欧菲高新科技园2#厂房，东侧为空置厂房。</w:t>
            </w:r>
            <w:r>
              <w:rPr>
                <w:sz w:val="24"/>
              </w:rPr>
              <w:t>项目周边环境详见附图二。</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3、建设规模及内容</w:t>
            </w:r>
          </w:p>
          <w:p>
            <w:pPr>
              <w:snapToGrid w:val="0"/>
              <w:spacing w:line="360" w:lineRule="auto"/>
              <w:ind w:firstLine="480" w:firstLineChars="200"/>
              <w:rPr>
                <w:rFonts w:hint="eastAsia"/>
                <w:sz w:val="24"/>
              </w:rPr>
            </w:pPr>
            <w:r>
              <w:rPr>
                <w:rFonts w:hint="eastAsia"/>
                <w:sz w:val="24"/>
              </w:rPr>
              <w:t>项目名称：超声波指纹识别模组建设项目。</w:t>
            </w:r>
          </w:p>
          <w:p>
            <w:pPr>
              <w:snapToGrid w:val="0"/>
              <w:spacing w:line="360" w:lineRule="auto"/>
              <w:ind w:firstLine="480" w:firstLineChars="200"/>
              <w:rPr>
                <w:rFonts w:hint="eastAsia"/>
                <w:sz w:val="24"/>
              </w:rPr>
            </w:pPr>
            <w:r>
              <w:rPr>
                <w:rFonts w:hint="eastAsia"/>
                <w:sz w:val="24"/>
              </w:rPr>
              <w:t>建设性质：新建。</w:t>
            </w:r>
          </w:p>
          <w:p>
            <w:pPr>
              <w:snapToGrid w:val="0"/>
              <w:spacing w:line="360" w:lineRule="auto"/>
              <w:ind w:firstLine="480" w:firstLineChars="200"/>
              <w:rPr>
                <w:rFonts w:hint="eastAsia"/>
                <w:sz w:val="24"/>
              </w:rPr>
            </w:pPr>
            <w:r>
              <w:rPr>
                <w:rFonts w:hint="eastAsia"/>
                <w:sz w:val="24"/>
              </w:rPr>
              <w:t>建设内容：项目不新增土建等相关建设内容，项目租赁生产厂房（1#厂房）5000m</w:t>
            </w:r>
            <w:r>
              <w:rPr>
                <w:rFonts w:hint="eastAsia"/>
                <w:sz w:val="24"/>
                <w:vertAlign w:val="superscript"/>
              </w:rPr>
              <w:t>2</w:t>
            </w:r>
            <w:r>
              <w:rPr>
                <w:rFonts w:hint="eastAsia"/>
                <w:sz w:val="24"/>
              </w:rPr>
              <w:t>，购置TFT测试机、银浆印刷机等主要生产设备，项目建成后可形成年产3600万个超声波指纹识别模组的生产能力。</w:t>
            </w:r>
          </w:p>
          <w:p>
            <w:pPr>
              <w:snapToGrid w:val="0"/>
              <w:spacing w:line="360" w:lineRule="auto"/>
              <w:ind w:firstLine="480" w:firstLineChars="200"/>
              <w:rPr>
                <w:rFonts w:hint="eastAsia"/>
                <w:b/>
                <w:sz w:val="24"/>
              </w:rPr>
            </w:pPr>
            <w:r>
              <w:rPr>
                <w:rFonts w:hint="eastAsia"/>
                <w:b/>
                <w:sz w:val="24"/>
              </w:rPr>
              <w:t>本项目与</w:t>
            </w:r>
            <w:r>
              <w:rPr>
                <w:rFonts w:hint="eastAsia"/>
                <w:b/>
                <w:sz w:val="24"/>
              </w:rPr>
              <w:t>“</w:t>
            </w:r>
            <w:r>
              <w:rPr>
                <w:rFonts w:hint="eastAsia"/>
                <w:b/>
                <w:sz w:val="24"/>
              </w:rPr>
              <w:t>年产12000万片指纹识别模组项目</w:t>
            </w:r>
            <w:r>
              <w:rPr>
                <w:rFonts w:hint="eastAsia"/>
                <w:b/>
                <w:sz w:val="24"/>
              </w:rPr>
              <w:t>”</w:t>
            </w:r>
            <w:r>
              <w:rPr>
                <w:rFonts w:hint="eastAsia"/>
                <w:b/>
                <w:sz w:val="24"/>
              </w:rPr>
              <w:t>及</w:t>
            </w:r>
            <w:r>
              <w:rPr>
                <w:rFonts w:hint="eastAsia"/>
                <w:b/>
                <w:sz w:val="24"/>
              </w:rPr>
              <w:t>“</w:t>
            </w:r>
            <w:r>
              <w:rPr>
                <w:rFonts w:hint="eastAsia"/>
                <w:b/>
                <w:sz w:val="24"/>
              </w:rPr>
              <w:t>年产9600万颗CCM高清微摄像头建设项目</w:t>
            </w:r>
            <w:r>
              <w:rPr>
                <w:rFonts w:hint="eastAsia"/>
                <w:b/>
                <w:sz w:val="24"/>
              </w:rPr>
              <w:t>”</w:t>
            </w:r>
            <w:r>
              <w:rPr>
                <w:rFonts w:hint="eastAsia"/>
                <w:b/>
                <w:sz w:val="24"/>
              </w:rPr>
              <w:t>关系概况：</w:t>
            </w:r>
          </w:p>
          <w:p>
            <w:pPr>
              <w:snapToGrid w:val="0"/>
              <w:spacing w:line="360" w:lineRule="auto"/>
              <w:ind w:firstLine="480" w:firstLineChars="200"/>
              <w:rPr>
                <w:rFonts w:hint="eastAsia"/>
                <w:sz w:val="24"/>
              </w:rPr>
            </w:pPr>
            <w:r>
              <w:rPr>
                <w:rFonts w:ascii="宋体" w:hAnsi="宋体" w:hint="eastAsia"/>
                <w:sz w:val="24"/>
              </w:rPr>
              <w:t>（1）</w:t>
            </w:r>
            <w:r>
              <w:rPr>
                <w:rFonts w:hint="eastAsia"/>
                <w:sz w:val="24"/>
              </w:rPr>
              <w:t>年产12000万片指纹识别模组项目概况</w:t>
            </w:r>
          </w:p>
          <w:p>
            <w:pPr>
              <w:snapToGrid w:val="0"/>
              <w:spacing w:line="360" w:lineRule="auto"/>
              <w:ind w:firstLine="480" w:firstLineChars="200"/>
              <w:rPr>
                <w:rFonts w:hint="eastAsia"/>
                <w:sz w:val="24"/>
              </w:rPr>
            </w:pPr>
            <w:r>
              <w:rPr>
                <w:rFonts w:hint="eastAsia"/>
                <w:sz w:val="24"/>
              </w:rPr>
              <w:t>年产12000万片指纹识别模组项目建设地点位于南昌高新区天祥大道南侧原赛维硅片项目厂区内1#厂房内，考虑到实际生产操作及企业后期规划，南昌欧菲生物识别技术有限公司对其进行技术改造，技改后项目组成情况见表1-1。</w:t>
            </w:r>
          </w:p>
          <w:p>
            <w:pPr>
              <w:snapToGrid w:val="0"/>
              <w:spacing w:line="360" w:lineRule="auto"/>
              <w:ind w:firstLine="420" w:firstLineChars="200"/>
              <w:jc w:val="center"/>
              <w:rPr>
                <w:rFonts w:hint="eastAsia"/>
                <w:b/>
              </w:rPr>
            </w:pPr>
            <w:r>
              <w:rPr>
                <w:rFonts w:hint="eastAsia"/>
                <w:b/>
              </w:rPr>
              <w:t xml:space="preserve">表1-1 </w:t>
            </w:r>
            <w:r>
              <w:rPr>
                <w:rFonts w:hint="eastAsia"/>
                <w:b/>
              </w:rPr>
              <w:t>“</w:t>
            </w:r>
            <w:r>
              <w:rPr>
                <w:rFonts w:hint="eastAsia"/>
                <w:b/>
              </w:rPr>
              <w:t>年产12000万片指纹识别模组项目</w:t>
            </w:r>
            <w:r>
              <w:rPr>
                <w:rFonts w:hint="eastAsia"/>
                <w:b/>
              </w:rPr>
              <w:t>”</w:t>
            </w:r>
            <w:r>
              <w:rPr>
                <w:rFonts w:hint="eastAsia"/>
                <w:b/>
              </w:rPr>
              <w:t>技改后建设内容一览表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50"/>
              <w:gridCol w:w="2444"/>
              <w:gridCol w:w="1560"/>
              <w:gridCol w:w="1417"/>
              <w:gridCol w:w="3185"/>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50" w:type="dxa"/>
                  <w:vAlign w:val="center"/>
                </w:tcPr>
                <w:p>
                  <w:pPr>
                    <w:adjustRightInd w:val="0"/>
                    <w:jc w:val="center"/>
                    <w:rPr>
                      <w:rFonts w:hint="eastAsia"/>
                      <w:szCs w:val="21"/>
                    </w:rPr>
                  </w:pPr>
                  <w:r>
                    <w:rPr>
                      <w:rFonts w:hint="eastAsia"/>
                      <w:szCs w:val="21"/>
                    </w:rPr>
                    <w:t>名称</w:t>
                  </w:r>
                </w:p>
              </w:tc>
              <w:tc>
                <w:tcPr>
                  <w:tcW w:w="2444" w:type="dxa"/>
                  <w:vAlign w:val="center"/>
                </w:tcPr>
                <w:p>
                  <w:pPr>
                    <w:adjustRightInd w:val="0"/>
                    <w:jc w:val="center"/>
                    <w:rPr>
                      <w:rFonts w:hint="eastAsia"/>
                      <w:szCs w:val="21"/>
                    </w:rPr>
                  </w:pPr>
                  <w:r>
                    <w:rPr>
                      <w:rFonts w:hint="eastAsia"/>
                      <w:szCs w:val="21"/>
                    </w:rPr>
                    <w:t>工程内容</w:t>
                  </w:r>
                </w:p>
              </w:tc>
              <w:tc>
                <w:tcPr>
                  <w:tcW w:w="1560" w:type="dxa"/>
                  <w:vAlign w:val="center"/>
                </w:tcPr>
                <w:p>
                  <w:pPr>
                    <w:adjustRightInd w:val="0"/>
                    <w:jc w:val="center"/>
                    <w:rPr>
                      <w:rFonts w:hint="eastAsia"/>
                      <w:szCs w:val="21"/>
                    </w:rPr>
                  </w:pPr>
                  <w:r>
                    <w:rPr>
                      <w:rFonts w:hint="eastAsia"/>
                      <w:szCs w:val="21"/>
                    </w:rPr>
                    <w:t>建筑面积（m</w:t>
                  </w:r>
                  <w:r>
                    <w:rPr>
                      <w:rFonts w:hint="eastAsia"/>
                      <w:szCs w:val="21"/>
                      <w:vertAlign w:val="superscript"/>
                    </w:rPr>
                    <w:t>2</w:t>
                  </w:r>
                  <w:r>
                    <w:rPr>
                      <w:rFonts w:hint="eastAsia"/>
                      <w:szCs w:val="21"/>
                    </w:rPr>
                    <w:t>）</w:t>
                  </w:r>
                </w:p>
              </w:tc>
              <w:tc>
                <w:tcPr>
                  <w:tcW w:w="1417" w:type="dxa"/>
                  <w:vAlign w:val="center"/>
                </w:tcPr>
                <w:p>
                  <w:pPr>
                    <w:adjustRightInd w:val="0"/>
                    <w:jc w:val="center"/>
                    <w:rPr>
                      <w:rFonts w:hint="eastAsia"/>
                      <w:szCs w:val="21"/>
                    </w:rPr>
                  </w:pPr>
                  <w:r>
                    <w:rPr>
                      <w:rFonts w:hint="eastAsia"/>
                      <w:szCs w:val="21"/>
                    </w:rPr>
                    <w:t>楼层</w:t>
                  </w:r>
                </w:p>
              </w:tc>
              <w:tc>
                <w:tcPr>
                  <w:tcW w:w="3185" w:type="dxa"/>
                  <w:vAlign w:val="center"/>
                </w:tcPr>
                <w:p>
                  <w:pPr>
                    <w:adjustRightInd w:val="0"/>
                    <w:jc w:val="center"/>
                    <w:rPr>
                      <w:rFonts w:hint="eastAsia"/>
                      <w:szCs w:val="21"/>
                    </w:rPr>
                  </w:pPr>
                  <w:r>
                    <w:rPr>
                      <w:rFonts w:hint="eastAsia"/>
                      <w:szCs w:val="21"/>
                    </w:rPr>
                    <w:t>备注</w:t>
                  </w:r>
                </w:p>
              </w:tc>
            </w:tr>
          </w:tbl>
          <w:p/>
        </w:tc>
      </w:tr>
    </w:tbl>
    <w:p>
      <w:pPr>
        <w:sectPr>
          <w:headerReference w:type="default" r:id="rId7"/>
          <w:footerReference w:type="even" r:id="rId8"/>
          <w:footerReference w:type="default" r:id="rId9"/>
          <w:type w:val="nextPage"/>
          <w:pgSz w:w="11906" w:h="16838"/>
          <w:pgMar w:top="1440" w:right="1469" w:bottom="1440" w:left="1797" w:header="851" w:footer="992" w:gutter="0"/>
          <w:pgNumType w:start="2"/>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50"/>
              <w:gridCol w:w="2444"/>
              <w:gridCol w:w="1560"/>
              <w:gridCol w:w="1417"/>
              <w:gridCol w:w="3185"/>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50" w:type="dxa"/>
                  <w:vMerge w:val="restart"/>
                  <w:vAlign w:val="center"/>
                </w:tcPr>
                <w:p>
                  <w:pPr>
                    <w:adjustRightInd w:val="0"/>
                    <w:jc w:val="center"/>
                    <w:rPr>
                      <w:rFonts w:hint="eastAsia"/>
                      <w:szCs w:val="21"/>
                    </w:rPr>
                  </w:pPr>
                  <w:r>
                    <w:rPr>
                      <w:rFonts w:hint="eastAsia"/>
                      <w:szCs w:val="21"/>
                    </w:rPr>
                    <w:t>主体工程</w:t>
                  </w:r>
                </w:p>
              </w:tc>
              <w:tc>
                <w:tcPr>
                  <w:tcW w:w="2444" w:type="dxa"/>
                  <w:vAlign w:val="center"/>
                </w:tcPr>
                <w:p>
                  <w:pPr>
                    <w:adjustRightInd w:val="0"/>
                    <w:jc w:val="center"/>
                    <w:rPr>
                      <w:rFonts w:hint="eastAsia"/>
                      <w:szCs w:val="21"/>
                    </w:rPr>
                  </w:pPr>
                  <w:r>
                    <w:rPr>
                      <w:rFonts w:hint="eastAsia"/>
                      <w:szCs w:val="21"/>
                    </w:rPr>
                    <w:t>1#生产车间</w:t>
                  </w:r>
                </w:p>
                <w:p>
                  <w:pPr>
                    <w:adjustRightInd w:val="0"/>
                    <w:jc w:val="center"/>
                    <w:rPr>
                      <w:rFonts w:hint="eastAsia"/>
                      <w:szCs w:val="21"/>
                    </w:rPr>
                  </w:pPr>
                  <w:r>
                    <w:rPr>
                      <w:rFonts w:hint="eastAsia"/>
                      <w:szCs w:val="21"/>
                    </w:rPr>
                    <w:t>（原设计生产车间）</w:t>
                  </w:r>
                </w:p>
              </w:tc>
              <w:tc>
                <w:tcPr>
                  <w:tcW w:w="1560" w:type="dxa"/>
                  <w:vAlign w:val="center"/>
                </w:tcPr>
                <w:p>
                  <w:pPr>
                    <w:adjustRightInd w:val="0"/>
                    <w:jc w:val="center"/>
                    <w:rPr>
                      <w:rFonts w:hint="eastAsia"/>
                      <w:szCs w:val="21"/>
                    </w:rPr>
                  </w:pPr>
                  <w:r>
                    <w:rPr>
                      <w:rFonts w:hint="eastAsia"/>
                      <w:szCs w:val="21"/>
                    </w:rPr>
                    <w:t>23060</w:t>
                  </w:r>
                </w:p>
              </w:tc>
              <w:tc>
                <w:tcPr>
                  <w:tcW w:w="1417" w:type="dxa"/>
                  <w:vAlign w:val="center"/>
                </w:tcPr>
                <w:p>
                  <w:pPr>
                    <w:adjustRightInd w:val="0"/>
                    <w:jc w:val="center"/>
                    <w:rPr>
                      <w:rFonts w:hint="eastAsia"/>
                      <w:szCs w:val="21"/>
                    </w:rPr>
                  </w:pPr>
                  <w:r>
                    <w:rPr>
                      <w:rFonts w:hint="eastAsia"/>
                      <w:szCs w:val="21"/>
                    </w:rPr>
                    <w:t>1层</w:t>
                  </w:r>
                </w:p>
              </w:tc>
              <w:tc>
                <w:tcPr>
                  <w:tcW w:w="3185" w:type="dxa"/>
                  <w:vAlign w:val="center"/>
                </w:tcPr>
                <w:p>
                  <w:pPr>
                    <w:adjustRightInd w:val="0"/>
                    <w:jc w:val="center"/>
                    <w:rPr>
                      <w:rFonts w:hint="eastAsia"/>
                      <w:szCs w:val="21"/>
                    </w:rPr>
                  </w:pPr>
                  <w:r>
                    <w:rPr>
                      <w:rFonts w:hint="eastAsia"/>
                      <w:szCs w:val="21"/>
                    </w:rPr>
                    <w:t>已建，技改后空置</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rFonts w:hint="eastAsia"/>
                      <w:szCs w:val="21"/>
                    </w:rPr>
                  </w:pPr>
                </w:p>
              </w:tc>
              <w:tc>
                <w:tcPr>
                  <w:tcW w:w="2444" w:type="dxa"/>
                  <w:vAlign w:val="center"/>
                </w:tcPr>
                <w:p>
                  <w:pPr>
                    <w:adjustRightInd w:val="0"/>
                    <w:jc w:val="center"/>
                    <w:rPr>
                      <w:rFonts w:hint="eastAsia"/>
                      <w:szCs w:val="21"/>
                    </w:rPr>
                  </w:pPr>
                  <w:r>
                    <w:rPr>
                      <w:rFonts w:hint="eastAsia"/>
                      <w:szCs w:val="21"/>
                    </w:rPr>
                    <w:t>2#生产车间</w:t>
                  </w:r>
                </w:p>
                <w:p>
                  <w:pPr>
                    <w:adjustRightInd w:val="0"/>
                    <w:jc w:val="center"/>
                    <w:rPr>
                      <w:rFonts w:hint="eastAsia"/>
                      <w:szCs w:val="21"/>
                    </w:rPr>
                  </w:pPr>
                  <w:r>
                    <w:rPr>
                      <w:rFonts w:hint="eastAsia"/>
                      <w:szCs w:val="21"/>
                    </w:rPr>
                    <w:t>（原设计远期使用厂房）</w:t>
                  </w:r>
                </w:p>
              </w:tc>
              <w:tc>
                <w:tcPr>
                  <w:tcW w:w="1560" w:type="dxa"/>
                  <w:vAlign w:val="center"/>
                </w:tcPr>
                <w:p>
                  <w:pPr>
                    <w:adjustRightInd w:val="0"/>
                    <w:jc w:val="center"/>
                    <w:rPr>
                      <w:rFonts w:hint="eastAsia"/>
                      <w:szCs w:val="21"/>
                    </w:rPr>
                  </w:pPr>
                  <w:r>
                    <w:rPr>
                      <w:rFonts w:hint="eastAsia"/>
                      <w:szCs w:val="21"/>
                    </w:rPr>
                    <w:t>8855</w:t>
                  </w:r>
                </w:p>
              </w:tc>
              <w:tc>
                <w:tcPr>
                  <w:tcW w:w="1417" w:type="dxa"/>
                  <w:vAlign w:val="center"/>
                </w:tcPr>
                <w:p>
                  <w:pPr>
                    <w:adjustRightInd w:val="0"/>
                    <w:jc w:val="center"/>
                    <w:rPr>
                      <w:rFonts w:hint="eastAsia"/>
                      <w:szCs w:val="21"/>
                    </w:rPr>
                  </w:pPr>
                  <w:r>
                    <w:rPr>
                      <w:rFonts w:hint="eastAsia"/>
                      <w:szCs w:val="21"/>
                    </w:rPr>
                    <w:t>1层</w:t>
                  </w:r>
                </w:p>
              </w:tc>
              <w:tc>
                <w:tcPr>
                  <w:tcW w:w="3185" w:type="dxa"/>
                  <w:vAlign w:val="center"/>
                </w:tcPr>
                <w:p>
                  <w:pPr>
                    <w:adjustRightInd w:val="0"/>
                    <w:jc w:val="center"/>
                    <w:rPr>
                      <w:rFonts w:hint="eastAsia"/>
                      <w:szCs w:val="21"/>
                    </w:rPr>
                  </w:pPr>
                  <w:r>
                    <w:rPr>
                      <w:rFonts w:hint="eastAsia"/>
                      <w:szCs w:val="21"/>
                    </w:rPr>
                    <w:t>已建，技改后用于原项目生产车间</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rFonts w:hint="eastAsia"/>
                      <w:szCs w:val="21"/>
                    </w:rPr>
                  </w:pPr>
                </w:p>
              </w:tc>
              <w:tc>
                <w:tcPr>
                  <w:tcW w:w="2444" w:type="dxa"/>
                  <w:vAlign w:val="center"/>
                </w:tcPr>
                <w:p>
                  <w:pPr>
                    <w:adjustRightInd w:val="0"/>
                    <w:jc w:val="center"/>
                    <w:rPr>
                      <w:rFonts w:hint="eastAsia"/>
                      <w:szCs w:val="21"/>
                    </w:rPr>
                  </w:pPr>
                  <w:r>
                    <w:rPr>
                      <w:rFonts w:hint="eastAsia"/>
                      <w:szCs w:val="21"/>
                    </w:rPr>
                    <w:t>3#生产车间</w:t>
                  </w:r>
                </w:p>
                <w:p>
                  <w:pPr>
                    <w:adjustRightInd w:val="0"/>
                    <w:jc w:val="center"/>
                    <w:rPr>
                      <w:rFonts w:hint="eastAsia"/>
                      <w:szCs w:val="21"/>
                    </w:rPr>
                  </w:pPr>
                  <w:r>
                    <w:rPr>
                      <w:rFonts w:hint="eastAsia"/>
                      <w:szCs w:val="21"/>
                    </w:rPr>
                    <w:t>（原设计远期使用厂房）</w:t>
                  </w:r>
                </w:p>
              </w:tc>
              <w:tc>
                <w:tcPr>
                  <w:tcW w:w="1560" w:type="dxa"/>
                  <w:vAlign w:val="center"/>
                </w:tcPr>
                <w:p>
                  <w:pPr>
                    <w:adjustRightInd w:val="0"/>
                    <w:jc w:val="center"/>
                    <w:rPr>
                      <w:rFonts w:hint="eastAsia"/>
                      <w:szCs w:val="21"/>
                    </w:rPr>
                  </w:pPr>
                  <w:r>
                    <w:rPr>
                      <w:rFonts w:hint="eastAsia"/>
                      <w:szCs w:val="21"/>
                    </w:rPr>
                    <w:t>36290</w:t>
                  </w:r>
                </w:p>
              </w:tc>
              <w:tc>
                <w:tcPr>
                  <w:tcW w:w="1417" w:type="dxa"/>
                  <w:vAlign w:val="center"/>
                </w:tcPr>
                <w:p>
                  <w:pPr>
                    <w:adjustRightInd w:val="0"/>
                    <w:jc w:val="center"/>
                    <w:rPr>
                      <w:rFonts w:hint="eastAsia"/>
                      <w:szCs w:val="21"/>
                    </w:rPr>
                  </w:pPr>
                  <w:r>
                    <w:rPr>
                      <w:rFonts w:hint="eastAsia"/>
                      <w:szCs w:val="21"/>
                    </w:rPr>
                    <w:t>4层</w:t>
                  </w:r>
                </w:p>
              </w:tc>
              <w:tc>
                <w:tcPr>
                  <w:tcW w:w="3185" w:type="dxa"/>
                  <w:vAlign w:val="center"/>
                </w:tcPr>
                <w:p>
                  <w:pPr>
                    <w:adjustRightInd w:val="0"/>
                    <w:jc w:val="center"/>
                    <w:rPr>
                      <w:rFonts w:hint="eastAsia"/>
                      <w:szCs w:val="21"/>
                    </w:rPr>
                  </w:pPr>
                  <w:r>
                    <w:rPr>
                      <w:rFonts w:hint="eastAsia"/>
                      <w:szCs w:val="21"/>
                    </w:rPr>
                    <w:t>已建，技改后用于原项目组装车间</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restart"/>
                  <w:vAlign w:val="center"/>
                </w:tcPr>
                <w:p>
                  <w:pPr>
                    <w:adjustRightInd w:val="0"/>
                    <w:jc w:val="center"/>
                    <w:rPr>
                      <w:rFonts w:hint="eastAsia"/>
                      <w:szCs w:val="21"/>
                    </w:rPr>
                  </w:pPr>
                  <w:r>
                    <w:rPr>
                      <w:rFonts w:hint="eastAsia"/>
                      <w:szCs w:val="21"/>
                    </w:rPr>
                    <w:t>辅助工程</w:t>
                  </w:r>
                </w:p>
              </w:tc>
              <w:tc>
                <w:tcPr>
                  <w:tcW w:w="2444" w:type="dxa"/>
                  <w:vAlign w:val="center"/>
                </w:tcPr>
                <w:p>
                  <w:pPr>
                    <w:adjustRightInd w:val="0"/>
                    <w:jc w:val="center"/>
                    <w:rPr>
                      <w:rFonts w:hint="eastAsia"/>
                      <w:szCs w:val="21"/>
                    </w:rPr>
                  </w:pPr>
                  <w:r>
                    <w:rPr>
                      <w:rFonts w:hint="eastAsia"/>
                      <w:szCs w:val="21"/>
                    </w:rPr>
                    <w:t>员工生活服务楼</w:t>
                  </w:r>
                </w:p>
              </w:tc>
              <w:tc>
                <w:tcPr>
                  <w:tcW w:w="1560" w:type="dxa"/>
                  <w:vAlign w:val="center"/>
                </w:tcPr>
                <w:p>
                  <w:pPr>
                    <w:adjustRightInd w:val="0"/>
                    <w:jc w:val="center"/>
                    <w:rPr>
                      <w:rFonts w:hint="eastAsia"/>
                      <w:szCs w:val="21"/>
                    </w:rPr>
                  </w:pPr>
                  <w:r>
                    <w:rPr>
                      <w:rFonts w:hint="eastAsia"/>
                      <w:szCs w:val="21"/>
                    </w:rPr>
                    <w:t>7602.2</w:t>
                  </w:r>
                </w:p>
              </w:tc>
              <w:tc>
                <w:tcPr>
                  <w:tcW w:w="1417" w:type="dxa"/>
                  <w:vAlign w:val="center"/>
                </w:tcPr>
                <w:p>
                  <w:pPr>
                    <w:adjustRightInd w:val="0"/>
                    <w:jc w:val="center"/>
                    <w:rPr>
                      <w:rFonts w:hint="eastAsia"/>
                      <w:szCs w:val="21"/>
                    </w:rPr>
                  </w:pPr>
                  <w:r>
                    <w:rPr>
                      <w:rFonts w:hint="eastAsia"/>
                      <w:szCs w:val="21"/>
                    </w:rPr>
                    <w:t>4层</w:t>
                  </w:r>
                </w:p>
              </w:tc>
              <w:tc>
                <w:tcPr>
                  <w:tcW w:w="3185" w:type="dxa"/>
                  <w:vAlign w:val="center"/>
                </w:tcPr>
                <w:p>
                  <w:pPr>
                    <w:adjustRightInd w:val="0"/>
                    <w:jc w:val="center"/>
                    <w:rPr>
                      <w:rFonts w:hint="eastAsia"/>
                      <w:szCs w:val="21"/>
                    </w:rPr>
                  </w:pPr>
                  <w:r>
                    <w:rPr>
                      <w:rFonts w:hint="eastAsia"/>
                      <w:szCs w:val="21"/>
                    </w:rPr>
                    <w:t>在建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rFonts w:hint="eastAsia"/>
                      <w:szCs w:val="21"/>
                    </w:rPr>
                  </w:pPr>
                </w:p>
              </w:tc>
              <w:tc>
                <w:tcPr>
                  <w:tcW w:w="2444" w:type="dxa"/>
                  <w:vAlign w:val="center"/>
                </w:tcPr>
                <w:p>
                  <w:pPr>
                    <w:adjustRightInd w:val="0"/>
                    <w:jc w:val="center"/>
                    <w:rPr>
                      <w:rFonts w:hint="eastAsia"/>
                      <w:szCs w:val="21"/>
                    </w:rPr>
                  </w:pPr>
                  <w:r>
                    <w:rPr>
                      <w:rFonts w:hint="eastAsia"/>
                      <w:szCs w:val="21"/>
                    </w:rPr>
                    <w:t>设备房</w:t>
                  </w:r>
                </w:p>
              </w:tc>
              <w:tc>
                <w:tcPr>
                  <w:tcW w:w="1560" w:type="dxa"/>
                  <w:vAlign w:val="center"/>
                </w:tcPr>
                <w:p>
                  <w:pPr>
                    <w:adjustRightInd w:val="0"/>
                    <w:jc w:val="center"/>
                    <w:rPr>
                      <w:rFonts w:hint="eastAsia"/>
                      <w:szCs w:val="21"/>
                    </w:rPr>
                  </w:pPr>
                  <w:r>
                    <w:rPr>
                      <w:rFonts w:hint="eastAsia"/>
                      <w:szCs w:val="21"/>
                    </w:rPr>
                    <w:t>400</w:t>
                  </w:r>
                </w:p>
              </w:tc>
              <w:tc>
                <w:tcPr>
                  <w:tcW w:w="1417" w:type="dxa"/>
                  <w:vAlign w:val="center"/>
                </w:tcPr>
                <w:p>
                  <w:pPr>
                    <w:adjustRightInd w:val="0"/>
                    <w:jc w:val="center"/>
                    <w:rPr>
                      <w:rFonts w:hint="eastAsia"/>
                      <w:szCs w:val="21"/>
                    </w:rPr>
                  </w:pPr>
                  <w:r>
                    <w:rPr>
                      <w:rFonts w:hint="eastAsia"/>
                      <w:szCs w:val="21"/>
                    </w:rPr>
                    <w:t>1层</w:t>
                  </w:r>
                </w:p>
              </w:tc>
              <w:tc>
                <w:tcPr>
                  <w:tcW w:w="3185" w:type="dxa"/>
                  <w:vAlign w:val="center"/>
                </w:tcPr>
                <w:p>
                  <w:pPr>
                    <w:adjustRightInd w:val="0"/>
                    <w:jc w:val="center"/>
                    <w:rPr>
                      <w:rFonts w:hint="eastAsia"/>
                      <w:szCs w:val="21"/>
                    </w:rPr>
                  </w:pPr>
                  <w:r>
                    <w:rPr>
                      <w:rFonts w:hint="eastAsia"/>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restart"/>
                  <w:vAlign w:val="center"/>
                </w:tcPr>
                <w:p>
                  <w:pPr>
                    <w:adjustRightInd w:val="0"/>
                    <w:jc w:val="center"/>
                    <w:rPr>
                      <w:rFonts w:hint="eastAsia"/>
                      <w:szCs w:val="21"/>
                    </w:rPr>
                  </w:pPr>
                  <w:r>
                    <w:rPr>
                      <w:rFonts w:hint="eastAsia"/>
                      <w:szCs w:val="21"/>
                    </w:rPr>
                    <w:t>环保工程</w:t>
                  </w:r>
                </w:p>
              </w:tc>
              <w:tc>
                <w:tcPr>
                  <w:tcW w:w="2444" w:type="dxa"/>
                  <w:vAlign w:val="center"/>
                </w:tcPr>
                <w:p>
                  <w:pPr>
                    <w:adjustRightInd w:val="0"/>
                    <w:jc w:val="center"/>
                    <w:rPr>
                      <w:rFonts w:hint="eastAsia"/>
                      <w:szCs w:val="21"/>
                    </w:rPr>
                  </w:pPr>
                  <w:r>
                    <w:rPr>
                      <w:rFonts w:hint="eastAsia"/>
                      <w:szCs w:val="21"/>
                    </w:rPr>
                    <w:t>废水</w:t>
                  </w:r>
                </w:p>
              </w:tc>
              <w:tc>
                <w:tcPr>
                  <w:tcW w:w="2977" w:type="dxa"/>
                  <w:gridSpan w:val="2"/>
                  <w:vAlign w:val="center"/>
                </w:tcPr>
                <w:p>
                  <w:pPr>
                    <w:adjustRightInd w:val="0"/>
                    <w:jc w:val="center"/>
                    <w:rPr>
                      <w:rFonts w:hint="eastAsia"/>
                      <w:szCs w:val="21"/>
                    </w:rPr>
                  </w:pPr>
                  <w:r>
                    <w:rPr>
                      <w:rFonts w:hint="eastAsia"/>
                      <w:szCs w:val="21"/>
                    </w:rPr>
                    <w:t>隔油池、化粪池</w:t>
                  </w:r>
                </w:p>
              </w:tc>
              <w:tc>
                <w:tcPr>
                  <w:tcW w:w="3185" w:type="dxa"/>
                  <w:vAlign w:val="center"/>
                </w:tcPr>
                <w:p>
                  <w:pPr>
                    <w:adjustRightInd w:val="0"/>
                    <w:jc w:val="center"/>
                    <w:rPr>
                      <w:rFonts w:hint="eastAsia"/>
                      <w:szCs w:val="21"/>
                    </w:rPr>
                  </w:pPr>
                  <w:r>
                    <w:rPr>
                      <w:rFonts w:hint="eastAsia"/>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rFonts w:hint="eastAsia"/>
                      <w:szCs w:val="21"/>
                    </w:rPr>
                  </w:pPr>
                </w:p>
              </w:tc>
              <w:tc>
                <w:tcPr>
                  <w:tcW w:w="2444" w:type="dxa"/>
                  <w:vMerge w:val="restart"/>
                  <w:vAlign w:val="center"/>
                </w:tcPr>
                <w:p>
                  <w:pPr>
                    <w:adjustRightInd w:val="0"/>
                    <w:jc w:val="center"/>
                    <w:rPr>
                      <w:rFonts w:hint="eastAsia"/>
                      <w:szCs w:val="21"/>
                    </w:rPr>
                  </w:pPr>
                  <w:r>
                    <w:rPr>
                      <w:rFonts w:hint="eastAsia"/>
                      <w:szCs w:val="21"/>
                    </w:rPr>
                    <w:t>废气</w:t>
                  </w:r>
                </w:p>
              </w:tc>
              <w:tc>
                <w:tcPr>
                  <w:tcW w:w="2977" w:type="dxa"/>
                  <w:gridSpan w:val="2"/>
                  <w:vAlign w:val="center"/>
                </w:tcPr>
                <w:p>
                  <w:pPr>
                    <w:adjustRightInd w:val="0"/>
                    <w:jc w:val="center"/>
                    <w:rPr>
                      <w:rFonts w:hint="eastAsia"/>
                      <w:szCs w:val="21"/>
                    </w:rPr>
                  </w:pPr>
                  <w:r>
                    <w:rPr>
                      <w:rFonts w:hint="eastAsia"/>
                      <w:szCs w:val="21"/>
                    </w:rPr>
                    <w:t>排风过滤系统</w:t>
                  </w:r>
                </w:p>
              </w:tc>
              <w:tc>
                <w:tcPr>
                  <w:tcW w:w="3185" w:type="dxa"/>
                  <w:vAlign w:val="center"/>
                </w:tcPr>
                <w:p>
                  <w:pPr>
                    <w:adjustRightInd w:val="0"/>
                    <w:jc w:val="center"/>
                    <w:rPr>
                      <w:rFonts w:hint="eastAsia"/>
                      <w:szCs w:val="21"/>
                    </w:rPr>
                  </w:pPr>
                  <w:r>
                    <w:rPr>
                      <w:rFonts w:hint="eastAsia"/>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rFonts w:hint="eastAsia"/>
                      <w:szCs w:val="21"/>
                    </w:rPr>
                  </w:pPr>
                </w:p>
              </w:tc>
              <w:tc>
                <w:tcPr>
                  <w:tcW w:w="2444" w:type="dxa"/>
                  <w:vMerge/>
                  <w:vAlign w:val="center"/>
                </w:tcPr>
                <w:p>
                  <w:pPr>
                    <w:adjustRightInd w:val="0"/>
                    <w:jc w:val="center"/>
                    <w:rPr>
                      <w:rFonts w:hint="eastAsia"/>
                      <w:szCs w:val="21"/>
                    </w:rPr>
                  </w:pPr>
                </w:p>
              </w:tc>
              <w:tc>
                <w:tcPr>
                  <w:tcW w:w="2977" w:type="dxa"/>
                  <w:gridSpan w:val="2"/>
                  <w:vAlign w:val="center"/>
                </w:tcPr>
                <w:p>
                  <w:pPr>
                    <w:adjustRightInd w:val="0"/>
                    <w:jc w:val="center"/>
                    <w:rPr>
                      <w:rFonts w:hint="eastAsia"/>
                      <w:szCs w:val="21"/>
                    </w:rPr>
                  </w:pPr>
                  <w:r>
                    <w:rPr>
                      <w:rFonts w:hint="eastAsia"/>
                      <w:szCs w:val="21"/>
                    </w:rPr>
                    <w:t>循环喷淋+除水雾+活性炭吸附</w:t>
                  </w:r>
                </w:p>
              </w:tc>
              <w:tc>
                <w:tcPr>
                  <w:tcW w:w="3185" w:type="dxa"/>
                  <w:vAlign w:val="center"/>
                </w:tcPr>
                <w:p>
                  <w:pPr>
                    <w:adjustRightInd w:val="0"/>
                    <w:jc w:val="center"/>
                    <w:rPr>
                      <w:rFonts w:hint="eastAsia"/>
                      <w:szCs w:val="21"/>
                    </w:rPr>
                  </w:pPr>
                  <w:r>
                    <w:rPr>
                      <w:rFonts w:hint="eastAsia"/>
                      <w:szCs w:val="21"/>
                    </w:rPr>
                    <w:t>新建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szCs w:val="21"/>
                    </w:rPr>
                  </w:pPr>
                </w:p>
              </w:tc>
              <w:tc>
                <w:tcPr>
                  <w:tcW w:w="2444" w:type="dxa"/>
                  <w:vAlign w:val="center"/>
                </w:tcPr>
                <w:p>
                  <w:pPr>
                    <w:adjustRightInd w:val="0"/>
                    <w:jc w:val="center"/>
                    <w:rPr>
                      <w:szCs w:val="21"/>
                    </w:rPr>
                  </w:pPr>
                  <w:r>
                    <w:rPr>
                      <w:szCs w:val="21"/>
                    </w:rPr>
                    <w:t>噪声</w:t>
                  </w:r>
                </w:p>
              </w:tc>
              <w:tc>
                <w:tcPr>
                  <w:tcW w:w="2977" w:type="dxa"/>
                  <w:gridSpan w:val="2"/>
                  <w:vAlign w:val="center"/>
                </w:tcPr>
                <w:p>
                  <w:pPr>
                    <w:adjustRightInd w:val="0"/>
                    <w:jc w:val="center"/>
                    <w:rPr>
                      <w:szCs w:val="21"/>
                    </w:rPr>
                  </w:pPr>
                  <w:r>
                    <w:rPr>
                      <w:szCs w:val="21"/>
                    </w:rPr>
                    <w:t>消声减振装置</w:t>
                  </w:r>
                </w:p>
              </w:tc>
              <w:tc>
                <w:tcPr>
                  <w:tcW w:w="3185" w:type="dxa"/>
                  <w:vAlign w:val="center"/>
                </w:tcPr>
                <w:p>
                  <w:pPr>
                    <w:adjustRightInd w:val="0"/>
                    <w:jc w:val="center"/>
                    <w:rPr>
                      <w:szCs w:val="21"/>
                    </w:rPr>
                  </w:pPr>
                  <w:r>
                    <w:rPr>
                      <w:szCs w:val="21"/>
                    </w:rPr>
                    <w:t>已建</w:t>
                  </w:r>
                </w:p>
              </w:tc>
            </w:tr>
            <w:tr>
              <w:tblPrEx>
                <w:tblW w:w="9356" w:type="dxa"/>
                <w:jc w:val="center"/>
                <w:tblInd w:w="113" w:type="dxa"/>
                <w:tblLayout w:type="fixed"/>
                <w:tblCellMar>
                  <w:top w:w="0" w:type="dxa"/>
                  <w:left w:w="108" w:type="dxa"/>
                  <w:bottom w:w="0" w:type="dxa"/>
                  <w:right w:w="108" w:type="dxa"/>
                </w:tblCellMar>
                <w:tblLook w:val="0000"/>
              </w:tblPrEx>
              <w:trPr>
                <w:trHeight w:val="333"/>
                <w:jc w:val="center"/>
              </w:trPr>
              <w:tc>
                <w:tcPr>
                  <w:tcW w:w="750" w:type="dxa"/>
                  <w:vMerge/>
                  <w:vAlign w:val="center"/>
                </w:tcPr>
                <w:p>
                  <w:pPr>
                    <w:adjustRightInd w:val="0"/>
                    <w:jc w:val="center"/>
                    <w:rPr>
                      <w:szCs w:val="21"/>
                    </w:rPr>
                  </w:pPr>
                </w:p>
              </w:tc>
              <w:tc>
                <w:tcPr>
                  <w:tcW w:w="2444" w:type="dxa"/>
                  <w:vAlign w:val="center"/>
                </w:tcPr>
                <w:p>
                  <w:pPr>
                    <w:adjustRightInd w:val="0"/>
                    <w:jc w:val="center"/>
                    <w:rPr>
                      <w:szCs w:val="21"/>
                    </w:rPr>
                  </w:pPr>
                  <w:r>
                    <w:rPr>
                      <w:szCs w:val="21"/>
                    </w:rPr>
                    <w:t>固体废物</w:t>
                  </w:r>
                </w:p>
              </w:tc>
              <w:tc>
                <w:tcPr>
                  <w:tcW w:w="2977" w:type="dxa"/>
                  <w:gridSpan w:val="2"/>
                  <w:vAlign w:val="center"/>
                </w:tcPr>
                <w:p>
                  <w:pPr>
                    <w:adjustRightInd w:val="0"/>
                    <w:jc w:val="center"/>
                    <w:rPr>
                      <w:szCs w:val="21"/>
                    </w:rPr>
                  </w:pPr>
                  <w:r>
                    <w:rPr>
                      <w:szCs w:val="21"/>
                    </w:rPr>
                    <w:t>设置危废暂存仓库，危险废物委托有资质的单位处理</w:t>
                  </w:r>
                </w:p>
              </w:tc>
              <w:tc>
                <w:tcPr>
                  <w:tcW w:w="3185" w:type="dxa"/>
                  <w:vAlign w:val="center"/>
                </w:tcPr>
                <w:p>
                  <w:pPr>
                    <w:adjustRightInd w:val="0"/>
                    <w:jc w:val="center"/>
                    <w:rPr>
                      <w:szCs w:val="21"/>
                    </w:rPr>
                  </w:pPr>
                  <w:r>
                    <w:rPr>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restart"/>
                  <w:vAlign w:val="center"/>
                </w:tcPr>
                <w:p>
                  <w:pPr>
                    <w:adjustRightInd w:val="0"/>
                    <w:jc w:val="center"/>
                    <w:rPr>
                      <w:szCs w:val="21"/>
                    </w:rPr>
                  </w:pPr>
                  <w:r>
                    <w:rPr>
                      <w:szCs w:val="21"/>
                    </w:rPr>
                    <w:t>公用工程</w:t>
                  </w:r>
                </w:p>
              </w:tc>
              <w:tc>
                <w:tcPr>
                  <w:tcW w:w="2444" w:type="dxa"/>
                  <w:vAlign w:val="center"/>
                </w:tcPr>
                <w:p>
                  <w:pPr>
                    <w:adjustRightInd w:val="0"/>
                    <w:jc w:val="center"/>
                    <w:rPr>
                      <w:szCs w:val="21"/>
                    </w:rPr>
                  </w:pPr>
                  <w:r>
                    <w:rPr>
                      <w:szCs w:val="21"/>
                    </w:rPr>
                    <w:t>供水</w:t>
                  </w:r>
                </w:p>
              </w:tc>
              <w:tc>
                <w:tcPr>
                  <w:tcW w:w="2977" w:type="dxa"/>
                  <w:gridSpan w:val="2"/>
                  <w:vAlign w:val="center"/>
                </w:tcPr>
                <w:p>
                  <w:pPr>
                    <w:adjustRightInd w:val="0"/>
                    <w:jc w:val="center"/>
                    <w:rPr>
                      <w:szCs w:val="21"/>
                    </w:rPr>
                  </w:pPr>
                  <w:r>
                    <w:rPr>
                      <w:szCs w:val="21"/>
                    </w:rPr>
                    <w:t>通过市政管网供水</w:t>
                  </w:r>
                </w:p>
              </w:tc>
              <w:tc>
                <w:tcPr>
                  <w:tcW w:w="3185" w:type="dxa"/>
                  <w:vAlign w:val="center"/>
                </w:tcPr>
                <w:p>
                  <w:pPr>
                    <w:adjustRightInd w:val="0"/>
                    <w:jc w:val="center"/>
                    <w:rPr>
                      <w:szCs w:val="21"/>
                    </w:rPr>
                  </w:pPr>
                  <w:r>
                    <w:rPr>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szCs w:val="21"/>
                    </w:rPr>
                  </w:pPr>
                </w:p>
              </w:tc>
              <w:tc>
                <w:tcPr>
                  <w:tcW w:w="2444" w:type="dxa"/>
                  <w:vAlign w:val="center"/>
                </w:tcPr>
                <w:p>
                  <w:pPr>
                    <w:adjustRightInd w:val="0"/>
                    <w:jc w:val="center"/>
                    <w:rPr>
                      <w:szCs w:val="21"/>
                    </w:rPr>
                  </w:pPr>
                  <w:r>
                    <w:rPr>
                      <w:szCs w:val="21"/>
                    </w:rPr>
                    <w:t>排水</w:t>
                  </w:r>
                </w:p>
              </w:tc>
              <w:tc>
                <w:tcPr>
                  <w:tcW w:w="2977" w:type="dxa"/>
                  <w:gridSpan w:val="2"/>
                  <w:vAlign w:val="center"/>
                </w:tcPr>
                <w:p>
                  <w:pPr>
                    <w:adjustRightInd w:val="0"/>
                    <w:jc w:val="center"/>
                    <w:rPr>
                      <w:szCs w:val="21"/>
                    </w:rPr>
                  </w:pPr>
                  <w:r>
                    <w:rPr>
                      <w:szCs w:val="21"/>
                    </w:rPr>
                    <w:t>通过市政管网排水</w:t>
                  </w:r>
                </w:p>
              </w:tc>
              <w:tc>
                <w:tcPr>
                  <w:tcW w:w="3185" w:type="dxa"/>
                  <w:vAlign w:val="center"/>
                </w:tcPr>
                <w:p>
                  <w:pPr>
                    <w:adjustRightInd w:val="0"/>
                    <w:jc w:val="center"/>
                    <w:rPr>
                      <w:szCs w:val="21"/>
                    </w:rPr>
                  </w:pPr>
                  <w:r>
                    <w:rPr>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szCs w:val="21"/>
                    </w:rPr>
                  </w:pPr>
                </w:p>
              </w:tc>
              <w:tc>
                <w:tcPr>
                  <w:tcW w:w="2444" w:type="dxa"/>
                  <w:vAlign w:val="center"/>
                </w:tcPr>
                <w:p>
                  <w:pPr>
                    <w:adjustRightInd w:val="0"/>
                    <w:jc w:val="center"/>
                    <w:rPr>
                      <w:szCs w:val="21"/>
                    </w:rPr>
                  </w:pPr>
                  <w:r>
                    <w:rPr>
                      <w:szCs w:val="21"/>
                    </w:rPr>
                    <w:t>供电</w:t>
                  </w:r>
                </w:p>
              </w:tc>
              <w:tc>
                <w:tcPr>
                  <w:tcW w:w="2977" w:type="dxa"/>
                  <w:gridSpan w:val="2"/>
                  <w:vAlign w:val="center"/>
                </w:tcPr>
                <w:p>
                  <w:pPr>
                    <w:adjustRightInd w:val="0"/>
                    <w:jc w:val="center"/>
                    <w:rPr>
                      <w:szCs w:val="21"/>
                    </w:rPr>
                  </w:pPr>
                  <w:r>
                    <w:rPr>
                      <w:szCs w:val="21"/>
                    </w:rPr>
                    <w:t>通过市政供电系统供电</w:t>
                  </w:r>
                </w:p>
              </w:tc>
              <w:tc>
                <w:tcPr>
                  <w:tcW w:w="3185" w:type="dxa"/>
                  <w:vAlign w:val="center"/>
                </w:tcPr>
                <w:p>
                  <w:pPr>
                    <w:adjustRightInd w:val="0"/>
                    <w:jc w:val="center"/>
                    <w:rPr>
                      <w:szCs w:val="21"/>
                    </w:rPr>
                  </w:pPr>
                  <w:r>
                    <w:rPr>
                      <w:szCs w:val="21"/>
                    </w:rPr>
                    <w:t>已建</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50" w:type="dxa"/>
                  <w:vMerge/>
                  <w:vAlign w:val="center"/>
                </w:tcPr>
                <w:p>
                  <w:pPr>
                    <w:adjustRightInd w:val="0"/>
                    <w:jc w:val="center"/>
                    <w:rPr>
                      <w:szCs w:val="21"/>
                    </w:rPr>
                  </w:pPr>
                </w:p>
              </w:tc>
              <w:tc>
                <w:tcPr>
                  <w:tcW w:w="2444" w:type="dxa"/>
                  <w:vAlign w:val="center"/>
                </w:tcPr>
                <w:p>
                  <w:pPr>
                    <w:adjustRightInd w:val="0"/>
                    <w:jc w:val="center"/>
                    <w:rPr>
                      <w:szCs w:val="21"/>
                    </w:rPr>
                  </w:pPr>
                  <w:r>
                    <w:rPr>
                      <w:szCs w:val="21"/>
                    </w:rPr>
                    <w:t>供热制冷</w:t>
                  </w:r>
                </w:p>
              </w:tc>
              <w:tc>
                <w:tcPr>
                  <w:tcW w:w="2977" w:type="dxa"/>
                  <w:gridSpan w:val="2"/>
                  <w:vAlign w:val="center"/>
                </w:tcPr>
                <w:p>
                  <w:pPr>
                    <w:adjustRightInd w:val="0"/>
                    <w:jc w:val="center"/>
                    <w:rPr>
                      <w:szCs w:val="21"/>
                    </w:rPr>
                  </w:pPr>
                  <w:r>
                    <w:rPr>
                      <w:szCs w:val="21"/>
                    </w:rPr>
                    <w:t>中央空调</w:t>
                  </w:r>
                </w:p>
              </w:tc>
              <w:tc>
                <w:tcPr>
                  <w:tcW w:w="3185" w:type="dxa"/>
                  <w:vAlign w:val="center"/>
                </w:tcPr>
                <w:p>
                  <w:pPr>
                    <w:adjustRightInd w:val="0"/>
                    <w:jc w:val="center"/>
                    <w:rPr>
                      <w:szCs w:val="21"/>
                    </w:rPr>
                  </w:pPr>
                  <w:r>
                    <w:rPr>
                      <w:szCs w:val="21"/>
                    </w:rPr>
                    <w:t>已建</w:t>
                  </w:r>
                </w:p>
              </w:tc>
            </w:tr>
          </w:tbl>
          <w:p>
            <w:pPr>
              <w:snapToGrid w:val="0"/>
              <w:spacing w:line="360" w:lineRule="auto"/>
              <w:ind w:firstLine="480" w:firstLineChars="200"/>
              <w:rPr>
                <w:rFonts w:hint="eastAsia"/>
                <w:bCs/>
                <w:sz w:val="24"/>
              </w:rPr>
            </w:pPr>
            <w:r>
              <w:rPr>
                <w:rFonts w:hint="eastAsia"/>
                <w:sz w:val="24"/>
              </w:rPr>
              <w:t>（2）本项目租用厂房</w:t>
            </w:r>
            <w:r>
              <w:rPr>
                <w:rFonts w:hint="eastAsia"/>
                <w:bCs/>
                <w:sz w:val="24"/>
              </w:rPr>
              <w:t>1#生产车间现状</w:t>
            </w:r>
          </w:p>
          <w:p>
            <w:pPr>
              <w:snapToGrid w:val="0"/>
              <w:spacing w:line="360" w:lineRule="auto"/>
              <w:ind w:firstLine="480" w:firstLineChars="200"/>
              <w:rPr>
                <w:rFonts w:hint="eastAsia"/>
                <w:bCs/>
                <w:sz w:val="24"/>
              </w:rPr>
            </w:pPr>
            <w:r>
              <w:rPr>
                <w:rFonts w:hint="eastAsia"/>
                <w:bCs/>
                <w:sz w:val="24"/>
              </w:rPr>
              <w:t>1#生产车间面积为23060</w:t>
            </w:r>
            <w:r>
              <w:rPr>
                <w:spacing w:val="3"/>
                <w:sz w:val="24"/>
              </w:rPr>
              <w:t>m</w:t>
            </w:r>
            <w:r>
              <w:rPr>
                <w:spacing w:val="3"/>
                <w:sz w:val="24"/>
                <w:vertAlign w:val="superscript"/>
              </w:rPr>
              <w:t>2</w:t>
            </w:r>
            <w:r>
              <w:rPr>
                <w:rFonts w:hint="eastAsia"/>
                <w:spacing w:val="3"/>
                <w:sz w:val="24"/>
              </w:rPr>
              <w:t>，</w:t>
            </w:r>
            <w:r>
              <w:rPr>
                <w:rFonts w:hint="eastAsia"/>
                <w:bCs/>
                <w:sz w:val="24"/>
              </w:rPr>
              <w:t>现有项目</w:t>
            </w:r>
            <w:r>
              <w:rPr>
                <w:rFonts w:hint="eastAsia"/>
                <w:bCs/>
                <w:sz w:val="24"/>
              </w:rPr>
              <w:t>“</w:t>
            </w:r>
            <w:r>
              <w:rPr>
                <w:sz w:val="24"/>
              </w:rPr>
              <w:t>南昌欧菲生物识别技术有限公司年产9600万颗CCM高清微摄像头建设项目</w:t>
            </w:r>
            <w:r>
              <w:rPr>
                <w:rFonts w:hint="eastAsia"/>
                <w:bCs/>
                <w:sz w:val="24"/>
              </w:rPr>
              <w:t>”</w:t>
            </w:r>
            <w:r>
              <w:rPr>
                <w:rFonts w:hint="eastAsia"/>
                <w:bCs/>
                <w:sz w:val="24"/>
              </w:rPr>
              <w:t>占用面积18060</w:t>
            </w:r>
            <w:r>
              <w:rPr>
                <w:bCs/>
                <w:sz w:val="24"/>
              </w:rPr>
              <w:t>m</w:t>
            </w:r>
            <w:r>
              <w:rPr>
                <w:bCs/>
                <w:sz w:val="24"/>
                <w:vertAlign w:val="superscript"/>
              </w:rPr>
              <w:t>2</w:t>
            </w:r>
            <w:r>
              <w:rPr>
                <w:rFonts w:hint="eastAsia"/>
                <w:bCs/>
                <w:sz w:val="24"/>
              </w:rPr>
              <w:t>，</w:t>
            </w:r>
            <w:r>
              <w:rPr>
                <w:bCs/>
                <w:sz w:val="24"/>
              </w:rPr>
              <w:t>剩余部分</w:t>
            </w:r>
            <w:r>
              <w:rPr>
                <w:rFonts w:hint="eastAsia"/>
                <w:bCs/>
                <w:sz w:val="24"/>
              </w:rPr>
              <w:t>5000</w:t>
            </w:r>
            <w:r>
              <w:rPr>
                <w:bCs/>
                <w:sz w:val="24"/>
              </w:rPr>
              <w:t>m</w:t>
            </w:r>
            <w:r>
              <w:rPr>
                <w:bCs/>
                <w:sz w:val="24"/>
                <w:vertAlign w:val="superscript"/>
              </w:rPr>
              <w:t>2</w:t>
            </w:r>
            <w:r>
              <w:rPr>
                <w:rFonts w:hint="eastAsia"/>
                <w:bCs/>
                <w:sz w:val="24"/>
              </w:rPr>
              <w:t>（空置）拟引进</w:t>
            </w:r>
            <w:r>
              <w:rPr>
                <w:rFonts w:hint="eastAsia"/>
                <w:bCs/>
                <w:sz w:val="24"/>
              </w:rPr>
              <w:t>“</w:t>
            </w:r>
            <w:r>
              <w:rPr>
                <w:rFonts w:hint="eastAsia"/>
                <w:bCs/>
                <w:sz w:val="24"/>
              </w:rPr>
              <w:t>超声波指纹识别模组建设项目</w:t>
            </w:r>
            <w:r>
              <w:rPr>
                <w:rFonts w:hint="eastAsia"/>
                <w:bCs/>
                <w:sz w:val="24"/>
              </w:rPr>
              <w:t>”</w:t>
            </w:r>
            <w:r>
              <w:rPr>
                <w:rFonts w:hint="eastAsia"/>
                <w:bCs/>
                <w:sz w:val="24"/>
              </w:rPr>
              <w:t>（即本项目）。</w:t>
            </w:r>
          </w:p>
          <w:p>
            <w:pPr>
              <w:snapToGrid w:val="0"/>
              <w:spacing w:line="360" w:lineRule="auto"/>
              <w:ind w:firstLine="480" w:firstLineChars="200"/>
              <w:rPr>
                <w:sz w:val="24"/>
              </w:rPr>
            </w:pPr>
            <w:r>
              <w:rPr>
                <w:sz w:val="24"/>
              </w:rPr>
              <w:t>（</w:t>
            </w:r>
            <w:r>
              <w:rPr>
                <w:rFonts w:hint="eastAsia"/>
                <w:sz w:val="24"/>
              </w:rPr>
              <w:t>3</w:t>
            </w:r>
            <w:r>
              <w:rPr>
                <w:sz w:val="24"/>
              </w:rPr>
              <w:t>）年产9600万颗CCM高清微摄像头建设项目概况</w:t>
            </w:r>
          </w:p>
          <w:p>
            <w:pPr>
              <w:snapToGrid w:val="0"/>
              <w:spacing w:line="360" w:lineRule="auto"/>
              <w:ind w:firstLine="480" w:firstLineChars="200"/>
              <w:rPr>
                <w:rFonts w:hint="eastAsia"/>
                <w:sz w:val="24"/>
              </w:rPr>
            </w:pPr>
            <w:r>
              <w:rPr>
                <w:rFonts w:hint="eastAsia"/>
                <w:sz w:val="24"/>
              </w:rPr>
              <w:t>“</w:t>
            </w:r>
            <w:r>
              <w:rPr>
                <w:sz w:val="24"/>
              </w:rPr>
              <w:t>南昌欧菲生物识别技术有限公司年产9600万颗CCM高清微摄像头建设项目</w:t>
            </w:r>
            <w:r>
              <w:rPr>
                <w:rFonts w:hint="eastAsia"/>
                <w:sz w:val="24"/>
              </w:rPr>
              <w:t>”</w:t>
            </w:r>
            <w:r>
              <w:rPr>
                <w:sz w:val="24"/>
              </w:rPr>
              <w:t>位于</w:t>
            </w:r>
            <w:r>
              <w:rPr>
                <w:rFonts w:hint="eastAsia"/>
                <w:sz w:val="24"/>
              </w:rPr>
              <w:t>1#生产车间，现已投产</w:t>
            </w:r>
            <w:r>
              <w:rPr>
                <w:sz w:val="24"/>
              </w:rPr>
              <w:t>，南昌高新技术产业开发区管委会于</w:t>
            </w:r>
            <w:r>
              <w:rPr>
                <w:rFonts w:hint="eastAsia"/>
                <w:sz w:val="24"/>
              </w:rPr>
              <w:t>2017年12月23日</w:t>
            </w:r>
            <w:r>
              <w:rPr>
                <w:sz w:val="24"/>
              </w:rPr>
              <w:t>以洪</w:t>
            </w:r>
            <w:r>
              <w:rPr>
                <w:rFonts w:hint="eastAsia"/>
                <w:sz w:val="24"/>
              </w:rPr>
              <w:t>高新管字[2017]177号同意该项目环保备案（详见附件13）。</w:t>
            </w:r>
          </w:p>
          <w:p>
            <w:pPr>
              <w:snapToGrid w:val="0"/>
              <w:spacing w:line="360" w:lineRule="auto"/>
              <w:ind w:firstLine="480" w:firstLineChars="200"/>
              <w:rPr>
                <w:rFonts w:hint="eastAsia"/>
                <w:sz w:val="24"/>
              </w:rPr>
            </w:pPr>
            <w:r>
              <w:rPr>
                <w:rFonts w:hint="eastAsia"/>
                <w:sz w:val="24"/>
              </w:rPr>
              <w:t>“</w:t>
            </w:r>
            <w:r>
              <w:rPr>
                <w:rFonts w:hint="eastAsia"/>
                <w:sz w:val="24"/>
              </w:rPr>
              <w:t>年产9600万颗CCM高清微摄像头建设项目</w:t>
            </w:r>
            <w:r>
              <w:rPr>
                <w:rFonts w:hint="eastAsia"/>
                <w:sz w:val="24"/>
              </w:rPr>
              <w:t>”</w:t>
            </w:r>
            <w:r>
              <w:rPr>
                <w:rFonts w:hint="eastAsia"/>
                <w:sz w:val="24"/>
              </w:rPr>
              <w:t>建设情况详见表1-2。</w:t>
            </w:r>
          </w:p>
          <w:p>
            <w:pPr>
              <w:snapToGrid w:val="0"/>
              <w:spacing w:line="360" w:lineRule="auto"/>
              <w:ind w:firstLine="420" w:firstLineChars="200"/>
              <w:jc w:val="center"/>
              <w:rPr>
                <w:b/>
              </w:rPr>
            </w:pPr>
            <w:r>
              <w:rPr>
                <w:rFonts w:hint="eastAsia"/>
                <w:b/>
              </w:rPr>
              <w:t xml:space="preserve">表1-2 </w:t>
            </w:r>
            <w:r>
              <w:rPr>
                <w:rFonts w:hint="eastAsia"/>
                <w:b/>
              </w:rPr>
              <w:t>“</w:t>
            </w:r>
            <w:r>
              <w:rPr>
                <w:rFonts w:hint="eastAsia"/>
                <w:b/>
              </w:rPr>
              <w:t>年产9600万颗CCM高清微摄像头建设项目</w:t>
            </w:r>
            <w:r>
              <w:rPr>
                <w:rFonts w:hint="eastAsia"/>
                <w:b/>
              </w:rPr>
              <w:t>”</w:t>
            </w:r>
            <w:r>
              <w:rPr>
                <w:rFonts w:hint="eastAsia"/>
                <w:b/>
              </w:rPr>
              <w:t>建设内容一览表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04"/>
              <w:gridCol w:w="1282"/>
              <w:gridCol w:w="3260"/>
              <w:gridCol w:w="3610"/>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8"/>
                <w:jc w:val="center"/>
              </w:trPr>
              <w:tc>
                <w:tcPr>
                  <w:tcW w:w="1204" w:type="dxa"/>
                  <w:vAlign w:val="center"/>
                </w:tcPr>
                <w:p>
                  <w:pPr>
                    <w:snapToGrid w:val="0"/>
                    <w:jc w:val="center"/>
                    <w:rPr>
                      <w:spacing w:val="3"/>
                      <w:szCs w:val="21"/>
                    </w:rPr>
                  </w:pPr>
                  <w:r>
                    <w:rPr>
                      <w:spacing w:val="3"/>
                      <w:szCs w:val="21"/>
                    </w:rPr>
                    <w:t>工程性质</w:t>
                  </w:r>
                </w:p>
              </w:tc>
              <w:tc>
                <w:tcPr>
                  <w:tcW w:w="1282"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建设项目</w:t>
                  </w:r>
                </w:p>
              </w:tc>
              <w:tc>
                <w:tcPr>
                  <w:tcW w:w="326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组成</w:t>
                  </w:r>
                </w:p>
              </w:tc>
              <w:tc>
                <w:tcPr>
                  <w:tcW w:w="361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备注</w:t>
                  </w:r>
                </w:p>
              </w:tc>
            </w:tr>
            <w:tr>
              <w:tblPrEx>
                <w:tblW w:w="9356" w:type="dxa"/>
                <w:jc w:val="center"/>
                <w:tblInd w:w="113" w:type="dxa"/>
                <w:tblLayout w:type="fixed"/>
                <w:tblCellMar>
                  <w:top w:w="0" w:type="dxa"/>
                  <w:left w:w="108" w:type="dxa"/>
                  <w:bottom w:w="0" w:type="dxa"/>
                  <w:right w:w="108" w:type="dxa"/>
                </w:tblCellMar>
                <w:tblLook w:val="0000"/>
              </w:tblPrEx>
              <w:trPr>
                <w:trHeight w:val="307"/>
                <w:jc w:val="center"/>
              </w:trPr>
              <w:tc>
                <w:tcPr>
                  <w:tcW w:w="1204" w:type="dxa"/>
                  <w:tcBorders>
                    <w:top w:val="single" w:sz="4" w:space="0" w:color="auto"/>
                    <w:left w:val="single" w:sz="4" w:space="0" w:color="auto"/>
                    <w:right w:val="single" w:sz="4" w:space="0" w:color="auto"/>
                  </w:tcBorders>
                  <w:vAlign w:val="center"/>
                </w:tcPr>
                <w:p>
                  <w:pPr>
                    <w:snapToGrid w:val="0"/>
                    <w:jc w:val="center"/>
                    <w:rPr>
                      <w:spacing w:val="3"/>
                      <w:szCs w:val="21"/>
                    </w:rPr>
                  </w:pPr>
                  <w:r>
                    <w:rPr>
                      <w:spacing w:val="3"/>
                      <w:szCs w:val="21"/>
                    </w:rPr>
                    <w:t>主体工程</w:t>
                  </w:r>
                </w:p>
              </w:tc>
              <w:tc>
                <w:tcPr>
                  <w:tcW w:w="1282"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rFonts w:hint="eastAsia"/>
                      <w:spacing w:val="3"/>
                      <w:szCs w:val="21"/>
                    </w:rPr>
                    <w:t>生产厂房（1#车间）</w:t>
                  </w:r>
                </w:p>
              </w:tc>
              <w:tc>
                <w:tcPr>
                  <w:tcW w:w="326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rFonts w:hint="eastAsia"/>
                      <w:spacing w:val="3"/>
                      <w:szCs w:val="21"/>
                    </w:rPr>
                    <w:t>1F，</w:t>
                  </w:r>
                  <w:r>
                    <w:rPr>
                      <w:spacing w:val="3"/>
                      <w:szCs w:val="21"/>
                    </w:rPr>
                    <w:t>面积</w:t>
                  </w:r>
                  <w:r>
                    <w:rPr>
                      <w:rFonts w:hint="eastAsia"/>
                      <w:szCs w:val="21"/>
                    </w:rPr>
                    <w:t>18060</w:t>
                  </w:r>
                  <w:r>
                    <w:rPr>
                      <w:spacing w:val="3"/>
                      <w:szCs w:val="21"/>
                    </w:rPr>
                    <w:t>m</w:t>
                  </w:r>
                  <w:r>
                    <w:rPr>
                      <w:spacing w:val="3"/>
                      <w:szCs w:val="21"/>
                      <w:vertAlign w:val="superscript"/>
                    </w:rPr>
                    <w:t>2</w:t>
                  </w:r>
                </w:p>
              </w:tc>
              <w:tc>
                <w:tcPr>
                  <w:tcW w:w="361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依托现有</w:t>
                  </w:r>
                  <w:r>
                    <w:rPr>
                      <w:rFonts w:hint="eastAsia"/>
                      <w:spacing w:val="3"/>
                      <w:szCs w:val="21"/>
                    </w:rPr>
                    <w:t>，</w:t>
                  </w:r>
                  <w:r>
                    <w:rPr>
                      <w:rFonts w:hint="eastAsia"/>
                      <w:szCs w:val="21"/>
                    </w:rPr>
                    <w:t>主要用于CCM高清微摄像头生产</w:t>
                  </w:r>
                </w:p>
              </w:tc>
            </w:tr>
            <w:tr>
              <w:tblPrEx>
                <w:tblW w:w="9356" w:type="dxa"/>
                <w:jc w:val="center"/>
                <w:tblInd w:w="113" w:type="dxa"/>
                <w:tblLayout w:type="fixed"/>
                <w:tblCellMar>
                  <w:top w:w="0" w:type="dxa"/>
                  <w:left w:w="108" w:type="dxa"/>
                  <w:bottom w:w="0" w:type="dxa"/>
                  <w:right w:w="108" w:type="dxa"/>
                </w:tblCellMar>
                <w:tblLook w:val="0000"/>
              </w:tblPrEx>
              <w:trPr>
                <w:trHeight w:val="361"/>
                <w:jc w:val="center"/>
              </w:trPr>
              <w:tc>
                <w:tcPr>
                  <w:tcW w:w="1204" w:type="dxa"/>
                  <w:vMerge w:val="restart"/>
                  <w:vAlign w:val="center"/>
                </w:tcPr>
                <w:p>
                  <w:pPr>
                    <w:snapToGrid w:val="0"/>
                    <w:jc w:val="center"/>
                    <w:rPr>
                      <w:spacing w:val="3"/>
                      <w:szCs w:val="21"/>
                    </w:rPr>
                  </w:pPr>
                  <w:r>
                    <w:rPr>
                      <w:spacing w:val="3"/>
                      <w:szCs w:val="21"/>
                    </w:rPr>
                    <w:t>公用工程</w:t>
                  </w:r>
                </w:p>
              </w:tc>
              <w:tc>
                <w:tcPr>
                  <w:tcW w:w="1282" w:type="dxa"/>
                  <w:vAlign w:val="center"/>
                </w:tcPr>
                <w:p>
                  <w:pPr>
                    <w:snapToGrid w:val="0"/>
                    <w:jc w:val="center"/>
                    <w:rPr>
                      <w:spacing w:val="3"/>
                      <w:szCs w:val="21"/>
                    </w:rPr>
                  </w:pPr>
                  <w:r>
                    <w:rPr>
                      <w:spacing w:val="3"/>
                      <w:szCs w:val="21"/>
                    </w:rPr>
                    <w:t>供水</w:t>
                  </w:r>
                </w:p>
              </w:tc>
              <w:tc>
                <w:tcPr>
                  <w:tcW w:w="3260" w:type="dxa"/>
                  <w:vAlign w:val="center"/>
                </w:tcPr>
                <w:p>
                  <w:pPr>
                    <w:adjustRightInd w:val="0"/>
                    <w:jc w:val="center"/>
                    <w:rPr>
                      <w:rFonts w:hint="eastAsia"/>
                      <w:szCs w:val="21"/>
                    </w:rPr>
                  </w:pPr>
                  <w:r>
                    <w:rPr>
                      <w:rFonts w:hint="eastAsia"/>
                      <w:szCs w:val="21"/>
                    </w:rPr>
                    <w:t>通过市政管网供水</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64"/>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排水</w:t>
                  </w:r>
                </w:p>
              </w:tc>
              <w:tc>
                <w:tcPr>
                  <w:tcW w:w="3260" w:type="dxa"/>
                  <w:vAlign w:val="center"/>
                </w:tcPr>
                <w:p>
                  <w:pPr>
                    <w:adjustRightInd w:val="0"/>
                    <w:jc w:val="center"/>
                    <w:rPr>
                      <w:rFonts w:hint="eastAsia"/>
                      <w:szCs w:val="21"/>
                    </w:rPr>
                  </w:pPr>
                  <w:r>
                    <w:rPr>
                      <w:rFonts w:hint="eastAsia"/>
                      <w:szCs w:val="21"/>
                    </w:rPr>
                    <w:t>通过市政管网排水</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111"/>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rFonts w:hint="eastAsia"/>
                      <w:spacing w:val="3"/>
                      <w:szCs w:val="21"/>
                    </w:rPr>
                    <w:t>供电</w:t>
                  </w:r>
                </w:p>
              </w:tc>
              <w:tc>
                <w:tcPr>
                  <w:tcW w:w="3260" w:type="dxa"/>
                  <w:vAlign w:val="center"/>
                </w:tcPr>
                <w:p>
                  <w:pPr>
                    <w:adjustRightInd w:val="0"/>
                    <w:jc w:val="center"/>
                    <w:rPr>
                      <w:rFonts w:hint="eastAsia"/>
                      <w:szCs w:val="21"/>
                    </w:rPr>
                  </w:pPr>
                  <w:r>
                    <w:rPr>
                      <w:rFonts w:hint="eastAsia"/>
                      <w:szCs w:val="21"/>
                    </w:rPr>
                    <w:t>通过市政供电系统供电</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266"/>
                <w:jc w:val="center"/>
              </w:trPr>
              <w:tc>
                <w:tcPr>
                  <w:tcW w:w="1204" w:type="dxa"/>
                  <w:vMerge w:val="restart"/>
                  <w:vAlign w:val="center"/>
                </w:tcPr>
                <w:p>
                  <w:pPr>
                    <w:snapToGrid w:val="0"/>
                    <w:jc w:val="center"/>
                    <w:rPr>
                      <w:spacing w:val="3"/>
                      <w:szCs w:val="21"/>
                    </w:rPr>
                  </w:pPr>
                  <w:r>
                    <w:rPr>
                      <w:spacing w:val="3"/>
                      <w:szCs w:val="21"/>
                    </w:rPr>
                    <w:t>环保工程</w:t>
                  </w:r>
                </w:p>
              </w:tc>
              <w:tc>
                <w:tcPr>
                  <w:tcW w:w="1282" w:type="dxa"/>
                  <w:vAlign w:val="center"/>
                </w:tcPr>
                <w:p>
                  <w:pPr>
                    <w:snapToGrid w:val="0"/>
                    <w:jc w:val="center"/>
                    <w:rPr>
                      <w:spacing w:val="3"/>
                      <w:szCs w:val="21"/>
                    </w:rPr>
                  </w:pPr>
                  <w:r>
                    <w:rPr>
                      <w:spacing w:val="3"/>
                      <w:szCs w:val="21"/>
                    </w:rPr>
                    <w:t>废水处理</w:t>
                  </w:r>
                </w:p>
              </w:tc>
              <w:tc>
                <w:tcPr>
                  <w:tcW w:w="3260" w:type="dxa"/>
                  <w:tcBorders>
                    <w:bottom w:val="single" w:sz="4" w:space="0" w:color="auto"/>
                  </w:tcBorders>
                  <w:vAlign w:val="center"/>
                </w:tcPr>
                <w:p>
                  <w:pPr>
                    <w:adjustRightInd w:val="0"/>
                    <w:jc w:val="center"/>
                    <w:rPr>
                      <w:rFonts w:hint="eastAsia"/>
                      <w:szCs w:val="21"/>
                    </w:rPr>
                  </w:pPr>
                  <w:r>
                    <w:rPr>
                      <w:rFonts w:hint="eastAsia"/>
                      <w:szCs w:val="21"/>
                    </w:rPr>
                    <w:t>化粪池</w:t>
                  </w:r>
                </w:p>
              </w:tc>
              <w:tc>
                <w:tcPr>
                  <w:tcW w:w="3610" w:type="dxa"/>
                  <w:tcBorders>
                    <w:bottom w:val="single" w:sz="4" w:space="0" w:color="auto"/>
                  </w:tcBorders>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266"/>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废气处理</w:t>
                  </w:r>
                </w:p>
              </w:tc>
              <w:tc>
                <w:tcPr>
                  <w:tcW w:w="3260" w:type="dxa"/>
                  <w:tcBorders>
                    <w:bottom w:val="single" w:sz="4" w:space="0" w:color="auto"/>
                  </w:tcBorders>
                  <w:vAlign w:val="center"/>
                </w:tcPr>
                <w:p>
                  <w:pPr>
                    <w:adjustRightInd w:val="0"/>
                    <w:jc w:val="center"/>
                    <w:rPr>
                      <w:rFonts w:hint="eastAsia"/>
                      <w:szCs w:val="21"/>
                    </w:rPr>
                  </w:pPr>
                  <w:r>
                    <w:rPr>
                      <w:rFonts w:ascii="宋体" w:hAnsi="宋体" w:cs="宋体" w:hint="eastAsia"/>
                      <w:szCs w:val="21"/>
                    </w:rPr>
                    <w:t>吸风口+FFU（风机过滤机组）系统+楼顶15m高排气筒</w:t>
                  </w:r>
                </w:p>
              </w:tc>
              <w:tc>
                <w:tcPr>
                  <w:tcW w:w="3610" w:type="dxa"/>
                  <w:tcBorders>
                    <w:bottom w:val="single" w:sz="4" w:space="0" w:color="auto"/>
                  </w:tcBorders>
                  <w:vAlign w:val="center"/>
                </w:tcPr>
                <w:p>
                  <w:pPr>
                    <w:snapToGrid w:val="0"/>
                    <w:jc w:val="center"/>
                    <w:rPr>
                      <w:spacing w:val="3"/>
                      <w:szCs w:val="21"/>
                    </w:rPr>
                  </w:pPr>
                  <w:r>
                    <w:rPr>
                      <w:spacing w:val="3"/>
                      <w:szCs w:val="21"/>
                    </w:rPr>
                    <w:t>新建</w:t>
                  </w:r>
                </w:p>
              </w:tc>
            </w:tr>
            <w:tr>
              <w:tblPrEx>
                <w:tblW w:w="9356" w:type="dxa"/>
                <w:jc w:val="center"/>
                <w:tblInd w:w="113" w:type="dxa"/>
                <w:tblLayout w:type="fixed"/>
                <w:tblCellMar>
                  <w:top w:w="0" w:type="dxa"/>
                  <w:left w:w="108" w:type="dxa"/>
                  <w:bottom w:w="0" w:type="dxa"/>
                  <w:right w:w="108" w:type="dxa"/>
                </w:tblCellMar>
                <w:tblLook w:val="0000"/>
              </w:tblPrEx>
              <w:trPr>
                <w:trHeight w:val="266"/>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rFonts w:hint="eastAsia"/>
                      <w:spacing w:val="3"/>
                      <w:szCs w:val="21"/>
                    </w:rPr>
                    <w:t>固废</w:t>
                  </w:r>
                  <w:r>
                    <w:rPr>
                      <w:spacing w:val="3"/>
                      <w:szCs w:val="21"/>
                    </w:rPr>
                    <w:t>处置</w:t>
                  </w:r>
                </w:p>
              </w:tc>
              <w:tc>
                <w:tcPr>
                  <w:tcW w:w="3260" w:type="dxa"/>
                  <w:tcBorders>
                    <w:bottom w:val="single" w:sz="4" w:space="0" w:color="auto"/>
                  </w:tcBorders>
                  <w:vAlign w:val="center"/>
                </w:tcPr>
                <w:p>
                  <w:pPr>
                    <w:adjustRightInd w:val="0"/>
                    <w:jc w:val="center"/>
                    <w:rPr>
                      <w:rFonts w:ascii="宋体" w:hAnsi="宋体" w:cs="宋体" w:hint="eastAsia"/>
                      <w:szCs w:val="21"/>
                    </w:rPr>
                  </w:pPr>
                  <w:r>
                    <w:rPr>
                      <w:spacing w:val="3"/>
                      <w:szCs w:val="21"/>
                    </w:rPr>
                    <w:t>一般固废暂存间</w:t>
                  </w:r>
                </w:p>
              </w:tc>
              <w:tc>
                <w:tcPr>
                  <w:tcW w:w="3610" w:type="dxa"/>
                  <w:tcBorders>
                    <w:bottom w:val="single" w:sz="4" w:space="0" w:color="auto"/>
                  </w:tcBorders>
                  <w:vAlign w:val="center"/>
                </w:tcPr>
                <w:p>
                  <w:pPr>
                    <w:snapToGrid w:val="0"/>
                    <w:jc w:val="center"/>
                    <w:rPr>
                      <w:spacing w:val="3"/>
                      <w:szCs w:val="21"/>
                    </w:rPr>
                  </w:pPr>
                  <w:r>
                    <w:rPr>
                      <w:spacing w:val="3"/>
                      <w:szCs w:val="21"/>
                    </w:rPr>
                    <w:t>新建</w:t>
                  </w:r>
                </w:p>
              </w:tc>
            </w:tr>
          </w:tbl>
          <w:p/>
        </w:tc>
      </w:tr>
    </w:tbl>
    <w:p>
      <w:pPr>
        <w:sectPr>
          <w:headerReference w:type="default" r:id="rId10"/>
          <w:footerReference w:type="even" r:id="rId11"/>
          <w:footerReference w:type="default" r:id="rId12"/>
          <w:type w:val="nextPage"/>
          <w:pgSz w:w="11906" w:h="16838"/>
          <w:pgMar w:top="1440" w:right="1469" w:bottom="1440" w:left="1797" w:header="851" w:footer="992" w:gutter="0"/>
          <w:pgNumType w:start="3"/>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ind w:firstLine="480" w:firstLineChars="200"/>
              <w:rPr>
                <w:sz w:val="24"/>
              </w:rPr>
            </w:pPr>
            <w:r>
              <w:rPr>
                <w:rFonts w:ascii="宋体" w:hAnsi="宋体" w:hint="eastAsia"/>
                <w:sz w:val="24"/>
              </w:rPr>
              <w:t>（4）</w:t>
            </w:r>
            <w:r>
              <w:rPr>
                <w:rFonts w:hint="eastAsia"/>
                <w:sz w:val="24"/>
              </w:rPr>
              <w:t>本项目建设内容</w:t>
            </w:r>
          </w:p>
          <w:p>
            <w:pPr>
              <w:snapToGrid w:val="0"/>
              <w:spacing w:line="360" w:lineRule="auto"/>
              <w:ind w:firstLine="480" w:firstLineChars="200"/>
              <w:rPr>
                <w:rFonts w:hint="eastAsia"/>
                <w:sz w:val="24"/>
              </w:rPr>
            </w:pPr>
            <w:r>
              <w:rPr>
                <w:rFonts w:hint="eastAsia"/>
                <w:sz w:val="24"/>
              </w:rPr>
              <w:t>本项目租用1#厂房空置部分（面积5000</w:t>
            </w:r>
            <w:r>
              <w:rPr>
                <w:spacing w:val="3"/>
                <w:sz w:val="24"/>
              </w:rPr>
              <w:t>m</w:t>
            </w:r>
            <w:r>
              <w:rPr>
                <w:spacing w:val="3"/>
                <w:sz w:val="24"/>
                <w:vertAlign w:val="superscript"/>
              </w:rPr>
              <w:t>2</w:t>
            </w:r>
            <w:r>
              <w:rPr>
                <w:rFonts w:hint="eastAsia"/>
                <w:sz w:val="24"/>
              </w:rPr>
              <w:t>）作为生产厂房，购置TFT测试机、银浆印刷机等主要生产设备，项目建成后可形成年产3600万个超声波指纹识别模组的生产能力。</w:t>
            </w:r>
          </w:p>
          <w:p>
            <w:pPr>
              <w:snapToGrid w:val="0"/>
              <w:spacing w:line="360" w:lineRule="auto"/>
              <w:ind w:firstLine="480" w:firstLineChars="200"/>
              <w:rPr>
                <w:sz w:val="24"/>
              </w:rPr>
            </w:pPr>
            <w:r>
              <w:rPr>
                <w:sz w:val="24"/>
              </w:rPr>
              <w:t>项目组成详见表</w:t>
            </w:r>
            <w:r>
              <w:rPr>
                <w:rFonts w:hint="eastAsia"/>
                <w:sz w:val="24"/>
              </w:rPr>
              <w:t>1-3</w:t>
            </w:r>
            <w:r>
              <w:rPr>
                <w:sz w:val="24"/>
              </w:rPr>
              <w:t>。</w:t>
            </w:r>
          </w:p>
          <w:p>
            <w:pPr>
              <w:adjustRightInd w:val="0"/>
              <w:snapToGrid w:val="0"/>
              <w:jc w:val="center"/>
              <w:rPr>
                <w:b/>
              </w:rPr>
            </w:pPr>
            <w:r>
              <w:rPr>
                <w:b/>
              </w:rPr>
              <w:t>表</w:t>
            </w:r>
            <w:r>
              <w:rPr>
                <w:rFonts w:hint="eastAsia"/>
                <w:b/>
              </w:rPr>
              <w:t>1-3</w:t>
            </w:r>
            <w:r>
              <w:rPr>
                <w:b/>
              </w:rPr>
              <w:t xml:space="preserve"> 主要工程建设内容一览表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04"/>
              <w:gridCol w:w="1282"/>
              <w:gridCol w:w="3260"/>
              <w:gridCol w:w="3610"/>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8"/>
                <w:jc w:val="center"/>
              </w:trPr>
              <w:tc>
                <w:tcPr>
                  <w:tcW w:w="1204" w:type="dxa"/>
                  <w:vAlign w:val="center"/>
                </w:tcPr>
                <w:p>
                  <w:pPr>
                    <w:snapToGrid w:val="0"/>
                    <w:jc w:val="center"/>
                    <w:rPr>
                      <w:spacing w:val="3"/>
                      <w:szCs w:val="21"/>
                    </w:rPr>
                  </w:pPr>
                  <w:r>
                    <w:rPr>
                      <w:spacing w:val="3"/>
                      <w:szCs w:val="21"/>
                    </w:rPr>
                    <w:t>工程性质</w:t>
                  </w:r>
                </w:p>
              </w:tc>
              <w:tc>
                <w:tcPr>
                  <w:tcW w:w="1282"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建设项目</w:t>
                  </w:r>
                </w:p>
              </w:tc>
              <w:tc>
                <w:tcPr>
                  <w:tcW w:w="326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组成</w:t>
                  </w:r>
                </w:p>
              </w:tc>
              <w:tc>
                <w:tcPr>
                  <w:tcW w:w="361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spacing w:val="3"/>
                      <w:szCs w:val="21"/>
                    </w:rPr>
                    <w:t>备注</w:t>
                  </w:r>
                </w:p>
              </w:tc>
            </w:tr>
            <w:tr>
              <w:tblPrEx>
                <w:tblW w:w="9356" w:type="dxa"/>
                <w:jc w:val="center"/>
                <w:tblInd w:w="113" w:type="dxa"/>
                <w:tblLayout w:type="fixed"/>
                <w:tblCellMar>
                  <w:top w:w="0" w:type="dxa"/>
                  <w:left w:w="108" w:type="dxa"/>
                  <w:bottom w:w="0" w:type="dxa"/>
                  <w:right w:w="108" w:type="dxa"/>
                </w:tblCellMar>
                <w:tblLook w:val="0000"/>
              </w:tblPrEx>
              <w:trPr>
                <w:trHeight w:val="307"/>
                <w:jc w:val="center"/>
              </w:trPr>
              <w:tc>
                <w:tcPr>
                  <w:tcW w:w="1204" w:type="dxa"/>
                  <w:tcBorders>
                    <w:top w:val="single" w:sz="4" w:space="0" w:color="auto"/>
                    <w:left w:val="single" w:sz="4" w:space="0" w:color="auto"/>
                    <w:right w:val="single" w:sz="4" w:space="0" w:color="auto"/>
                  </w:tcBorders>
                  <w:vAlign w:val="center"/>
                </w:tcPr>
                <w:p>
                  <w:pPr>
                    <w:snapToGrid w:val="0"/>
                    <w:jc w:val="center"/>
                    <w:rPr>
                      <w:spacing w:val="3"/>
                      <w:szCs w:val="21"/>
                    </w:rPr>
                  </w:pPr>
                  <w:r>
                    <w:rPr>
                      <w:spacing w:val="3"/>
                      <w:szCs w:val="21"/>
                    </w:rPr>
                    <w:t>主体工程</w:t>
                  </w:r>
                </w:p>
              </w:tc>
              <w:tc>
                <w:tcPr>
                  <w:tcW w:w="1282"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rFonts w:hint="eastAsia"/>
                      <w:spacing w:val="3"/>
                      <w:szCs w:val="21"/>
                    </w:rPr>
                    <w:t>生产厂房（1#车间）</w:t>
                  </w:r>
                </w:p>
              </w:tc>
              <w:tc>
                <w:tcPr>
                  <w:tcW w:w="326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rFonts w:hint="eastAsia"/>
                      <w:spacing w:val="3"/>
                      <w:szCs w:val="21"/>
                    </w:rPr>
                    <w:t>1F，租用</w:t>
                  </w:r>
                  <w:r>
                    <w:rPr>
                      <w:spacing w:val="3"/>
                      <w:szCs w:val="21"/>
                    </w:rPr>
                    <w:t>面积</w:t>
                  </w:r>
                  <w:r>
                    <w:rPr>
                      <w:rFonts w:hint="eastAsia"/>
                      <w:spacing w:val="3"/>
                      <w:szCs w:val="21"/>
                    </w:rPr>
                    <w:t>5000</w:t>
                  </w:r>
                  <w:r>
                    <w:rPr>
                      <w:spacing w:val="3"/>
                      <w:szCs w:val="21"/>
                    </w:rPr>
                    <w:t>m</w:t>
                  </w:r>
                  <w:r>
                    <w:rPr>
                      <w:spacing w:val="3"/>
                      <w:szCs w:val="21"/>
                      <w:vertAlign w:val="superscript"/>
                    </w:rPr>
                    <w:t>2</w:t>
                  </w:r>
                </w:p>
              </w:tc>
              <w:tc>
                <w:tcPr>
                  <w:tcW w:w="3610" w:type="dxa"/>
                  <w:tcBorders>
                    <w:top w:val="single" w:sz="4" w:space="0" w:color="auto"/>
                    <w:left w:val="single" w:sz="4" w:space="0" w:color="auto"/>
                    <w:bottom w:val="single" w:sz="4" w:space="0" w:color="auto"/>
                    <w:right w:val="single" w:sz="4" w:space="0" w:color="auto"/>
                  </w:tcBorders>
                  <w:vAlign w:val="center"/>
                </w:tcPr>
                <w:p>
                  <w:pPr>
                    <w:snapToGrid w:val="0"/>
                    <w:jc w:val="center"/>
                    <w:rPr>
                      <w:spacing w:val="3"/>
                      <w:szCs w:val="21"/>
                    </w:rPr>
                  </w:pPr>
                  <w:r>
                    <w:rPr>
                      <w:rFonts w:hint="eastAsia"/>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361"/>
                <w:jc w:val="center"/>
              </w:trPr>
              <w:tc>
                <w:tcPr>
                  <w:tcW w:w="1204" w:type="dxa"/>
                  <w:vMerge w:val="restart"/>
                  <w:vAlign w:val="center"/>
                </w:tcPr>
                <w:p>
                  <w:pPr>
                    <w:snapToGrid w:val="0"/>
                    <w:jc w:val="center"/>
                    <w:rPr>
                      <w:spacing w:val="3"/>
                      <w:szCs w:val="21"/>
                    </w:rPr>
                  </w:pPr>
                  <w:r>
                    <w:rPr>
                      <w:spacing w:val="3"/>
                      <w:szCs w:val="21"/>
                    </w:rPr>
                    <w:t>公用工程</w:t>
                  </w:r>
                </w:p>
              </w:tc>
              <w:tc>
                <w:tcPr>
                  <w:tcW w:w="1282" w:type="dxa"/>
                  <w:vAlign w:val="center"/>
                </w:tcPr>
                <w:p>
                  <w:pPr>
                    <w:snapToGrid w:val="0"/>
                    <w:jc w:val="center"/>
                    <w:rPr>
                      <w:spacing w:val="3"/>
                      <w:szCs w:val="21"/>
                    </w:rPr>
                  </w:pPr>
                  <w:r>
                    <w:rPr>
                      <w:spacing w:val="3"/>
                      <w:szCs w:val="21"/>
                    </w:rPr>
                    <w:t>供水</w:t>
                  </w:r>
                </w:p>
              </w:tc>
              <w:tc>
                <w:tcPr>
                  <w:tcW w:w="3260" w:type="dxa"/>
                  <w:vAlign w:val="center"/>
                </w:tcPr>
                <w:p>
                  <w:pPr>
                    <w:adjustRightInd w:val="0"/>
                    <w:jc w:val="center"/>
                    <w:rPr>
                      <w:rFonts w:hint="eastAsia"/>
                      <w:szCs w:val="21"/>
                    </w:rPr>
                  </w:pPr>
                  <w:r>
                    <w:rPr>
                      <w:rFonts w:hint="eastAsia"/>
                      <w:szCs w:val="21"/>
                    </w:rPr>
                    <w:t>通过市政管网供水</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64"/>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排水</w:t>
                  </w:r>
                </w:p>
              </w:tc>
              <w:tc>
                <w:tcPr>
                  <w:tcW w:w="3260" w:type="dxa"/>
                  <w:vAlign w:val="center"/>
                </w:tcPr>
                <w:p>
                  <w:pPr>
                    <w:adjustRightInd w:val="0"/>
                    <w:jc w:val="center"/>
                    <w:rPr>
                      <w:rFonts w:hint="eastAsia"/>
                      <w:szCs w:val="21"/>
                    </w:rPr>
                  </w:pPr>
                  <w:r>
                    <w:rPr>
                      <w:rFonts w:hint="eastAsia"/>
                      <w:szCs w:val="21"/>
                    </w:rPr>
                    <w:t>通过市政管网排水</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111"/>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rFonts w:hint="eastAsia"/>
                      <w:spacing w:val="3"/>
                      <w:szCs w:val="21"/>
                    </w:rPr>
                    <w:t>供电</w:t>
                  </w:r>
                </w:p>
              </w:tc>
              <w:tc>
                <w:tcPr>
                  <w:tcW w:w="3260" w:type="dxa"/>
                  <w:vAlign w:val="center"/>
                </w:tcPr>
                <w:p>
                  <w:pPr>
                    <w:adjustRightInd w:val="0"/>
                    <w:jc w:val="center"/>
                    <w:rPr>
                      <w:rFonts w:hint="eastAsia"/>
                      <w:szCs w:val="21"/>
                    </w:rPr>
                  </w:pPr>
                  <w:r>
                    <w:rPr>
                      <w:rFonts w:hint="eastAsia"/>
                      <w:szCs w:val="21"/>
                    </w:rPr>
                    <w:t>通过市政供电系统供电</w:t>
                  </w:r>
                </w:p>
              </w:tc>
              <w:tc>
                <w:tcPr>
                  <w:tcW w:w="3610" w:type="dxa"/>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266"/>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供暖制冷</w:t>
                  </w:r>
                </w:p>
              </w:tc>
              <w:tc>
                <w:tcPr>
                  <w:tcW w:w="3260" w:type="dxa"/>
                  <w:tcBorders>
                    <w:bottom w:val="single" w:sz="4" w:space="0" w:color="auto"/>
                  </w:tcBorders>
                  <w:vAlign w:val="center"/>
                </w:tcPr>
                <w:p>
                  <w:pPr>
                    <w:adjustRightInd w:val="0"/>
                    <w:jc w:val="center"/>
                    <w:rPr>
                      <w:rFonts w:hint="eastAsia"/>
                      <w:szCs w:val="21"/>
                    </w:rPr>
                  </w:pPr>
                  <w:r>
                    <w:rPr>
                      <w:rFonts w:hint="eastAsia"/>
                      <w:szCs w:val="21"/>
                    </w:rPr>
                    <w:t>中央空调</w:t>
                  </w:r>
                </w:p>
              </w:tc>
              <w:tc>
                <w:tcPr>
                  <w:tcW w:w="3610" w:type="dxa"/>
                  <w:tcBorders>
                    <w:bottom w:val="single" w:sz="4" w:space="0" w:color="auto"/>
                  </w:tcBorders>
                  <w:vAlign w:val="center"/>
                </w:tcPr>
                <w:p>
                  <w:pPr>
                    <w:snapToGrid w:val="0"/>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64"/>
                <w:jc w:val="center"/>
              </w:trPr>
              <w:tc>
                <w:tcPr>
                  <w:tcW w:w="1204" w:type="dxa"/>
                  <w:vMerge w:val="restart"/>
                  <w:vAlign w:val="center"/>
                </w:tcPr>
                <w:p>
                  <w:pPr>
                    <w:snapToGrid w:val="0"/>
                    <w:jc w:val="center"/>
                    <w:rPr>
                      <w:spacing w:val="3"/>
                      <w:szCs w:val="21"/>
                    </w:rPr>
                  </w:pPr>
                  <w:r>
                    <w:rPr>
                      <w:spacing w:val="3"/>
                      <w:szCs w:val="21"/>
                    </w:rPr>
                    <w:t>环保工程</w:t>
                  </w:r>
                </w:p>
              </w:tc>
              <w:tc>
                <w:tcPr>
                  <w:tcW w:w="1282" w:type="dxa"/>
                  <w:vAlign w:val="center"/>
                </w:tcPr>
                <w:p>
                  <w:pPr>
                    <w:snapToGrid w:val="0"/>
                    <w:jc w:val="center"/>
                    <w:rPr>
                      <w:spacing w:val="3"/>
                      <w:szCs w:val="21"/>
                    </w:rPr>
                  </w:pPr>
                  <w:r>
                    <w:rPr>
                      <w:spacing w:val="3"/>
                      <w:szCs w:val="21"/>
                    </w:rPr>
                    <w:t>废水处理</w:t>
                  </w:r>
                </w:p>
              </w:tc>
              <w:tc>
                <w:tcPr>
                  <w:tcW w:w="3260" w:type="dxa"/>
                  <w:vAlign w:val="center"/>
                </w:tcPr>
                <w:p>
                  <w:pPr>
                    <w:shd w:val="clear" w:color="auto" w:fill="FFFFFF"/>
                    <w:snapToGrid w:val="0"/>
                    <w:spacing w:line="80" w:lineRule="atLeast"/>
                    <w:jc w:val="center"/>
                    <w:rPr>
                      <w:spacing w:val="3"/>
                      <w:szCs w:val="21"/>
                    </w:rPr>
                  </w:pPr>
                  <w:r>
                    <w:rPr>
                      <w:spacing w:val="3"/>
                      <w:szCs w:val="21"/>
                    </w:rPr>
                    <w:t>化粪池</w:t>
                  </w:r>
                </w:p>
              </w:tc>
              <w:tc>
                <w:tcPr>
                  <w:tcW w:w="3610" w:type="dxa"/>
                  <w:vAlign w:val="center"/>
                </w:tcPr>
                <w:p>
                  <w:pPr>
                    <w:shd w:val="clear" w:color="auto" w:fill="FFFFFF"/>
                    <w:snapToGrid w:val="0"/>
                    <w:spacing w:line="80" w:lineRule="atLeast"/>
                    <w:jc w:val="center"/>
                    <w:rPr>
                      <w:spacing w:val="3"/>
                      <w:szCs w:val="21"/>
                    </w:rPr>
                  </w:pPr>
                  <w:r>
                    <w:rPr>
                      <w:spacing w:val="3"/>
                      <w:szCs w:val="21"/>
                    </w:rPr>
                    <w:t>依托现有</w:t>
                  </w:r>
                </w:p>
              </w:tc>
            </w:tr>
            <w:tr>
              <w:tblPrEx>
                <w:tblW w:w="9356" w:type="dxa"/>
                <w:jc w:val="center"/>
                <w:tblInd w:w="113" w:type="dxa"/>
                <w:tblLayout w:type="fixed"/>
                <w:tblCellMar>
                  <w:top w:w="0" w:type="dxa"/>
                  <w:left w:w="108" w:type="dxa"/>
                  <w:bottom w:w="0" w:type="dxa"/>
                  <w:right w:w="108" w:type="dxa"/>
                </w:tblCellMar>
                <w:tblLook w:val="0000"/>
              </w:tblPrEx>
              <w:trPr>
                <w:trHeight w:val="295"/>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废气处理</w:t>
                  </w:r>
                </w:p>
              </w:tc>
              <w:tc>
                <w:tcPr>
                  <w:tcW w:w="3260" w:type="dxa"/>
                  <w:vAlign w:val="center"/>
                </w:tcPr>
                <w:p>
                  <w:pPr>
                    <w:shd w:val="clear" w:color="auto" w:fill="FFFFFF"/>
                    <w:snapToGrid w:val="0"/>
                    <w:spacing w:line="80" w:lineRule="atLeast"/>
                    <w:jc w:val="center"/>
                    <w:rPr>
                      <w:spacing w:val="3"/>
                      <w:szCs w:val="21"/>
                    </w:rPr>
                  </w:pPr>
                  <w:r>
                    <w:rPr>
                      <w:rFonts w:hint="eastAsia"/>
                      <w:spacing w:val="3"/>
                      <w:szCs w:val="21"/>
                    </w:rPr>
                    <w:t>三床式RTO蓄热式焚烧炉</w:t>
                  </w:r>
                </w:p>
              </w:tc>
              <w:tc>
                <w:tcPr>
                  <w:tcW w:w="3610" w:type="dxa"/>
                  <w:vAlign w:val="center"/>
                </w:tcPr>
                <w:p>
                  <w:pPr>
                    <w:shd w:val="clear" w:color="auto" w:fill="FFFFFF"/>
                    <w:snapToGrid w:val="0"/>
                    <w:spacing w:line="80" w:lineRule="atLeast"/>
                    <w:jc w:val="center"/>
                    <w:rPr>
                      <w:spacing w:val="3"/>
                      <w:szCs w:val="21"/>
                    </w:rPr>
                  </w:pPr>
                  <w:r>
                    <w:rPr>
                      <w:spacing w:val="3"/>
                      <w:szCs w:val="21"/>
                    </w:rPr>
                    <w:t>新建</w:t>
                  </w:r>
                </w:p>
              </w:tc>
            </w:tr>
            <w:tr>
              <w:tblPrEx>
                <w:tblW w:w="9356" w:type="dxa"/>
                <w:jc w:val="center"/>
                <w:tblInd w:w="113" w:type="dxa"/>
                <w:tblLayout w:type="fixed"/>
                <w:tblCellMar>
                  <w:top w:w="0" w:type="dxa"/>
                  <w:left w:w="108" w:type="dxa"/>
                  <w:bottom w:w="0" w:type="dxa"/>
                  <w:right w:w="108" w:type="dxa"/>
                </w:tblCellMar>
                <w:tblLook w:val="0000"/>
              </w:tblPrEx>
              <w:trPr>
                <w:trHeight w:val="64"/>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噪声治理</w:t>
                  </w:r>
                </w:p>
              </w:tc>
              <w:tc>
                <w:tcPr>
                  <w:tcW w:w="3260" w:type="dxa"/>
                  <w:vAlign w:val="center"/>
                </w:tcPr>
                <w:p>
                  <w:pPr>
                    <w:shd w:val="clear" w:color="auto" w:fill="FFFFFF"/>
                    <w:snapToGrid w:val="0"/>
                    <w:spacing w:line="80" w:lineRule="atLeast"/>
                    <w:jc w:val="center"/>
                    <w:rPr>
                      <w:spacing w:val="3"/>
                      <w:szCs w:val="21"/>
                    </w:rPr>
                  </w:pPr>
                  <w:r>
                    <w:rPr>
                      <w:rFonts w:hint="eastAsia"/>
                      <w:spacing w:val="3"/>
                      <w:szCs w:val="21"/>
                    </w:rPr>
                    <w:t>选用低噪声设备，隔声、减震等</w:t>
                  </w:r>
                </w:p>
              </w:tc>
              <w:tc>
                <w:tcPr>
                  <w:tcW w:w="3610" w:type="dxa"/>
                  <w:vAlign w:val="center"/>
                </w:tcPr>
                <w:p>
                  <w:pPr>
                    <w:shd w:val="clear" w:color="auto" w:fill="FFFFFF"/>
                    <w:snapToGrid w:val="0"/>
                    <w:spacing w:line="80" w:lineRule="atLeast"/>
                    <w:jc w:val="center"/>
                    <w:rPr>
                      <w:spacing w:val="3"/>
                      <w:szCs w:val="21"/>
                    </w:rPr>
                  </w:pPr>
                  <w:r>
                    <w:rPr>
                      <w:spacing w:val="3"/>
                      <w:szCs w:val="21"/>
                    </w:rPr>
                    <w:t>新建</w:t>
                  </w:r>
                </w:p>
              </w:tc>
            </w:tr>
            <w:tr>
              <w:tblPrEx>
                <w:tblW w:w="9356" w:type="dxa"/>
                <w:jc w:val="center"/>
                <w:tblInd w:w="113" w:type="dxa"/>
                <w:tblLayout w:type="fixed"/>
                <w:tblCellMar>
                  <w:top w:w="0" w:type="dxa"/>
                  <w:left w:w="108" w:type="dxa"/>
                  <w:bottom w:w="0" w:type="dxa"/>
                  <w:right w:w="108" w:type="dxa"/>
                </w:tblCellMar>
                <w:tblLook w:val="0000"/>
              </w:tblPrEx>
              <w:trPr>
                <w:trHeight w:val="64"/>
                <w:jc w:val="center"/>
              </w:trPr>
              <w:tc>
                <w:tcPr>
                  <w:tcW w:w="1204" w:type="dxa"/>
                  <w:vMerge/>
                  <w:vAlign w:val="center"/>
                </w:tcPr>
                <w:p>
                  <w:pPr>
                    <w:snapToGrid w:val="0"/>
                    <w:jc w:val="center"/>
                    <w:rPr>
                      <w:spacing w:val="3"/>
                      <w:szCs w:val="21"/>
                    </w:rPr>
                  </w:pPr>
                </w:p>
              </w:tc>
              <w:tc>
                <w:tcPr>
                  <w:tcW w:w="1282" w:type="dxa"/>
                  <w:vAlign w:val="center"/>
                </w:tcPr>
                <w:p>
                  <w:pPr>
                    <w:snapToGrid w:val="0"/>
                    <w:jc w:val="center"/>
                    <w:rPr>
                      <w:spacing w:val="3"/>
                      <w:szCs w:val="21"/>
                    </w:rPr>
                  </w:pPr>
                  <w:r>
                    <w:rPr>
                      <w:spacing w:val="3"/>
                      <w:szCs w:val="21"/>
                    </w:rPr>
                    <w:t>固废处理</w:t>
                  </w:r>
                </w:p>
              </w:tc>
              <w:tc>
                <w:tcPr>
                  <w:tcW w:w="3260" w:type="dxa"/>
                  <w:vAlign w:val="center"/>
                </w:tcPr>
                <w:p>
                  <w:pPr>
                    <w:shd w:val="clear" w:color="auto" w:fill="FFFFFF"/>
                    <w:snapToGrid w:val="0"/>
                    <w:spacing w:line="80" w:lineRule="atLeast"/>
                    <w:jc w:val="center"/>
                    <w:rPr>
                      <w:spacing w:val="3"/>
                      <w:szCs w:val="21"/>
                    </w:rPr>
                  </w:pPr>
                  <w:r>
                    <w:rPr>
                      <w:spacing w:val="3"/>
                      <w:szCs w:val="21"/>
                    </w:rPr>
                    <w:t>一般固废暂存间</w:t>
                  </w:r>
                  <w:r>
                    <w:rPr>
                      <w:rFonts w:hint="eastAsia"/>
                      <w:spacing w:val="3"/>
                      <w:szCs w:val="21"/>
                    </w:rPr>
                    <w:t>，</w:t>
                  </w:r>
                  <w:r>
                    <w:rPr>
                      <w:spacing w:val="3"/>
                      <w:szCs w:val="21"/>
                    </w:rPr>
                    <w:t>建筑面积</w:t>
                  </w:r>
                  <w:r>
                    <w:rPr>
                      <w:rFonts w:hint="eastAsia"/>
                      <w:spacing w:val="3"/>
                      <w:szCs w:val="21"/>
                    </w:rPr>
                    <w:t>60m</w:t>
                  </w:r>
                  <w:r>
                    <w:rPr>
                      <w:rFonts w:hint="eastAsia"/>
                      <w:spacing w:val="3"/>
                      <w:szCs w:val="21"/>
                      <w:vertAlign w:val="superscript"/>
                    </w:rPr>
                    <w:t>2</w:t>
                  </w:r>
                </w:p>
              </w:tc>
              <w:tc>
                <w:tcPr>
                  <w:tcW w:w="3610" w:type="dxa"/>
                  <w:vAlign w:val="center"/>
                </w:tcPr>
                <w:p>
                  <w:pPr>
                    <w:shd w:val="clear" w:color="auto" w:fill="FFFFFF"/>
                    <w:snapToGrid w:val="0"/>
                    <w:spacing w:line="80" w:lineRule="atLeast"/>
                    <w:jc w:val="center"/>
                    <w:rPr>
                      <w:spacing w:val="3"/>
                      <w:szCs w:val="21"/>
                    </w:rPr>
                  </w:pPr>
                  <w:r>
                    <w:rPr>
                      <w:spacing w:val="3"/>
                      <w:szCs w:val="21"/>
                    </w:rPr>
                    <w:t>新建</w:t>
                  </w:r>
                </w:p>
              </w:tc>
            </w:tr>
          </w:tbl>
          <w:p>
            <w:pPr>
              <w:snapToGrid w:val="0"/>
              <w:spacing w:line="360" w:lineRule="auto"/>
              <w:ind w:firstLine="240" w:firstLineChars="100"/>
              <w:rPr>
                <w:rFonts w:hint="eastAsia"/>
                <w:bCs/>
                <w:sz w:val="24"/>
              </w:rPr>
            </w:pPr>
            <w:r>
              <w:rPr>
                <w:rFonts w:hint="eastAsia"/>
                <w:bCs/>
                <w:sz w:val="24"/>
              </w:rPr>
              <w:t>（4）1#厂房现状</w:t>
            </w:r>
          </w:p>
          <w:p>
            <w:pPr>
              <w:snapToGrid w:val="0"/>
              <w:spacing w:line="360" w:lineRule="auto"/>
              <w:ind w:firstLine="240" w:firstLineChars="100"/>
              <w:rPr>
                <w:rFonts w:hint="eastAsia"/>
                <w:bCs/>
                <w:sz w:val="24"/>
              </w:rPr>
            </w:pPr>
            <w:r>
              <w:rPr>
                <w:rFonts w:hint="eastAsia"/>
                <w:bCs/>
                <w:sz w:val="24"/>
              </w:rPr>
              <w:t>1#厂房面积为23060</w:t>
            </w:r>
            <w:r>
              <w:rPr>
                <w:spacing w:val="3"/>
                <w:sz w:val="24"/>
              </w:rPr>
              <w:t>m</w:t>
            </w:r>
            <w:r>
              <w:rPr>
                <w:spacing w:val="3"/>
                <w:sz w:val="24"/>
                <w:vertAlign w:val="superscript"/>
              </w:rPr>
              <w:t>2</w:t>
            </w:r>
            <w:r>
              <w:rPr>
                <w:rFonts w:hint="eastAsia"/>
                <w:spacing w:val="3"/>
                <w:sz w:val="24"/>
              </w:rPr>
              <w:t>，</w:t>
            </w:r>
            <w:r>
              <w:rPr>
                <w:rFonts w:hint="eastAsia"/>
                <w:bCs/>
                <w:sz w:val="24"/>
              </w:rPr>
              <w:t>现有项目</w:t>
            </w:r>
            <w:r>
              <w:rPr>
                <w:rFonts w:hint="eastAsia"/>
                <w:bCs/>
                <w:sz w:val="24"/>
              </w:rPr>
              <w:t>“</w:t>
            </w:r>
            <w:r>
              <w:rPr>
                <w:sz w:val="24"/>
              </w:rPr>
              <w:t>南昌欧菲生物识别技术有限公司年产9600万颗CCM高清微摄像头建设项目</w:t>
            </w:r>
            <w:r>
              <w:rPr>
                <w:rFonts w:hint="eastAsia"/>
                <w:bCs/>
                <w:sz w:val="24"/>
              </w:rPr>
              <w:t>”</w:t>
            </w:r>
            <w:r>
              <w:rPr>
                <w:rFonts w:hint="eastAsia"/>
                <w:bCs/>
                <w:sz w:val="24"/>
              </w:rPr>
              <w:t>占用面积18060</w:t>
            </w:r>
            <w:r>
              <w:rPr>
                <w:bCs/>
                <w:sz w:val="24"/>
              </w:rPr>
              <w:t>m</w:t>
            </w:r>
            <w:r>
              <w:rPr>
                <w:bCs/>
                <w:sz w:val="24"/>
                <w:vertAlign w:val="superscript"/>
              </w:rPr>
              <w:t>2</w:t>
            </w:r>
            <w:r>
              <w:rPr>
                <w:rFonts w:hint="eastAsia"/>
                <w:bCs/>
                <w:sz w:val="24"/>
              </w:rPr>
              <w:t>，</w:t>
            </w:r>
            <w:r>
              <w:rPr>
                <w:bCs/>
                <w:sz w:val="24"/>
              </w:rPr>
              <w:t>剩余部分</w:t>
            </w:r>
            <w:r>
              <w:rPr>
                <w:rFonts w:hint="eastAsia"/>
                <w:bCs/>
                <w:sz w:val="24"/>
              </w:rPr>
              <w:t>5000</w:t>
            </w:r>
            <w:r>
              <w:rPr>
                <w:bCs/>
                <w:sz w:val="24"/>
              </w:rPr>
              <w:t>m</w:t>
            </w:r>
            <w:r>
              <w:rPr>
                <w:bCs/>
                <w:sz w:val="24"/>
                <w:vertAlign w:val="superscript"/>
              </w:rPr>
              <w:t>2</w:t>
            </w:r>
            <w:r>
              <w:rPr>
                <w:rFonts w:hint="eastAsia"/>
                <w:bCs/>
                <w:sz w:val="24"/>
              </w:rPr>
              <w:t>（空置）拟引进</w:t>
            </w:r>
            <w:r>
              <w:rPr>
                <w:rFonts w:hint="eastAsia"/>
                <w:bCs/>
                <w:sz w:val="24"/>
              </w:rPr>
              <w:t>“</w:t>
            </w:r>
            <w:r>
              <w:rPr>
                <w:rFonts w:hint="eastAsia"/>
                <w:bCs/>
                <w:sz w:val="24"/>
              </w:rPr>
              <w:t>超声波指纹识别模组建设项目</w:t>
            </w:r>
            <w:r>
              <w:rPr>
                <w:rFonts w:hint="eastAsia"/>
                <w:bCs/>
                <w:sz w:val="24"/>
              </w:rPr>
              <w:t>”</w:t>
            </w:r>
            <w:r>
              <w:rPr>
                <w:rFonts w:hint="eastAsia"/>
                <w:bCs/>
                <w:sz w:val="24"/>
              </w:rPr>
              <w:t>（即本项目）。</w:t>
            </w:r>
          </w:p>
          <w:p>
            <w:pPr>
              <w:snapToGrid w:val="0"/>
              <w:spacing w:line="360" w:lineRule="auto"/>
              <w:ind w:firstLine="240" w:firstLineChars="100"/>
              <w:rPr>
                <w:rFonts w:hint="eastAsia"/>
                <w:b/>
                <w:bCs/>
                <w:sz w:val="24"/>
              </w:rPr>
            </w:pPr>
            <w:r>
              <w:rPr>
                <w:rFonts w:hint="eastAsia"/>
                <w:b/>
                <w:bCs/>
                <w:sz w:val="24"/>
              </w:rPr>
              <w:t>4、产品方案</w:t>
            </w:r>
          </w:p>
          <w:p>
            <w:pPr>
              <w:snapToGrid w:val="0"/>
              <w:spacing w:line="360" w:lineRule="auto"/>
              <w:ind w:firstLine="420" w:firstLineChars="200"/>
              <w:jc w:val="center"/>
              <w:rPr>
                <w:b/>
                <w:bCs/>
                <w:szCs w:val="21"/>
              </w:rPr>
            </w:pPr>
            <w:r>
              <w:rPr>
                <w:b/>
                <w:kern w:val="0"/>
                <w:szCs w:val="21"/>
              </w:rPr>
              <w:t>表</w:t>
            </w:r>
            <w:r>
              <w:rPr>
                <w:rFonts w:hint="eastAsia"/>
                <w:b/>
                <w:kern w:val="0"/>
                <w:szCs w:val="21"/>
              </w:rPr>
              <w:t>1-</w:t>
            </w:r>
            <w:r>
              <w:rPr>
                <w:rFonts w:hint="eastAsia"/>
                <w:b/>
                <w:bCs/>
                <w:kern w:val="0"/>
                <w:szCs w:val="21"/>
              </w:rPr>
              <w:t>4</w:t>
            </w:r>
            <w:r>
              <w:rPr>
                <w:b/>
                <w:bCs/>
                <w:kern w:val="0"/>
                <w:szCs w:val="21"/>
              </w:rPr>
              <w:t xml:space="preserve"> </w:t>
            </w:r>
            <w:r>
              <w:rPr>
                <w:b/>
                <w:kern w:val="0"/>
                <w:szCs w:val="21"/>
              </w:rPr>
              <w:t>项目生产规模及产品方案</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3"/>
              <w:gridCol w:w="2949"/>
              <w:gridCol w:w="2154"/>
              <w:gridCol w:w="1842"/>
              <w:gridCol w:w="165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813" w:type="dxa"/>
                  <w:vAlign w:val="center"/>
                </w:tcPr>
                <w:p>
                  <w:pPr>
                    <w:jc w:val="center"/>
                    <w:rPr>
                      <w:rFonts w:hint="eastAsia"/>
                      <w:bCs/>
                      <w:szCs w:val="21"/>
                    </w:rPr>
                  </w:pPr>
                  <w:r>
                    <w:rPr>
                      <w:rFonts w:hint="eastAsia"/>
                      <w:bCs/>
                      <w:szCs w:val="21"/>
                    </w:rPr>
                    <w:t>序号</w:t>
                  </w:r>
                </w:p>
              </w:tc>
              <w:tc>
                <w:tcPr>
                  <w:tcW w:w="2949" w:type="dxa"/>
                  <w:vAlign w:val="center"/>
                </w:tcPr>
                <w:p>
                  <w:pPr>
                    <w:jc w:val="center"/>
                    <w:rPr>
                      <w:rFonts w:hint="eastAsia"/>
                      <w:bCs/>
                      <w:szCs w:val="21"/>
                    </w:rPr>
                  </w:pPr>
                  <w:r>
                    <w:rPr>
                      <w:rFonts w:hint="eastAsia"/>
                      <w:bCs/>
                      <w:szCs w:val="21"/>
                    </w:rPr>
                    <w:t>工程名称（生产线或生产车间）</w:t>
                  </w:r>
                </w:p>
              </w:tc>
              <w:tc>
                <w:tcPr>
                  <w:tcW w:w="2154" w:type="dxa"/>
                  <w:vAlign w:val="center"/>
                </w:tcPr>
                <w:p>
                  <w:pPr>
                    <w:jc w:val="center"/>
                    <w:rPr>
                      <w:rFonts w:hint="eastAsia"/>
                      <w:bCs/>
                      <w:szCs w:val="21"/>
                    </w:rPr>
                  </w:pPr>
                  <w:r>
                    <w:rPr>
                      <w:rFonts w:hint="eastAsia"/>
                      <w:bCs/>
                      <w:szCs w:val="21"/>
                    </w:rPr>
                    <w:t>产品名称</w:t>
                  </w:r>
                </w:p>
              </w:tc>
              <w:tc>
                <w:tcPr>
                  <w:tcW w:w="1842" w:type="dxa"/>
                  <w:vAlign w:val="center"/>
                </w:tcPr>
                <w:p>
                  <w:pPr>
                    <w:jc w:val="center"/>
                    <w:rPr>
                      <w:rFonts w:hint="eastAsia"/>
                      <w:bCs/>
                      <w:szCs w:val="21"/>
                    </w:rPr>
                  </w:pPr>
                  <w:r>
                    <w:rPr>
                      <w:rFonts w:hint="eastAsia"/>
                      <w:bCs/>
                      <w:szCs w:val="21"/>
                    </w:rPr>
                    <w:t>设计能力</w:t>
                  </w:r>
                </w:p>
              </w:tc>
              <w:tc>
                <w:tcPr>
                  <w:tcW w:w="1650" w:type="dxa"/>
                  <w:vAlign w:val="center"/>
                </w:tcPr>
                <w:p>
                  <w:pPr>
                    <w:jc w:val="center"/>
                    <w:rPr>
                      <w:rFonts w:hint="eastAsia"/>
                      <w:bCs/>
                      <w:szCs w:val="21"/>
                    </w:rPr>
                  </w:pPr>
                  <w:r>
                    <w:rPr>
                      <w:rFonts w:hint="eastAsia"/>
                      <w:bCs/>
                      <w:szCs w:val="21"/>
                    </w:rPr>
                    <w:t>年生产时数</w:t>
                  </w:r>
                </w:p>
              </w:tc>
            </w:tr>
            <w:tr>
              <w:tblPrEx>
                <w:tblW w:w="0" w:type="auto"/>
                <w:tblInd w:w="113" w:type="dxa"/>
                <w:tblLayout w:type="fixed"/>
                <w:tblCellMar>
                  <w:top w:w="0" w:type="dxa"/>
                  <w:left w:w="108" w:type="dxa"/>
                  <w:bottom w:w="0" w:type="dxa"/>
                  <w:right w:w="108" w:type="dxa"/>
                </w:tblCellMar>
                <w:tblLook w:val="0000"/>
              </w:tblPrEx>
              <w:trPr>
                <w:trHeight w:val="287"/>
              </w:trPr>
              <w:tc>
                <w:tcPr>
                  <w:tcW w:w="813" w:type="dxa"/>
                  <w:vAlign w:val="center"/>
                </w:tcPr>
                <w:p>
                  <w:pPr>
                    <w:jc w:val="center"/>
                    <w:rPr>
                      <w:rFonts w:hint="eastAsia"/>
                      <w:bCs/>
                      <w:szCs w:val="21"/>
                    </w:rPr>
                  </w:pPr>
                  <w:r>
                    <w:rPr>
                      <w:rFonts w:hint="eastAsia"/>
                      <w:bCs/>
                      <w:szCs w:val="21"/>
                    </w:rPr>
                    <w:t>1</w:t>
                  </w:r>
                </w:p>
              </w:tc>
              <w:tc>
                <w:tcPr>
                  <w:tcW w:w="2949" w:type="dxa"/>
                  <w:vAlign w:val="center"/>
                </w:tcPr>
                <w:p>
                  <w:pPr>
                    <w:jc w:val="center"/>
                    <w:rPr>
                      <w:rFonts w:hint="eastAsia"/>
                      <w:bCs/>
                      <w:szCs w:val="21"/>
                    </w:rPr>
                  </w:pPr>
                  <w:r>
                    <w:rPr>
                      <w:rFonts w:hint="eastAsia"/>
                      <w:bCs/>
                      <w:szCs w:val="21"/>
                    </w:rPr>
                    <w:t>1#车间</w:t>
                  </w:r>
                </w:p>
              </w:tc>
              <w:tc>
                <w:tcPr>
                  <w:tcW w:w="2154" w:type="dxa"/>
                  <w:vAlign w:val="center"/>
                </w:tcPr>
                <w:p>
                  <w:pPr>
                    <w:jc w:val="center"/>
                    <w:rPr>
                      <w:rFonts w:hint="eastAsia"/>
                      <w:bCs/>
                      <w:szCs w:val="21"/>
                    </w:rPr>
                  </w:pPr>
                  <w:r>
                    <w:rPr>
                      <w:rFonts w:hint="eastAsia"/>
                      <w:bCs/>
                      <w:szCs w:val="21"/>
                    </w:rPr>
                    <w:t>超声波指纹识别模组</w:t>
                  </w:r>
                </w:p>
              </w:tc>
              <w:tc>
                <w:tcPr>
                  <w:tcW w:w="1842" w:type="dxa"/>
                  <w:vAlign w:val="center"/>
                </w:tcPr>
                <w:p>
                  <w:pPr>
                    <w:jc w:val="center"/>
                    <w:rPr>
                      <w:rFonts w:hint="eastAsia"/>
                      <w:bCs/>
                      <w:szCs w:val="21"/>
                    </w:rPr>
                  </w:pPr>
                  <w:r>
                    <w:rPr>
                      <w:rFonts w:hint="eastAsia"/>
                      <w:bCs/>
                      <w:szCs w:val="21"/>
                    </w:rPr>
                    <w:t>3600万个</w:t>
                  </w:r>
                </w:p>
              </w:tc>
              <w:tc>
                <w:tcPr>
                  <w:tcW w:w="1650" w:type="dxa"/>
                  <w:vAlign w:val="center"/>
                </w:tcPr>
                <w:p>
                  <w:pPr>
                    <w:jc w:val="center"/>
                    <w:rPr>
                      <w:rFonts w:hint="eastAsia"/>
                      <w:bCs/>
                      <w:szCs w:val="21"/>
                    </w:rPr>
                  </w:pPr>
                  <w:r>
                    <w:rPr>
                      <w:rFonts w:hint="eastAsia"/>
                      <w:bCs/>
                      <w:szCs w:val="21"/>
                    </w:rPr>
                    <w:t>4000h</w:t>
                  </w:r>
                </w:p>
              </w:tc>
            </w:tr>
          </w:tbl>
          <w:p>
            <w:pPr>
              <w:snapToGrid w:val="0"/>
              <w:ind w:firstLine="240" w:firstLineChars="100"/>
              <w:rPr>
                <w:rFonts w:hint="eastAsia"/>
                <w:b/>
                <w:bCs/>
                <w:sz w:val="24"/>
              </w:rPr>
            </w:pPr>
            <w:r>
              <w:rPr>
                <w:rFonts w:hint="eastAsia"/>
                <w:b/>
                <w:bCs/>
                <w:sz w:val="24"/>
              </w:rPr>
              <w:t>5、主要原辅材料情况</w:t>
            </w:r>
          </w:p>
          <w:p>
            <w:pPr>
              <w:spacing w:line="360" w:lineRule="auto"/>
              <w:jc w:val="center"/>
              <w:rPr>
                <w:b/>
                <w:bCs/>
                <w:szCs w:val="21"/>
              </w:rPr>
            </w:pPr>
            <w:r>
              <w:rPr>
                <w:b/>
                <w:bCs/>
                <w:szCs w:val="21"/>
              </w:rPr>
              <w:t>表</w:t>
            </w:r>
            <w:r>
              <w:rPr>
                <w:rFonts w:hint="eastAsia"/>
                <w:b/>
                <w:bCs/>
                <w:szCs w:val="21"/>
              </w:rPr>
              <w:t>1-5</w:t>
            </w:r>
            <w:r>
              <w:rPr>
                <w:b/>
                <w:bCs/>
                <w:szCs w:val="21"/>
              </w:rPr>
              <w:t xml:space="preserve"> 主要原辅材料消耗一览表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27"/>
              <w:gridCol w:w="2695"/>
              <w:gridCol w:w="2817"/>
              <w:gridCol w:w="2817"/>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34"/>
                <w:jc w:val="center"/>
              </w:trPr>
              <w:tc>
                <w:tcPr>
                  <w:tcW w:w="1027" w:type="dxa"/>
                  <w:vAlign w:val="center"/>
                </w:tcPr>
                <w:p>
                  <w:pPr>
                    <w:snapToGrid w:val="0"/>
                    <w:jc w:val="center"/>
                    <w:rPr>
                      <w:szCs w:val="21"/>
                    </w:rPr>
                  </w:pPr>
                  <w:r>
                    <w:rPr>
                      <w:szCs w:val="21"/>
                    </w:rPr>
                    <w:t>序号</w:t>
                  </w:r>
                </w:p>
              </w:tc>
              <w:tc>
                <w:tcPr>
                  <w:tcW w:w="2695" w:type="dxa"/>
                  <w:vAlign w:val="center"/>
                </w:tcPr>
                <w:p>
                  <w:pPr>
                    <w:snapToGrid w:val="0"/>
                    <w:jc w:val="center"/>
                    <w:rPr>
                      <w:szCs w:val="21"/>
                    </w:rPr>
                  </w:pPr>
                  <w:r>
                    <w:rPr>
                      <w:szCs w:val="21"/>
                    </w:rPr>
                    <w:t>名称</w:t>
                  </w:r>
                </w:p>
              </w:tc>
              <w:tc>
                <w:tcPr>
                  <w:tcW w:w="2817" w:type="dxa"/>
                </w:tcPr>
                <w:p>
                  <w:pPr>
                    <w:snapToGrid w:val="0"/>
                    <w:jc w:val="center"/>
                    <w:rPr>
                      <w:szCs w:val="21"/>
                    </w:rPr>
                  </w:pPr>
                  <w:r>
                    <w:rPr>
                      <w:szCs w:val="21"/>
                    </w:rPr>
                    <w:t>用量</w:t>
                  </w:r>
                </w:p>
              </w:tc>
              <w:tc>
                <w:tcPr>
                  <w:tcW w:w="2817" w:type="dxa"/>
                </w:tcPr>
                <w:p>
                  <w:pPr>
                    <w:snapToGrid w:val="0"/>
                    <w:jc w:val="center"/>
                    <w:rPr>
                      <w:szCs w:val="21"/>
                    </w:rPr>
                  </w:pPr>
                  <w:r>
                    <w:rPr>
                      <w:szCs w:val="21"/>
                    </w:rPr>
                    <w:t>来源</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t>1</w:t>
                  </w:r>
                </w:p>
              </w:tc>
              <w:tc>
                <w:tcPr>
                  <w:tcW w:w="2695" w:type="dxa"/>
                  <w:vAlign w:val="center"/>
                </w:tcPr>
                <w:p>
                  <w:pPr>
                    <w:jc w:val="center"/>
                  </w:pPr>
                  <w:r>
                    <w:rPr>
                      <w:rFonts w:hint="eastAsia"/>
                    </w:rPr>
                    <w:t>大片TFT</w:t>
                  </w:r>
                </w:p>
              </w:tc>
              <w:tc>
                <w:tcPr>
                  <w:tcW w:w="2817" w:type="dxa"/>
                </w:tcPr>
                <w:p>
                  <w:pPr>
                    <w:jc w:val="center"/>
                  </w:pPr>
                  <w:r>
                    <w:rPr>
                      <w:rFonts w:hint="eastAsia"/>
                    </w:rPr>
                    <w:t>32万sheet</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2</w:t>
                  </w:r>
                </w:p>
              </w:tc>
              <w:tc>
                <w:tcPr>
                  <w:tcW w:w="2695" w:type="dxa"/>
                  <w:vAlign w:val="center"/>
                </w:tcPr>
                <w:p>
                  <w:pPr>
                    <w:jc w:val="center"/>
                    <w:rPr>
                      <w:rFonts w:hint="eastAsia"/>
                    </w:rPr>
                  </w:pPr>
                  <w:r>
                    <w:rPr>
                      <w:rFonts w:hint="eastAsia"/>
                    </w:rPr>
                    <w:t>FPC（柔性电路板）</w:t>
                  </w:r>
                </w:p>
              </w:tc>
              <w:tc>
                <w:tcPr>
                  <w:tcW w:w="2817" w:type="dxa"/>
                </w:tcPr>
                <w:p>
                  <w:pPr>
                    <w:jc w:val="center"/>
                  </w:pPr>
                  <w:r>
                    <w:rPr>
                      <w:rFonts w:hint="eastAsia"/>
                    </w:rPr>
                    <w:t>3636万pcs</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3</w:t>
                  </w:r>
                </w:p>
              </w:tc>
              <w:tc>
                <w:tcPr>
                  <w:tcW w:w="2695" w:type="dxa"/>
                  <w:vAlign w:val="center"/>
                </w:tcPr>
                <w:p>
                  <w:pPr>
                    <w:jc w:val="center"/>
                  </w:pPr>
                  <w:r>
                    <w:t>C</w:t>
                  </w:r>
                  <w:r>
                    <w:rPr>
                      <w:rFonts w:hint="eastAsia"/>
                    </w:rPr>
                    <w:t>opolymer ink</w:t>
                  </w:r>
                </w:p>
              </w:tc>
              <w:tc>
                <w:tcPr>
                  <w:tcW w:w="2817" w:type="dxa"/>
                </w:tcPr>
                <w:p>
                  <w:pPr>
                    <w:jc w:val="center"/>
                  </w:pPr>
                  <w:r>
                    <w:rPr>
                      <w:rFonts w:hint="eastAsia"/>
                    </w:rPr>
                    <w:t>126kg/a</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rPr>
                      <w:rFonts w:hint="eastAsia"/>
                    </w:rPr>
                  </w:pPr>
                  <w:r>
                    <w:rPr>
                      <w:rFonts w:hint="eastAsia"/>
                    </w:rPr>
                    <w:t>4</w:t>
                  </w:r>
                </w:p>
              </w:tc>
              <w:tc>
                <w:tcPr>
                  <w:tcW w:w="2695" w:type="dxa"/>
                  <w:vAlign w:val="center"/>
                </w:tcPr>
                <w:p>
                  <w:pPr>
                    <w:jc w:val="center"/>
                  </w:pPr>
                  <w:r>
                    <w:t>导电银浆</w:t>
                  </w:r>
                </w:p>
              </w:tc>
              <w:tc>
                <w:tcPr>
                  <w:tcW w:w="2817" w:type="dxa"/>
                </w:tcPr>
                <w:p>
                  <w:pPr>
                    <w:jc w:val="center"/>
                    <w:rPr>
                      <w:rFonts w:hint="eastAsia"/>
                    </w:rPr>
                  </w:pPr>
                  <w:r>
                    <w:rPr>
                      <w:rFonts w:hint="eastAsia"/>
                    </w:rPr>
                    <w:t>360kg/a</w:t>
                  </w:r>
                </w:p>
              </w:tc>
              <w:tc>
                <w:tcPr>
                  <w:tcW w:w="2817" w:type="dxa"/>
                </w:tcPr>
                <w:p>
                  <w:pPr>
                    <w:jc w:val="center"/>
                  </w:pPr>
                  <w:r>
                    <w:rPr>
                      <w:rFonts w:hint="eastAsia"/>
                    </w:rPr>
                    <w:t>/</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5</w:t>
                  </w:r>
                </w:p>
              </w:tc>
              <w:tc>
                <w:tcPr>
                  <w:tcW w:w="2695" w:type="dxa"/>
                  <w:vAlign w:val="center"/>
                </w:tcPr>
                <w:p>
                  <w:pPr>
                    <w:jc w:val="center"/>
                  </w:pPr>
                  <w:r>
                    <w:rPr>
                      <w:rFonts w:hint="eastAsia"/>
                    </w:rPr>
                    <w:t>UV胶</w:t>
                  </w:r>
                </w:p>
              </w:tc>
              <w:tc>
                <w:tcPr>
                  <w:tcW w:w="2817" w:type="dxa"/>
                </w:tcPr>
                <w:p>
                  <w:pPr>
                    <w:jc w:val="center"/>
                  </w:pPr>
                  <w:r>
                    <w:rPr>
                      <w:rFonts w:hint="eastAsia"/>
                    </w:rPr>
                    <w:t>288kg/a</w:t>
                  </w:r>
                </w:p>
              </w:tc>
              <w:tc>
                <w:tcPr>
                  <w:tcW w:w="2817" w:type="dxa"/>
                </w:tcPr>
                <w:p>
                  <w:pPr>
                    <w:jc w:val="center"/>
                  </w:pPr>
                  <w:r>
                    <w:t>进口</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6</w:t>
                  </w:r>
                </w:p>
              </w:tc>
              <w:tc>
                <w:tcPr>
                  <w:tcW w:w="2695" w:type="dxa"/>
                  <w:vAlign w:val="center"/>
                </w:tcPr>
                <w:p>
                  <w:pPr>
                    <w:jc w:val="center"/>
                  </w:pPr>
                  <w:r>
                    <w:t>ACF</w:t>
                  </w:r>
                  <w:r>
                    <w:rPr>
                      <w:rFonts w:hint="eastAsia"/>
                    </w:rPr>
                    <w:t>（异方性导电胶膜）</w:t>
                  </w:r>
                </w:p>
              </w:tc>
              <w:tc>
                <w:tcPr>
                  <w:tcW w:w="2817" w:type="dxa"/>
                </w:tcPr>
                <w:p>
                  <w:pPr>
                    <w:jc w:val="center"/>
                  </w:pPr>
                  <w:r>
                    <w:rPr>
                      <w:rFonts w:hint="eastAsia"/>
                    </w:rPr>
                    <w:t>3卷（</w:t>
                  </w:r>
                  <w:r>
                    <w:t>100mm×300m</w:t>
                  </w:r>
                  <w:r>
                    <w:rPr>
                      <w:rFonts w:hint="eastAsia"/>
                    </w:rPr>
                    <w:t>）</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7</w:t>
                  </w:r>
                </w:p>
              </w:tc>
              <w:tc>
                <w:tcPr>
                  <w:tcW w:w="2695" w:type="dxa"/>
                  <w:vAlign w:val="center"/>
                </w:tcPr>
                <w:p>
                  <w:pPr>
                    <w:jc w:val="center"/>
                  </w:pPr>
                  <w:r>
                    <w:t>胶水</w:t>
                  </w:r>
                </w:p>
              </w:tc>
              <w:tc>
                <w:tcPr>
                  <w:tcW w:w="2817" w:type="dxa"/>
                </w:tcPr>
                <w:p>
                  <w:pPr>
                    <w:jc w:val="center"/>
                  </w:pPr>
                  <w:r>
                    <w:rPr>
                      <w:rFonts w:hint="eastAsia"/>
                    </w:rPr>
                    <w:t>220kg/a</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8</w:t>
                  </w:r>
                </w:p>
              </w:tc>
              <w:tc>
                <w:tcPr>
                  <w:tcW w:w="2695" w:type="dxa"/>
                  <w:vAlign w:val="center"/>
                </w:tcPr>
                <w:p>
                  <w:pPr>
                    <w:jc w:val="center"/>
                  </w:pPr>
                  <w:r>
                    <w:t>DAF</w:t>
                  </w:r>
                </w:p>
              </w:tc>
              <w:tc>
                <w:tcPr>
                  <w:tcW w:w="2817" w:type="dxa"/>
                </w:tcPr>
                <w:p>
                  <w:pPr>
                    <w:jc w:val="center"/>
                  </w:pPr>
                  <w:r>
                    <w:rPr>
                      <w:rFonts w:hint="eastAsia"/>
                    </w:rPr>
                    <w:t>3636万pcs</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pPr>
                  <w:r>
                    <w:rPr>
                      <w:rFonts w:hint="eastAsia"/>
                    </w:rPr>
                    <w:t>9</w:t>
                  </w:r>
                </w:p>
              </w:tc>
              <w:tc>
                <w:tcPr>
                  <w:tcW w:w="2695" w:type="dxa"/>
                  <w:vAlign w:val="center"/>
                </w:tcPr>
                <w:p>
                  <w:pPr>
                    <w:jc w:val="center"/>
                  </w:pPr>
                  <w:r>
                    <w:t>CG</w:t>
                  </w:r>
                </w:p>
              </w:tc>
              <w:tc>
                <w:tcPr>
                  <w:tcW w:w="2817" w:type="dxa"/>
                </w:tcPr>
                <w:p>
                  <w:pPr>
                    <w:jc w:val="center"/>
                  </w:pPr>
                  <w:r>
                    <w:rPr>
                      <w:rFonts w:hint="eastAsia"/>
                    </w:rPr>
                    <w:t>3636万pcs</w:t>
                  </w:r>
                </w:p>
              </w:tc>
              <w:tc>
                <w:tcPr>
                  <w:tcW w:w="2817" w:type="dxa"/>
                </w:tcPr>
                <w:p>
                  <w:pPr>
                    <w:jc w:val="center"/>
                  </w:pPr>
                  <w:r>
                    <w:t>国产</w:t>
                  </w:r>
                </w:p>
              </w:tc>
            </w:tr>
            <w:tr>
              <w:tblPrEx>
                <w:tblW w:w="9356" w:type="dxa"/>
                <w:jc w:val="center"/>
                <w:tblInd w:w="113" w:type="dxa"/>
                <w:tblLayout w:type="fixed"/>
                <w:tblCellMar>
                  <w:top w:w="0" w:type="dxa"/>
                  <w:left w:w="108" w:type="dxa"/>
                  <w:bottom w:w="0" w:type="dxa"/>
                  <w:right w:w="108" w:type="dxa"/>
                </w:tblCellMar>
                <w:tblLook w:val="0000"/>
              </w:tblPrEx>
              <w:trPr>
                <w:trHeight w:val="274"/>
                <w:jc w:val="center"/>
              </w:trPr>
              <w:tc>
                <w:tcPr>
                  <w:tcW w:w="1027" w:type="dxa"/>
                  <w:vAlign w:val="center"/>
                </w:tcPr>
                <w:p>
                  <w:pPr>
                    <w:jc w:val="center"/>
                    <w:rPr>
                      <w:rFonts w:hint="eastAsia"/>
                    </w:rPr>
                  </w:pPr>
                  <w:r>
                    <w:rPr>
                      <w:rFonts w:hint="eastAsia"/>
                    </w:rPr>
                    <w:t>10</w:t>
                  </w:r>
                </w:p>
              </w:tc>
              <w:tc>
                <w:tcPr>
                  <w:tcW w:w="2695" w:type="dxa"/>
                  <w:vAlign w:val="center"/>
                </w:tcPr>
                <w:p>
                  <w:pPr>
                    <w:jc w:val="center"/>
                  </w:pPr>
                  <w:r>
                    <w:t>保护膜</w:t>
                  </w:r>
                  <w:r>
                    <w:rPr>
                      <w:rFonts w:hint="eastAsia"/>
                    </w:rPr>
                    <w:t>（普通蓝膜）</w:t>
                  </w:r>
                </w:p>
              </w:tc>
              <w:tc>
                <w:tcPr>
                  <w:tcW w:w="2817" w:type="dxa"/>
                </w:tcPr>
                <w:p>
                  <w:pPr>
                    <w:jc w:val="center"/>
                    <w:rPr>
                      <w:rFonts w:hint="eastAsia"/>
                    </w:rPr>
                  </w:pPr>
                  <w:r>
                    <w:rPr>
                      <w:rFonts w:hint="eastAsia"/>
                    </w:rPr>
                    <w:t>7272万pcs</w:t>
                  </w:r>
                </w:p>
              </w:tc>
              <w:tc>
                <w:tcPr>
                  <w:tcW w:w="2817" w:type="dxa"/>
                </w:tcPr>
                <w:p>
                  <w:pPr>
                    <w:jc w:val="center"/>
                  </w:pPr>
                  <w:r>
                    <w:t>国产</w:t>
                  </w:r>
                </w:p>
              </w:tc>
            </w:tr>
          </w:tbl>
          <w:p>
            <w:pPr>
              <w:snapToGrid w:val="0"/>
              <w:spacing w:line="360" w:lineRule="auto"/>
              <w:ind w:firstLine="480" w:firstLineChars="200"/>
              <w:rPr>
                <w:rFonts w:hint="eastAsia"/>
                <w:bCs/>
                <w:sz w:val="24"/>
              </w:rPr>
            </w:pPr>
            <w:r>
              <w:rPr>
                <w:rFonts w:hint="eastAsia"/>
                <w:bCs/>
                <w:sz w:val="24"/>
                <w:highlight w:val="yellow"/>
              </w:rPr>
              <w:t>主要原辅材料说明：（此部分涉及商业机密，不予公开）</w:t>
            </w:r>
          </w:p>
        </w:tc>
      </w:tr>
    </w:tbl>
    <w:p>
      <w:pPr>
        <w:sectPr>
          <w:headerReference w:type="default" r:id="rId13"/>
          <w:footerReference w:type="even" r:id="rId14"/>
          <w:footerReference w:type="default" r:id="rId15"/>
          <w:type w:val="nextPage"/>
          <w:pgSz w:w="11906" w:h="16838"/>
          <w:pgMar w:top="1440" w:right="1469" w:bottom="1440" w:left="1797" w:header="851" w:footer="992" w:gutter="0"/>
          <w:pgNumType w:start="4"/>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p>
            <w:pPr>
              <w:snapToGrid w:val="0"/>
              <w:spacing w:line="360" w:lineRule="auto"/>
              <w:ind w:firstLine="240" w:firstLineChars="100"/>
              <w:rPr>
                <w:rFonts w:hint="eastAsia"/>
                <w:b/>
                <w:bCs/>
                <w:sz w:val="24"/>
              </w:rPr>
            </w:pPr>
            <w:r>
              <w:rPr>
                <w:rFonts w:hint="eastAsia"/>
                <w:b/>
                <w:bCs/>
                <w:sz w:val="24"/>
              </w:rPr>
              <w:t>6、主要设备</w:t>
            </w:r>
          </w:p>
          <w:p>
            <w:pPr>
              <w:autoSpaceDE w:val="0"/>
              <w:autoSpaceDN w:val="0"/>
              <w:adjustRightInd w:val="0"/>
              <w:spacing w:line="360" w:lineRule="auto"/>
              <w:ind w:firstLine="480" w:firstLineChars="200"/>
              <w:rPr>
                <w:bCs/>
                <w:sz w:val="24"/>
              </w:rPr>
            </w:pPr>
            <w:r>
              <w:rPr>
                <w:bCs/>
                <w:sz w:val="24"/>
              </w:rPr>
              <w:t>主要设备一览表见表</w:t>
            </w:r>
            <w:r>
              <w:rPr>
                <w:rFonts w:hint="eastAsia"/>
                <w:bCs/>
                <w:sz w:val="24"/>
              </w:rPr>
              <w:t>1-6</w:t>
            </w:r>
            <w:r>
              <w:rPr>
                <w:bCs/>
                <w:sz w:val="24"/>
              </w:rPr>
              <w:t>。</w:t>
            </w:r>
          </w:p>
          <w:p>
            <w:pPr>
              <w:pStyle w:val="p0"/>
              <w:spacing w:line="360" w:lineRule="auto"/>
              <w:ind w:firstLine="416" w:firstLineChars="198"/>
              <w:jc w:val="center"/>
              <w:textAlignment w:val="baseline"/>
              <w:rPr>
                <w:b/>
                <w:kern w:val="2"/>
              </w:rPr>
            </w:pPr>
            <w:r>
              <w:rPr>
                <w:b/>
                <w:kern w:val="2"/>
              </w:rPr>
              <w:t>表</w:t>
            </w:r>
            <w:r>
              <w:rPr>
                <w:rFonts w:hint="eastAsia"/>
                <w:b/>
                <w:kern w:val="2"/>
              </w:rPr>
              <w:t>1-6</w:t>
            </w:r>
            <w:r>
              <w:rPr>
                <w:b/>
                <w:kern w:val="2"/>
              </w:rPr>
              <w:t xml:space="preserve"> 主要设备清单表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44"/>
              <w:gridCol w:w="4394"/>
              <w:gridCol w:w="2618"/>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序号</w:t>
                  </w:r>
                </w:p>
              </w:tc>
              <w:tc>
                <w:tcPr>
                  <w:tcW w:w="4394" w:type="dxa"/>
                  <w:vAlign w:val="center"/>
                </w:tcPr>
                <w:p>
                  <w:pPr>
                    <w:jc w:val="center"/>
                    <w:rPr>
                      <w:szCs w:val="21"/>
                    </w:rPr>
                  </w:pPr>
                  <w:r>
                    <w:rPr>
                      <w:szCs w:val="21"/>
                    </w:rPr>
                    <w:t>设备名称</w:t>
                  </w:r>
                </w:p>
              </w:tc>
              <w:tc>
                <w:tcPr>
                  <w:tcW w:w="2618" w:type="dxa"/>
                  <w:vAlign w:val="center"/>
                </w:tcPr>
                <w:p>
                  <w:pPr>
                    <w:jc w:val="center"/>
                    <w:rPr>
                      <w:szCs w:val="21"/>
                    </w:rPr>
                  </w:pPr>
                  <w:r>
                    <w:rPr>
                      <w:szCs w:val="21"/>
                    </w:rPr>
                    <w:t>数量</w:t>
                  </w:r>
                  <w:r>
                    <w:rPr>
                      <w:rFonts w:hint="eastAsia"/>
                      <w:szCs w:val="21"/>
                    </w:rPr>
                    <w:t>（台/套）</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1</w:t>
                  </w:r>
                </w:p>
              </w:tc>
              <w:tc>
                <w:tcPr>
                  <w:tcW w:w="4394" w:type="dxa"/>
                  <w:vAlign w:val="center"/>
                </w:tcPr>
                <w:p>
                  <w:pPr>
                    <w:widowControl/>
                    <w:jc w:val="center"/>
                    <w:textAlignment w:val="bottom"/>
                    <w:rPr>
                      <w:szCs w:val="21"/>
                    </w:rPr>
                  </w:pPr>
                  <w:r>
                    <w:rPr>
                      <w:rFonts w:hint="eastAsia"/>
                      <w:szCs w:val="21"/>
                    </w:rPr>
                    <w:t>TFT测试机</w:t>
                  </w:r>
                </w:p>
              </w:tc>
              <w:tc>
                <w:tcPr>
                  <w:tcW w:w="2618" w:type="dxa"/>
                  <w:vAlign w:val="center"/>
                </w:tcPr>
                <w:p>
                  <w:pPr>
                    <w:widowControl/>
                    <w:jc w:val="center"/>
                    <w:textAlignment w:val="bottom"/>
                    <w:rPr>
                      <w:szCs w:val="21"/>
                    </w:rPr>
                  </w:pPr>
                  <w:r>
                    <w:rPr>
                      <w:rFonts w:hint="eastAsia"/>
                      <w:szCs w:val="21"/>
                    </w:rPr>
                    <w:t>3</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2</w:t>
                  </w:r>
                </w:p>
              </w:tc>
              <w:tc>
                <w:tcPr>
                  <w:tcW w:w="4394" w:type="dxa"/>
                  <w:vAlign w:val="center"/>
                </w:tcPr>
                <w:p>
                  <w:pPr>
                    <w:widowControl/>
                    <w:jc w:val="center"/>
                    <w:textAlignment w:val="bottom"/>
                    <w:rPr>
                      <w:szCs w:val="21"/>
                    </w:rPr>
                  </w:pPr>
                  <w:r>
                    <w:rPr>
                      <w:rFonts w:hint="eastAsia"/>
                      <w:szCs w:val="21"/>
                    </w:rPr>
                    <w:t>Coating（涂布）机台</w:t>
                  </w:r>
                </w:p>
              </w:tc>
              <w:tc>
                <w:tcPr>
                  <w:tcW w:w="2618" w:type="dxa"/>
                  <w:vAlign w:val="center"/>
                </w:tcPr>
                <w:p>
                  <w:pPr>
                    <w:widowControl/>
                    <w:jc w:val="center"/>
                    <w:textAlignment w:val="bottom"/>
                    <w:rPr>
                      <w:szCs w:val="21"/>
                    </w:rPr>
                  </w:pPr>
                  <w:r>
                    <w:rPr>
                      <w:rFonts w:hint="eastAsia"/>
                      <w:szCs w:val="21"/>
                    </w:rPr>
                    <w:t>1</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3</w:t>
                  </w:r>
                </w:p>
              </w:tc>
              <w:tc>
                <w:tcPr>
                  <w:tcW w:w="4394" w:type="dxa"/>
                  <w:vAlign w:val="center"/>
                </w:tcPr>
                <w:p>
                  <w:pPr>
                    <w:widowControl/>
                    <w:jc w:val="center"/>
                    <w:textAlignment w:val="bottom"/>
                    <w:rPr>
                      <w:szCs w:val="21"/>
                    </w:rPr>
                  </w:pPr>
                  <w:r>
                    <w:rPr>
                      <w:rFonts w:hint="eastAsia"/>
                      <w:szCs w:val="21"/>
                    </w:rPr>
                    <w:t>烤箱</w:t>
                  </w:r>
                </w:p>
              </w:tc>
              <w:tc>
                <w:tcPr>
                  <w:tcW w:w="2618" w:type="dxa"/>
                  <w:vAlign w:val="center"/>
                </w:tcPr>
                <w:p>
                  <w:pPr>
                    <w:widowControl/>
                    <w:jc w:val="center"/>
                    <w:textAlignment w:val="bottom"/>
                    <w:rPr>
                      <w:szCs w:val="21"/>
                    </w:rPr>
                  </w:pPr>
                  <w:r>
                    <w:rPr>
                      <w:rFonts w:hint="eastAsia"/>
                      <w:szCs w:val="21"/>
                    </w:rPr>
                    <w:t>4</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4</w:t>
                  </w:r>
                </w:p>
              </w:tc>
              <w:tc>
                <w:tcPr>
                  <w:tcW w:w="4394" w:type="dxa"/>
                  <w:vAlign w:val="center"/>
                </w:tcPr>
                <w:p>
                  <w:pPr>
                    <w:widowControl/>
                    <w:jc w:val="center"/>
                    <w:textAlignment w:val="bottom"/>
                    <w:rPr>
                      <w:szCs w:val="21"/>
                    </w:rPr>
                  </w:pPr>
                  <w:r>
                    <w:rPr>
                      <w:rFonts w:hint="eastAsia"/>
                      <w:szCs w:val="21"/>
                    </w:rPr>
                    <w:t>结晶设备</w:t>
                  </w:r>
                </w:p>
              </w:tc>
              <w:tc>
                <w:tcPr>
                  <w:tcW w:w="2618" w:type="dxa"/>
                  <w:vAlign w:val="center"/>
                </w:tcPr>
                <w:p>
                  <w:pPr>
                    <w:widowControl/>
                    <w:jc w:val="center"/>
                    <w:textAlignment w:val="bottom"/>
                    <w:rPr>
                      <w:szCs w:val="21"/>
                    </w:rPr>
                  </w:pPr>
                  <w:r>
                    <w:rPr>
                      <w:rFonts w:hint="eastAsia"/>
                      <w:szCs w:val="21"/>
                    </w:rPr>
                    <w:t>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5</w:t>
                  </w:r>
                </w:p>
              </w:tc>
              <w:tc>
                <w:tcPr>
                  <w:tcW w:w="4394" w:type="dxa"/>
                  <w:vAlign w:val="center"/>
                </w:tcPr>
                <w:p>
                  <w:pPr>
                    <w:widowControl/>
                    <w:jc w:val="center"/>
                    <w:textAlignment w:val="bottom"/>
                    <w:rPr>
                      <w:szCs w:val="21"/>
                    </w:rPr>
                  </w:pPr>
                  <w:r>
                    <w:rPr>
                      <w:rFonts w:hint="eastAsia"/>
                      <w:szCs w:val="21"/>
                    </w:rPr>
                    <w:t>极化设备</w:t>
                  </w:r>
                </w:p>
              </w:tc>
              <w:tc>
                <w:tcPr>
                  <w:tcW w:w="2618" w:type="dxa"/>
                  <w:vAlign w:val="center"/>
                </w:tcPr>
                <w:p>
                  <w:pPr>
                    <w:widowControl/>
                    <w:jc w:val="center"/>
                    <w:textAlignment w:val="bottom"/>
                    <w:rPr>
                      <w:szCs w:val="21"/>
                    </w:rPr>
                  </w:pPr>
                  <w:r>
                    <w:rPr>
                      <w:rFonts w:hint="eastAsia"/>
                      <w:szCs w:val="21"/>
                    </w:rPr>
                    <w:t>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6</w:t>
                  </w:r>
                </w:p>
              </w:tc>
              <w:tc>
                <w:tcPr>
                  <w:tcW w:w="4394" w:type="dxa"/>
                  <w:vAlign w:val="center"/>
                </w:tcPr>
                <w:p>
                  <w:pPr>
                    <w:widowControl/>
                    <w:jc w:val="center"/>
                    <w:textAlignment w:val="bottom"/>
                    <w:rPr>
                      <w:szCs w:val="21"/>
                    </w:rPr>
                  </w:pPr>
                  <w:r>
                    <w:rPr>
                      <w:rFonts w:hint="eastAsia"/>
                      <w:szCs w:val="21"/>
                    </w:rPr>
                    <w:t>银浆印刷机</w:t>
                  </w:r>
                </w:p>
              </w:tc>
              <w:tc>
                <w:tcPr>
                  <w:tcW w:w="2618" w:type="dxa"/>
                  <w:vAlign w:val="center"/>
                </w:tcPr>
                <w:p>
                  <w:pPr>
                    <w:widowControl/>
                    <w:jc w:val="center"/>
                    <w:textAlignment w:val="bottom"/>
                    <w:rPr>
                      <w:szCs w:val="21"/>
                    </w:rPr>
                  </w:pPr>
                  <w:r>
                    <w:rPr>
                      <w:rFonts w:hint="eastAsia"/>
                      <w:szCs w:val="21"/>
                    </w:rPr>
                    <w:t>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7</w:t>
                  </w:r>
                </w:p>
              </w:tc>
              <w:tc>
                <w:tcPr>
                  <w:tcW w:w="4394" w:type="dxa"/>
                  <w:vAlign w:val="center"/>
                </w:tcPr>
                <w:p>
                  <w:pPr>
                    <w:widowControl/>
                    <w:jc w:val="center"/>
                    <w:textAlignment w:val="bottom"/>
                    <w:rPr>
                      <w:szCs w:val="21"/>
                    </w:rPr>
                  </w:pPr>
                  <w:r>
                    <w:rPr>
                      <w:rFonts w:hint="eastAsia"/>
                      <w:szCs w:val="21"/>
                    </w:rPr>
                    <w:t>Cutting+裂片</w:t>
                  </w:r>
                </w:p>
              </w:tc>
              <w:tc>
                <w:tcPr>
                  <w:tcW w:w="2618" w:type="dxa"/>
                  <w:vAlign w:val="center"/>
                </w:tcPr>
                <w:p>
                  <w:pPr>
                    <w:widowControl/>
                    <w:jc w:val="center"/>
                    <w:textAlignment w:val="bottom"/>
                    <w:rPr>
                      <w:szCs w:val="21"/>
                    </w:rPr>
                  </w:pPr>
                  <w:r>
                    <w:rPr>
                      <w:rFonts w:hint="eastAsia"/>
                      <w:szCs w:val="21"/>
                    </w:rPr>
                    <w:t>1</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8</w:t>
                  </w:r>
                </w:p>
              </w:tc>
              <w:tc>
                <w:tcPr>
                  <w:tcW w:w="4394" w:type="dxa"/>
                  <w:vAlign w:val="center"/>
                </w:tcPr>
                <w:p>
                  <w:pPr>
                    <w:widowControl/>
                    <w:jc w:val="center"/>
                    <w:textAlignment w:val="bottom"/>
                    <w:rPr>
                      <w:szCs w:val="21"/>
                    </w:rPr>
                  </w:pPr>
                  <w:r>
                    <w:rPr>
                      <w:szCs w:val="21"/>
                    </w:rPr>
                    <w:t>FOG</w:t>
                  </w:r>
                </w:p>
              </w:tc>
              <w:tc>
                <w:tcPr>
                  <w:tcW w:w="2618" w:type="dxa"/>
                  <w:vAlign w:val="center"/>
                </w:tcPr>
                <w:p>
                  <w:pPr>
                    <w:widowControl/>
                    <w:jc w:val="center"/>
                    <w:textAlignment w:val="bottom"/>
                    <w:rPr>
                      <w:szCs w:val="21"/>
                    </w:rPr>
                  </w:pPr>
                  <w:r>
                    <w:rPr>
                      <w:rFonts w:hint="eastAsia"/>
                      <w:szCs w:val="21"/>
                    </w:rPr>
                    <w:t>8</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szCs w:val="21"/>
                    </w:rPr>
                  </w:pPr>
                  <w:r>
                    <w:rPr>
                      <w:szCs w:val="21"/>
                    </w:rPr>
                    <w:t>9</w:t>
                  </w:r>
                </w:p>
              </w:tc>
              <w:tc>
                <w:tcPr>
                  <w:tcW w:w="4394" w:type="dxa"/>
                  <w:vAlign w:val="center"/>
                </w:tcPr>
                <w:p>
                  <w:pPr>
                    <w:widowControl/>
                    <w:jc w:val="center"/>
                    <w:textAlignment w:val="bottom"/>
                    <w:rPr>
                      <w:szCs w:val="21"/>
                    </w:rPr>
                  </w:pPr>
                  <w:r>
                    <w:rPr>
                      <w:rFonts w:hint="eastAsia"/>
                      <w:szCs w:val="21"/>
                    </w:rPr>
                    <w:t>CG+IC设备</w:t>
                  </w:r>
                </w:p>
              </w:tc>
              <w:tc>
                <w:tcPr>
                  <w:tcW w:w="2618" w:type="dxa"/>
                  <w:vAlign w:val="center"/>
                </w:tcPr>
                <w:p>
                  <w:pPr>
                    <w:widowControl/>
                    <w:jc w:val="center"/>
                    <w:textAlignment w:val="bottom"/>
                    <w:rPr>
                      <w:szCs w:val="21"/>
                    </w:rPr>
                  </w:pPr>
                  <w:r>
                    <w:rPr>
                      <w:rFonts w:hint="eastAsia"/>
                      <w:szCs w:val="21"/>
                    </w:rPr>
                    <w:t>42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10</w:t>
                  </w:r>
                </w:p>
              </w:tc>
              <w:tc>
                <w:tcPr>
                  <w:tcW w:w="4394" w:type="dxa"/>
                  <w:vAlign w:val="center"/>
                </w:tcPr>
                <w:p>
                  <w:pPr>
                    <w:widowControl/>
                    <w:jc w:val="center"/>
                    <w:textAlignment w:val="bottom"/>
                    <w:rPr>
                      <w:rFonts w:hint="eastAsia"/>
                      <w:szCs w:val="21"/>
                    </w:rPr>
                  </w:pPr>
                  <w:r>
                    <w:rPr>
                      <w:rFonts w:hint="eastAsia"/>
                      <w:szCs w:val="21"/>
                    </w:rPr>
                    <w:t>DAF机</w:t>
                  </w:r>
                </w:p>
              </w:tc>
              <w:tc>
                <w:tcPr>
                  <w:tcW w:w="2618" w:type="dxa"/>
                  <w:vAlign w:val="center"/>
                </w:tcPr>
                <w:p>
                  <w:pPr>
                    <w:widowControl/>
                    <w:jc w:val="center"/>
                    <w:textAlignment w:val="bottom"/>
                    <w:rPr>
                      <w:rFonts w:hint="eastAsia"/>
                      <w:szCs w:val="21"/>
                    </w:rPr>
                  </w:pPr>
                  <w:r>
                    <w:rPr>
                      <w:rFonts w:hint="eastAsia"/>
                      <w:szCs w:val="21"/>
                    </w:rPr>
                    <w:t>12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11</w:t>
                  </w:r>
                </w:p>
              </w:tc>
              <w:tc>
                <w:tcPr>
                  <w:tcW w:w="4394" w:type="dxa"/>
                  <w:vAlign w:val="center"/>
                </w:tcPr>
                <w:p>
                  <w:pPr>
                    <w:widowControl/>
                    <w:jc w:val="center"/>
                    <w:textAlignment w:val="bottom"/>
                    <w:rPr>
                      <w:szCs w:val="21"/>
                    </w:rPr>
                  </w:pPr>
                  <w:r>
                    <w:rPr>
                      <w:rFonts w:hint="eastAsia"/>
                      <w:szCs w:val="21"/>
                    </w:rPr>
                    <w:t>本压机</w:t>
                  </w:r>
                </w:p>
              </w:tc>
              <w:tc>
                <w:tcPr>
                  <w:tcW w:w="2618" w:type="dxa"/>
                  <w:vAlign w:val="center"/>
                </w:tcPr>
                <w:p>
                  <w:pPr>
                    <w:widowControl/>
                    <w:jc w:val="center"/>
                    <w:textAlignment w:val="bottom"/>
                    <w:rPr>
                      <w:szCs w:val="21"/>
                    </w:rPr>
                  </w:pPr>
                  <w:r>
                    <w:rPr>
                      <w:rFonts w:hint="eastAsia"/>
                      <w:szCs w:val="21"/>
                    </w:rPr>
                    <w:t>12</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12</w:t>
                  </w:r>
                </w:p>
              </w:tc>
              <w:tc>
                <w:tcPr>
                  <w:tcW w:w="4394" w:type="dxa"/>
                  <w:vAlign w:val="center"/>
                </w:tcPr>
                <w:p>
                  <w:pPr>
                    <w:widowControl/>
                    <w:jc w:val="center"/>
                    <w:textAlignment w:val="bottom"/>
                    <w:rPr>
                      <w:rFonts w:hint="eastAsia"/>
                      <w:szCs w:val="21"/>
                    </w:rPr>
                  </w:pPr>
                  <w:r>
                    <w:rPr>
                      <w:rFonts w:hint="eastAsia"/>
                      <w:szCs w:val="21"/>
                    </w:rPr>
                    <w:t>点胶机</w:t>
                  </w:r>
                </w:p>
              </w:tc>
              <w:tc>
                <w:tcPr>
                  <w:tcW w:w="2618" w:type="dxa"/>
                  <w:vAlign w:val="center"/>
                </w:tcPr>
                <w:p>
                  <w:pPr>
                    <w:widowControl/>
                    <w:jc w:val="center"/>
                    <w:textAlignment w:val="bottom"/>
                    <w:rPr>
                      <w:rFonts w:hint="eastAsia"/>
                      <w:szCs w:val="21"/>
                    </w:rPr>
                  </w:pPr>
                  <w:r>
                    <w:rPr>
                      <w:rFonts w:hint="eastAsia"/>
                      <w:szCs w:val="21"/>
                    </w:rPr>
                    <w:t>8</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13</w:t>
                  </w:r>
                </w:p>
              </w:tc>
              <w:tc>
                <w:tcPr>
                  <w:tcW w:w="4394" w:type="dxa"/>
                  <w:vAlign w:val="center"/>
                </w:tcPr>
                <w:p>
                  <w:pPr>
                    <w:widowControl/>
                    <w:jc w:val="center"/>
                    <w:textAlignment w:val="bottom"/>
                    <w:rPr>
                      <w:rFonts w:hint="eastAsia"/>
                      <w:szCs w:val="21"/>
                    </w:rPr>
                  </w:pPr>
                  <w:r>
                    <w:rPr>
                      <w:szCs w:val="21"/>
                    </w:rPr>
                    <w:t>Plasma</w:t>
                  </w:r>
                  <w:r>
                    <w:rPr>
                      <w:rFonts w:hint="eastAsia"/>
                      <w:szCs w:val="21"/>
                    </w:rPr>
                    <w:t>（等离子清洗机）</w:t>
                  </w:r>
                </w:p>
              </w:tc>
              <w:tc>
                <w:tcPr>
                  <w:tcW w:w="2618" w:type="dxa"/>
                  <w:vAlign w:val="center"/>
                </w:tcPr>
                <w:p>
                  <w:pPr>
                    <w:widowControl/>
                    <w:jc w:val="center"/>
                    <w:textAlignment w:val="bottom"/>
                    <w:rPr>
                      <w:rFonts w:hint="eastAsia"/>
                      <w:szCs w:val="21"/>
                    </w:rPr>
                  </w:pPr>
                  <w:r>
                    <w:rPr>
                      <w:rFonts w:hint="eastAsia"/>
                      <w:szCs w:val="21"/>
                    </w:rPr>
                    <w:t>4</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14</w:t>
                  </w:r>
                </w:p>
              </w:tc>
              <w:tc>
                <w:tcPr>
                  <w:tcW w:w="4394" w:type="dxa"/>
                  <w:vAlign w:val="center"/>
                </w:tcPr>
                <w:p>
                  <w:pPr>
                    <w:widowControl/>
                    <w:jc w:val="center"/>
                    <w:textAlignment w:val="bottom"/>
                    <w:rPr>
                      <w:rFonts w:hint="eastAsia"/>
                      <w:szCs w:val="21"/>
                    </w:rPr>
                  </w:pPr>
                  <w:r>
                    <w:rPr>
                      <w:rFonts w:hint="eastAsia"/>
                      <w:szCs w:val="21"/>
                    </w:rPr>
                    <w:t>中央空调</w:t>
                  </w:r>
                </w:p>
              </w:tc>
              <w:tc>
                <w:tcPr>
                  <w:tcW w:w="2618" w:type="dxa"/>
                  <w:vAlign w:val="center"/>
                </w:tcPr>
                <w:p>
                  <w:pPr>
                    <w:widowControl/>
                    <w:jc w:val="center"/>
                    <w:textAlignment w:val="bottom"/>
                    <w:rPr>
                      <w:rFonts w:hint="eastAsia"/>
                      <w:szCs w:val="21"/>
                    </w:rPr>
                  </w:pPr>
                  <w:r>
                    <w:rPr>
                      <w:rFonts w:hint="eastAsia"/>
                      <w:szCs w:val="21"/>
                    </w:rPr>
                    <w:t>1</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2344" w:type="dxa"/>
                  <w:vAlign w:val="center"/>
                </w:tcPr>
                <w:p>
                  <w:pPr>
                    <w:jc w:val="center"/>
                    <w:rPr>
                      <w:rFonts w:hint="eastAsia"/>
                      <w:szCs w:val="21"/>
                    </w:rPr>
                  </w:pPr>
                  <w:r>
                    <w:rPr>
                      <w:rFonts w:hint="eastAsia"/>
                      <w:szCs w:val="21"/>
                    </w:rPr>
                    <w:t>15</w:t>
                  </w:r>
                </w:p>
              </w:tc>
              <w:tc>
                <w:tcPr>
                  <w:tcW w:w="4394" w:type="dxa"/>
                  <w:vAlign w:val="center"/>
                </w:tcPr>
                <w:p>
                  <w:pPr>
                    <w:widowControl/>
                    <w:jc w:val="center"/>
                    <w:textAlignment w:val="bottom"/>
                    <w:rPr>
                      <w:rFonts w:hint="eastAsia"/>
                      <w:szCs w:val="21"/>
                    </w:rPr>
                  </w:pPr>
                  <w:r>
                    <w:rPr>
                      <w:rFonts w:hint="eastAsia"/>
                      <w:szCs w:val="21"/>
                    </w:rPr>
                    <w:t>三床式RTO蓄热式焚烧炉</w:t>
                  </w:r>
                </w:p>
              </w:tc>
              <w:tc>
                <w:tcPr>
                  <w:tcW w:w="2618" w:type="dxa"/>
                  <w:vAlign w:val="center"/>
                </w:tcPr>
                <w:p>
                  <w:pPr>
                    <w:widowControl/>
                    <w:jc w:val="center"/>
                    <w:textAlignment w:val="bottom"/>
                    <w:rPr>
                      <w:rFonts w:hint="eastAsia"/>
                      <w:szCs w:val="21"/>
                    </w:rPr>
                  </w:pPr>
                  <w:r>
                    <w:rPr>
                      <w:rFonts w:hint="eastAsia"/>
                      <w:szCs w:val="21"/>
                    </w:rPr>
                    <w:t>1</w:t>
                  </w:r>
                </w:p>
              </w:tc>
            </w:tr>
          </w:tbl>
          <w:p>
            <w:pPr>
              <w:pStyle w:val="Heading2"/>
              <w:snapToGrid w:val="0"/>
              <w:spacing w:before="0" w:after="0" w:line="360" w:lineRule="auto"/>
              <w:ind w:left="210" w:right="210"/>
              <w:rPr>
                <w:rFonts w:ascii="Times New Roman" w:hAnsi="Times New Roman"/>
                <w:lang w:val="en-US" w:eastAsia="zh-CN"/>
              </w:rPr>
            </w:pPr>
            <w:r>
              <w:rPr>
                <w:rFonts w:ascii="Times New Roman" w:hAnsi="Times New Roman" w:hint="eastAsia"/>
                <w:lang w:val="en-US" w:eastAsia="zh-CN"/>
              </w:rPr>
              <w:t>7</w:t>
            </w:r>
            <w:r>
              <w:rPr>
                <w:rFonts w:ascii="Times New Roman" w:hAnsi="Times New Roman"/>
                <w:lang w:val="en-US" w:eastAsia="zh-CN"/>
              </w:rPr>
              <w:t>、公用工程</w:t>
            </w:r>
          </w:p>
          <w:p>
            <w:pPr>
              <w:snapToGrid w:val="0"/>
              <w:spacing w:line="360" w:lineRule="auto"/>
              <w:ind w:firstLine="480" w:firstLineChars="200"/>
              <w:rPr>
                <w:sz w:val="24"/>
              </w:rPr>
            </w:pPr>
            <w:r>
              <w:rPr>
                <w:sz w:val="24"/>
              </w:rPr>
              <w:t>（1）给水</w:t>
            </w:r>
          </w:p>
          <w:p>
            <w:pPr>
              <w:snapToGrid w:val="0"/>
              <w:spacing w:line="360" w:lineRule="auto"/>
              <w:ind w:firstLine="480" w:firstLineChars="200"/>
              <w:rPr>
                <w:sz w:val="24"/>
              </w:rPr>
            </w:pPr>
            <w:r>
              <w:rPr>
                <w:rFonts w:hint="eastAsia"/>
                <w:sz w:val="24"/>
              </w:rPr>
              <w:t>本项目水源取自高新区市政自来水管网，</w:t>
            </w:r>
            <w:r>
              <w:rPr>
                <w:sz w:val="24"/>
              </w:rPr>
              <w:t>本项目总用水量为</w:t>
            </w:r>
            <w:r>
              <w:rPr>
                <w:rFonts w:hint="eastAsia"/>
                <w:sz w:val="24"/>
              </w:rPr>
              <w:t>16000</w:t>
            </w:r>
            <w:r>
              <w:rPr>
                <w:sz w:val="24"/>
              </w:rPr>
              <w:t>m</w:t>
            </w:r>
            <w:r>
              <w:rPr>
                <w:sz w:val="24"/>
                <w:vertAlign w:val="superscript"/>
              </w:rPr>
              <w:t>3</w:t>
            </w:r>
            <w:r>
              <w:rPr>
                <w:sz w:val="24"/>
              </w:rPr>
              <w:t>/a。</w:t>
            </w:r>
          </w:p>
          <w:p>
            <w:pPr>
              <w:snapToGrid w:val="0"/>
              <w:spacing w:line="360" w:lineRule="auto"/>
              <w:ind w:firstLine="480" w:firstLineChars="200"/>
              <w:rPr>
                <w:sz w:val="24"/>
              </w:rPr>
            </w:pPr>
            <w:r>
              <w:rPr>
                <w:sz w:val="24"/>
              </w:rPr>
              <w:t>（2）排水</w:t>
            </w:r>
          </w:p>
          <w:p>
            <w:pPr>
              <w:snapToGrid w:val="0"/>
              <w:spacing w:line="360" w:lineRule="auto"/>
              <w:ind w:firstLine="480" w:firstLineChars="200"/>
              <w:rPr>
                <w:sz w:val="24"/>
              </w:rPr>
            </w:pPr>
            <w:r>
              <w:rPr>
                <w:sz w:val="24"/>
              </w:rPr>
              <w:t>项目采用雨污分流，雨水经收集后排入市政雨水管网，污水经预处理后达到</w:t>
            </w:r>
            <w:r>
              <w:rPr>
                <w:rFonts w:hint="eastAsia"/>
                <w:sz w:val="24"/>
              </w:rPr>
              <w:t>瑶湖</w:t>
            </w:r>
            <w:r>
              <w:rPr>
                <w:sz w:val="24"/>
              </w:rPr>
              <w:t>污水处理厂接管标准后进入</w:t>
            </w:r>
            <w:r>
              <w:rPr>
                <w:rFonts w:hint="eastAsia"/>
                <w:sz w:val="24"/>
              </w:rPr>
              <w:t>瑶湖</w:t>
            </w:r>
            <w:r>
              <w:rPr>
                <w:sz w:val="24"/>
              </w:rPr>
              <w:t>污水处理厂进一步处理</w:t>
            </w:r>
            <w:r>
              <w:rPr>
                <w:rFonts w:hint="eastAsia"/>
                <w:sz w:val="24"/>
              </w:rPr>
              <w:t>，</w:t>
            </w:r>
            <w:r>
              <w:rPr>
                <w:sz w:val="24"/>
              </w:rPr>
              <w:t>达标后最终排入赣江南支。本项目</w:t>
            </w:r>
            <w:r>
              <w:rPr>
                <w:rFonts w:hint="eastAsia"/>
                <w:sz w:val="24"/>
              </w:rPr>
              <w:t>废水</w:t>
            </w:r>
            <w:r>
              <w:rPr>
                <w:sz w:val="24"/>
              </w:rPr>
              <w:t>排放量为</w:t>
            </w:r>
            <w:r>
              <w:rPr>
                <w:rFonts w:hint="eastAsia"/>
                <w:sz w:val="24"/>
              </w:rPr>
              <w:t>12800</w:t>
            </w:r>
            <w:r>
              <w:rPr>
                <w:sz w:val="24"/>
              </w:rPr>
              <w:t>t/a。</w:t>
            </w:r>
          </w:p>
          <w:p>
            <w:pPr>
              <w:snapToGrid w:val="0"/>
              <w:spacing w:line="360" w:lineRule="auto"/>
              <w:ind w:firstLine="480" w:firstLineChars="200"/>
              <w:rPr>
                <w:sz w:val="24"/>
              </w:rPr>
            </w:pPr>
            <w:r>
              <w:rPr>
                <w:sz w:val="24"/>
              </w:rPr>
              <w:t>（3）供电</w:t>
            </w:r>
          </w:p>
          <w:p>
            <w:pPr>
              <w:adjustRightInd w:val="0"/>
              <w:snapToGrid w:val="0"/>
              <w:spacing w:line="360" w:lineRule="auto"/>
              <w:ind w:firstLine="480" w:firstLineChars="200"/>
              <w:rPr>
                <w:rFonts w:hint="eastAsia"/>
                <w:bCs/>
                <w:spacing w:val="10"/>
                <w:sz w:val="24"/>
              </w:rPr>
            </w:pPr>
            <w:r>
              <w:rPr>
                <w:rFonts w:hint="eastAsia"/>
                <w:bCs/>
                <w:spacing w:val="10"/>
                <w:sz w:val="24"/>
              </w:rPr>
              <w:t>由高新区市政电网供电。</w:t>
            </w:r>
          </w:p>
          <w:p>
            <w:pPr>
              <w:adjustRightInd w:val="0"/>
              <w:snapToGrid w:val="0"/>
              <w:spacing w:line="360" w:lineRule="auto"/>
              <w:ind w:firstLine="480" w:firstLineChars="200"/>
              <w:rPr>
                <w:bCs/>
                <w:spacing w:val="10"/>
                <w:sz w:val="24"/>
              </w:rPr>
            </w:pPr>
            <w:r>
              <w:rPr>
                <w:bCs/>
                <w:spacing w:val="10"/>
                <w:sz w:val="24"/>
              </w:rPr>
              <w:t>（4）供热制冷与燃</w:t>
            </w:r>
            <w:r>
              <w:rPr>
                <w:rFonts w:hint="eastAsia"/>
                <w:bCs/>
                <w:spacing w:val="10"/>
                <w:sz w:val="24"/>
              </w:rPr>
              <w:t>料</w:t>
            </w:r>
          </w:p>
          <w:p>
            <w:pPr>
              <w:adjustRightInd w:val="0"/>
              <w:snapToGrid w:val="0"/>
              <w:spacing w:line="360" w:lineRule="auto"/>
              <w:ind w:firstLine="480" w:firstLineChars="200"/>
              <w:rPr>
                <w:rFonts w:hint="eastAsia"/>
                <w:sz w:val="24"/>
              </w:rPr>
            </w:pPr>
            <w:r>
              <w:rPr>
                <w:rFonts w:hint="eastAsia"/>
                <w:sz w:val="24"/>
              </w:rPr>
              <w:t>本项目生产过程废气处理设施（</w:t>
            </w:r>
            <w:r>
              <w:rPr>
                <w:rFonts w:hint="eastAsia"/>
                <w:kern w:val="21"/>
                <w:sz w:val="24"/>
                <w:szCs w:val="20"/>
              </w:rPr>
              <w:t>RTO蓄热式焚烧炉</w:t>
            </w:r>
            <w:r>
              <w:rPr>
                <w:rFonts w:hint="eastAsia"/>
                <w:sz w:val="24"/>
              </w:rPr>
              <w:t>）采用轻柴油作为燃料，车间内采用中央空调对车间内温度、湿度进行控制调节。</w:t>
            </w:r>
          </w:p>
          <w:p>
            <w:pPr>
              <w:pStyle w:val="Heading2"/>
              <w:snapToGrid w:val="0"/>
              <w:spacing w:before="0" w:after="0" w:line="360" w:lineRule="auto"/>
              <w:ind w:left="210" w:right="210"/>
              <w:rPr>
                <w:rFonts w:ascii="Times New Roman" w:hAnsi="Times New Roman" w:hint="eastAsia"/>
                <w:lang w:val="en-US" w:eastAsia="zh-CN"/>
              </w:rPr>
            </w:pPr>
            <w:r>
              <w:rPr>
                <w:rFonts w:ascii="Times New Roman" w:hAnsi="Times New Roman" w:hint="eastAsia"/>
                <w:lang w:val="en-US" w:eastAsia="zh-CN"/>
              </w:rPr>
              <w:t>8</w:t>
            </w:r>
            <w:r>
              <w:rPr>
                <w:rFonts w:ascii="Times New Roman" w:hAnsi="Times New Roman"/>
                <w:lang w:val="en-US" w:eastAsia="zh-CN"/>
              </w:rPr>
              <w:t>、</w:t>
            </w:r>
            <w:r>
              <w:rPr>
                <w:rFonts w:ascii="Times New Roman" w:hAnsi="Times New Roman" w:hint="eastAsia"/>
                <w:lang w:val="en-US" w:eastAsia="zh-CN"/>
              </w:rPr>
              <w:t>劳动</w:t>
            </w:r>
            <w:r>
              <w:rPr>
                <w:rFonts w:ascii="Times New Roman" w:hAnsi="Times New Roman"/>
                <w:lang w:val="en-US" w:eastAsia="zh-CN"/>
              </w:rPr>
              <w:t>定员及工作制度</w:t>
            </w:r>
          </w:p>
          <w:p>
            <w:pPr>
              <w:spacing w:line="360" w:lineRule="auto"/>
              <w:ind w:firstLine="435"/>
              <w:rPr>
                <w:rFonts w:hint="eastAsia"/>
                <w:sz w:val="24"/>
              </w:rPr>
            </w:pPr>
            <w:r>
              <w:rPr>
                <w:rFonts w:hint="eastAsia"/>
                <w:sz w:val="24"/>
              </w:rPr>
              <w:t>（1）劳动定员：本项目员工人数为1278人。</w:t>
            </w:r>
          </w:p>
          <w:p>
            <w:pPr>
              <w:spacing w:after="0" w:line="360" w:lineRule="auto"/>
              <w:ind w:firstLine="435"/>
              <w:rPr>
                <w:rFonts w:hint="eastAsia"/>
                <w:sz w:val="24"/>
              </w:rPr>
            </w:pPr>
            <w:r>
              <w:rPr>
                <w:rFonts w:hint="eastAsia"/>
                <w:sz w:val="24"/>
              </w:rPr>
              <w:t>（2）工作制度：全年工作250天，</w:t>
            </w:r>
            <w:r>
              <w:rPr>
                <w:sz w:val="24"/>
              </w:rPr>
              <w:t>生产班次实行</w:t>
            </w:r>
            <w:r>
              <w:rPr>
                <w:rFonts w:hint="eastAsia"/>
                <w:sz w:val="24"/>
              </w:rPr>
              <w:t>两</w:t>
            </w:r>
            <w:r>
              <w:rPr>
                <w:sz w:val="24"/>
              </w:rPr>
              <w:t>班制</w:t>
            </w:r>
            <w:r>
              <w:rPr>
                <w:rFonts w:hint="eastAsia"/>
                <w:sz w:val="24"/>
              </w:rPr>
              <w:t>，每班8小时。</w:t>
            </w:r>
          </w:p>
        </w:tc>
      </w:tr>
    </w:tbl>
    <w:p>
      <w:pPr>
        <w:sectPr>
          <w:headerReference w:type="default" r:id="rId16"/>
          <w:footerReference w:type="even" r:id="rId17"/>
          <w:footerReference w:type="default" r:id="rId18"/>
          <w:type w:val="nextPage"/>
          <w:pgSz w:w="11906" w:h="16838"/>
          <w:pgMar w:top="1440" w:right="1469" w:bottom="1440" w:left="1797" w:header="851" w:footer="992" w:gutter="0"/>
          <w:pgNumType w:start="5"/>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p>
            <w:pPr>
              <w:spacing w:before="0" w:line="360" w:lineRule="auto"/>
              <w:ind w:firstLine="435"/>
              <w:rPr>
                <w:rFonts w:hint="eastAsia"/>
                <w:sz w:val="24"/>
              </w:rPr>
            </w:pPr>
            <w:r>
              <w:rPr>
                <w:sz w:val="24"/>
              </w:rPr>
              <w:t>本项目内不设食堂和宿舍</w:t>
            </w:r>
            <w:r>
              <w:rPr>
                <w:rFonts w:hint="eastAsia"/>
                <w:sz w:val="24"/>
              </w:rPr>
              <w:t>，</w:t>
            </w:r>
            <w:r>
              <w:rPr>
                <w:sz w:val="24"/>
              </w:rPr>
              <w:t>员工用餐依托项目所在</w:t>
            </w:r>
            <w:r>
              <w:rPr>
                <w:rFonts w:hint="eastAsia"/>
                <w:sz w:val="24"/>
              </w:rPr>
              <w:t>园</w:t>
            </w:r>
            <w:r>
              <w:rPr>
                <w:sz w:val="24"/>
              </w:rPr>
              <w:t>区的食堂</w:t>
            </w:r>
            <w:r>
              <w:rPr>
                <w:rFonts w:hint="eastAsia"/>
                <w:sz w:val="24"/>
              </w:rPr>
              <w:t>，</w:t>
            </w:r>
            <w:r>
              <w:rPr>
                <w:sz w:val="24"/>
              </w:rPr>
              <w:t>员工均</w:t>
            </w:r>
            <w:r>
              <w:rPr>
                <w:rFonts w:hint="eastAsia"/>
                <w:sz w:val="24"/>
              </w:rPr>
              <w:t>不在园区</w:t>
            </w:r>
            <w:r>
              <w:rPr>
                <w:sz w:val="24"/>
              </w:rPr>
              <w:t>住宿</w:t>
            </w:r>
            <w:r>
              <w:rPr>
                <w:rFonts w:hint="eastAsia"/>
                <w:sz w:val="24"/>
              </w:rPr>
              <w:t>。</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hint="eastAsia"/>
                <w:lang w:val="en-US" w:eastAsia="zh-CN"/>
              </w:rPr>
              <w:t>9</w:t>
            </w:r>
            <w:r>
              <w:rPr>
                <w:rFonts w:ascii="Times New Roman" w:hAnsi="Times New Roman"/>
                <w:lang w:val="en-US" w:eastAsia="zh-CN"/>
              </w:rPr>
              <w:t>、产业政策、规划相符性及选址合理性分析</w:t>
            </w:r>
          </w:p>
          <w:p>
            <w:pPr>
              <w:keepNext/>
              <w:snapToGrid w:val="0"/>
              <w:spacing w:line="360" w:lineRule="auto"/>
              <w:ind w:firstLine="480" w:firstLineChars="200"/>
              <w:textAlignment w:val="baseline"/>
              <w:rPr>
                <w:rFonts w:hint="eastAsia"/>
                <w:sz w:val="24"/>
              </w:rPr>
            </w:pPr>
            <w:r>
              <w:rPr>
                <w:rFonts w:hint="eastAsia"/>
                <w:sz w:val="24"/>
              </w:rPr>
              <w:t>（1）产业政策相符性分析</w:t>
            </w:r>
          </w:p>
          <w:p>
            <w:pPr>
              <w:keepNext/>
              <w:snapToGrid w:val="0"/>
              <w:spacing w:line="360" w:lineRule="auto"/>
              <w:ind w:firstLine="480" w:firstLineChars="200"/>
              <w:textAlignment w:val="baseline"/>
              <w:rPr>
                <w:rFonts w:hint="eastAsia"/>
                <w:sz w:val="24"/>
              </w:rPr>
            </w:pPr>
            <w:r>
              <w:rPr>
                <w:rFonts w:hint="eastAsia"/>
                <w:sz w:val="24"/>
              </w:rPr>
              <w:t>本项目是信息产业技术项目，根据中华人民共和国国家发展和改革委员会第40号《产业结构调整指导目录(2011年本)》（2013年修订）中鼓励发展技术中：二十八、信息产业部分第21条（新型电子元器件（片式元器件、频率元器件、混合集成电路、电力电子器件、光电子器件、敏感元器件及传感器、新型机电元件、高密度印刷电路板和柔性电路板等）制造），本项目属于鼓励类。</w:t>
            </w:r>
          </w:p>
          <w:p>
            <w:pPr>
              <w:keepNext/>
              <w:snapToGrid w:val="0"/>
              <w:spacing w:line="360" w:lineRule="auto"/>
              <w:ind w:firstLine="480" w:firstLineChars="200"/>
              <w:textAlignment w:val="baseline"/>
              <w:rPr>
                <w:rFonts w:hint="eastAsia"/>
                <w:sz w:val="24"/>
              </w:rPr>
            </w:pPr>
            <w:r>
              <w:rPr>
                <w:rFonts w:hint="eastAsia"/>
                <w:sz w:val="24"/>
              </w:rPr>
              <w:t>国家发改委、科学技术部、商务部、国家知识产权局联合修订发布的《当前优先发展的高技术产业化重点领域指南（2007年度）》，信息产业被确定为当前优先发展的产业之一，其中，</w:t>
            </w:r>
            <w:r>
              <w:rPr>
                <w:rFonts w:hint="eastAsia"/>
                <w:sz w:val="24"/>
              </w:rPr>
              <w:t>“</w:t>
            </w:r>
            <w:r>
              <w:rPr>
                <w:rFonts w:hint="eastAsia"/>
                <w:sz w:val="24"/>
              </w:rPr>
              <w:t>新型光电显示及成像技术元器件</w:t>
            </w:r>
            <w:r>
              <w:rPr>
                <w:rFonts w:hint="eastAsia"/>
                <w:sz w:val="24"/>
              </w:rPr>
              <w:t>”</w:t>
            </w:r>
            <w:r>
              <w:rPr>
                <w:rFonts w:hint="eastAsia"/>
                <w:sz w:val="24"/>
              </w:rPr>
              <w:t>作为重点发展的领域；根据科技部《光电子器件与微电子、光电子系统集成技术（863-307）主题》，光电子主题是863信息领域四个主题之一。</w:t>
            </w:r>
          </w:p>
          <w:p>
            <w:pPr>
              <w:keepNext/>
              <w:snapToGrid w:val="0"/>
              <w:spacing w:line="360" w:lineRule="auto"/>
              <w:ind w:firstLine="480" w:firstLineChars="200"/>
              <w:textAlignment w:val="baseline"/>
              <w:rPr>
                <w:sz w:val="24"/>
              </w:rPr>
            </w:pPr>
            <w:r>
              <w:rPr>
                <w:rFonts w:hint="eastAsia"/>
                <w:sz w:val="24"/>
              </w:rPr>
              <w:t>从以上几方面综合可以得出：该项目建设符合国家总体发展思路和产业化要求，与南昌国家高新技术产业化专项总体思路、原则、目标等密切相关。</w:t>
            </w:r>
            <w:r>
              <w:rPr>
                <w:sz w:val="24"/>
              </w:rPr>
              <w:t>并且南昌高新技术产业开发区管委会已同意本项目的</w:t>
            </w:r>
            <w:r>
              <w:rPr>
                <w:rFonts w:hint="eastAsia"/>
                <w:sz w:val="24"/>
              </w:rPr>
              <w:t>备案（详见</w:t>
            </w:r>
            <w:r>
              <w:rPr>
                <w:sz w:val="24"/>
              </w:rPr>
              <w:t>附件</w:t>
            </w:r>
            <w:r>
              <w:rPr>
                <w:rFonts w:hint="eastAsia"/>
                <w:sz w:val="24"/>
              </w:rPr>
              <w:t>1）</w:t>
            </w:r>
            <w:r>
              <w:rPr>
                <w:sz w:val="24"/>
              </w:rPr>
              <w:t>，因此建设项目符合国家的产业政策。</w:t>
            </w:r>
          </w:p>
          <w:p>
            <w:pPr>
              <w:adjustRightInd w:val="0"/>
              <w:snapToGrid w:val="0"/>
              <w:spacing w:line="360" w:lineRule="auto"/>
              <w:ind w:firstLine="480" w:firstLineChars="200"/>
              <w:rPr>
                <w:rFonts w:hint="eastAsia"/>
                <w:sz w:val="24"/>
              </w:rPr>
            </w:pPr>
            <w:r>
              <w:rPr>
                <w:rFonts w:hint="eastAsia"/>
                <w:sz w:val="24"/>
              </w:rPr>
              <w:t>（2）规划选址合理性分析</w:t>
            </w:r>
          </w:p>
          <w:p>
            <w:pPr>
              <w:adjustRightInd w:val="0"/>
              <w:snapToGrid w:val="0"/>
              <w:spacing w:line="360" w:lineRule="auto"/>
              <w:ind w:firstLine="480" w:firstLineChars="200"/>
              <w:rPr>
                <w:rFonts w:hint="eastAsia"/>
                <w:sz w:val="24"/>
              </w:rPr>
            </w:pPr>
            <w:r>
              <w:rPr>
                <w:rFonts w:hint="eastAsia"/>
                <w:sz w:val="24"/>
              </w:rPr>
              <w:t>根据《南昌市高新区瑶湖北岸地区控制性详细规划》，项目用地规划为工业用地，用地性质符合规划要求。</w:t>
            </w:r>
          </w:p>
          <w:p>
            <w:pPr>
              <w:adjustRightInd w:val="0"/>
              <w:snapToGrid w:val="0"/>
              <w:spacing w:line="360" w:lineRule="auto"/>
              <w:ind w:firstLine="480" w:firstLineChars="200"/>
              <w:rPr>
                <w:rFonts w:hint="eastAsia"/>
                <w:sz w:val="24"/>
              </w:rPr>
            </w:pPr>
            <w:r>
              <w:rPr>
                <w:rFonts w:hint="eastAsia"/>
                <w:sz w:val="24"/>
              </w:rPr>
              <w:t>项目选址不涉及风景名胜区、自然保护区、世界文化和自然遗产地等敏感区，</w:t>
            </w:r>
            <w:r>
              <w:rPr>
                <w:sz w:val="24"/>
              </w:rPr>
              <w:t>周边用地性质规划与本项目性质相似</w:t>
            </w:r>
            <w:r>
              <w:rPr>
                <w:rFonts w:hint="eastAsia"/>
                <w:sz w:val="24"/>
              </w:rPr>
              <w:t>，项目周边的企业均为工业型企业，而本项目也属工业类项目，与外环境企业性质相容。项目本身产生的污染物均可得到有效处置，可以达标排放，不需设置环境防护距离，对周边企业以及附近居民点无明显影响，项目选址可行。</w:t>
            </w:r>
          </w:p>
          <w:p>
            <w:pPr>
              <w:adjustRightInd w:val="0"/>
              <w:snapToGrid w:val="0"/>
              <w:spacing w:line="360" w:lineRule="auto"/>
              <w:ind w:firstLine="480" w:firstLineChars="200"/>
              <w:rPr>
                <w:rFonts w:hint="eastAsia"/>
                <w:sz w:val="24"/>
              </w:rPr>
            </w:pPr>
            <w:r>
              <w:rPr>
                <w:rFonts w:hint="eastAsia"/>
                <w:sz w:val="24"/>
              </w:rPr>
              <w:t>（3）外环境相容性分析</w:t>
            </w:r>
          </w:p>
          <w:p>
            <w:pPr>
              <w:adjustRightInd w:val="0"/>
              <w:snapToGrid w:val="0"/>
              <w:spacing w:after="0" w:line="360" w:lineRule="auto"/>
              <w:ind w:firstLine="480" w:firstLineChars="200"/>
              <w:rPr>
                <w:rFonts w:hint="eastAsia"/>
                <w:sz w:val="24"/>
              </w:rPr>
            </w:pPr>
          </w:p>
        </w:tc>
      </w:tr>
    </w:tbl>
    <w:p>
      <w:pPr>
        <w:sectPr>
          <w:headerReference w:type="default" r:id="rId19"/>
          <w:footerReference w:type="even" r:id="rId20"/>
          <w:footerReference w:type="default" r:id="rId21"/>
          <w:type w:val="nextPage"/>
          <w:pgSz w:w="11906" w:h="16838"/>
          <w:pgMar w:top="1440" w:right="1469" w:bottom="1440" w:left="1797" w:header="851" w:footer="992" w:gutter="0"/>
          <w:pgNumType w:start="6"/>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3"/>
          <w:jc w:val="center"/>
        </w:trPr>
        <w:tc>
          <w:tcPr>
            <w:tcW w:w="9639"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before="0" w:line="360" w:lineRule="auto"/>
              <w:ind w:firstLine="480" w:firstLineChars="200"/>
              <w:rPr>
                <w:rFonts w:hint="eastAsia"/>
                <w:sz w:val="24"/>
              </w:rPr>
            </w:pPr>
            <w:r>
              <w:rPr>
                <w:rFonts w:hint="eastAsia"/>
                <w:sz w:val="24"/>
              </w:rPr>
              <w:t>项目北侧为中节能（江西）低碳科技园（在建）（距离130m）、川奇药业（在建）（距离202m），西面为正星光电（距离20m），南面为欧菲高新科技园2#厂房，东侧为江西东海蓝玉光电科技有限公司厂房（距离25m）。其中中节能（江西）低碳环保科技园主要从事低碳节能技术研发和水务技术研发、运营指挥、水务检测等，产生污染物主要是生活污水、生活垃圾等；川奇药业（在建）主要从事药品和保健品的开发生产，产生的污染物主要是生活污水、生活垃圾、工艺粉尘、工艺废水等；正星光电主要从事电容式触摸屏生产，产生的污染物主要是蚀刻废气、电容感应线路废水、生活污水、生活垃圾等；欧菲高新科技园2#厂房主要从事指纹识别模组生产，产生的污染物主要是生活污水、焊接烟尘、VOC</w:t>
            </w:r>
            <w:r>
              <w:rPr>
                <w:rFonts w:hint="eastAsia"/>
                <w:sz w:val="24"/>
                <w:vertAlign w:val="subscript"/>
              </w:rPr>
              <w:t>S</w:t>
            </w:r>
            <w:r>
              <w:rPr>
                <w:rFonts w:hint="eastAsia"/>
                <w:sz w:val="24"/>
              </w:rPr>
              <w:t>、废包装等；江西东海蓝玉光电科技有限公司厂房主要从事大尺寸蓝宝石衬底晶片生产，产生污染物主要有生产废水、生活污水、工艺废气、危废（废切割液、研磨废渣废硫酸等）、一般固废等。</w:t>
            </w:r>
          </w:p>
          <w:p>
            <w:pPr>
              <w:adjustRightInd w:val="0"/>
              <w:snapToGrid w:val="0"/>
              <w:spacing w:line="360" w:lineRule="auto"/>
              <w:ind w:firstLine="480" w:firstLineChars="200"/>
              <w:rPr>
                <w:rFonts w:hint="eastAsia"/>
                <w:sz w:val="24"/>
              </w:rPr>
            </w:pPr>
            <w:r>
              <w:rPr>
                <w:rFonts w:hint="eastAsia"/>
                <w:sz w:val="24"/>
              </w:rPr>
              <w:t>由于本项目车间为洁净车间，项目污染物在采取各项污染物防治措施后均可达标排放，对外环境影响较小。从项目周边企业分布来看，项目周边区域已形成光电产业集群，本项目与周边企业未构成明显环境制约。因此，从项目周边环境来看，项目与周边企业基本相容。</w:t>
            </w:r>
          </w:p>
          <w:p>
            <w:pPr>
              <w:adjustRightInd w:val="0"/>
              <w:snapToGrid w:val="0"/>
              <w:spacing w:line="360" w:lineRule="auto"/>
              <w:ind w:firstLine="480" w:firstLineChars="200"/>
              <w:rPr>
                <w:rFonts w:hint="eastAsia"/>
                <w:sz w:val="24"/>
              </w:rPr>
            </w:pPr>
            <w:r>
              <w:rPr>
                <w:rFonts w:hint="eastAsia"/>
                <w:sz w:val="24"/>
              </w:rPr>
              <w:t>综上所述，本项目周边制约因素较少，用地性质符合相关规划，项目污染物在经过预防治理措施后能够达到相关标准要求，因此本项目选址可行。</w:t>
            </w:r>
          </w:p>
          <w:p>
            <w:pPr>
              <w:adjustRightInd w:val="0"/>
              <w:snapToGrid w:val="0"/>
              <w:spacing w:line="360" w:lineRule="auto"/>
              <w:ind w:firstLine="470" w:firstLineChars="196"/>
              <w:rPr>
                <w:b/>
                <w:sz w:val="24"/>
              </w:rPr>
            </w:pPr>
            <w:r>
              <w:rPr>
                <w:rFonts w:hint="eastAsia"/>
                <w:b/>
                <w:sz w:val="24"/>
              </w:rPr>
              <w:t>10</w:t>
            </w:r>
            <w:r>
              <w:rPr>
                <w:b/>
                <w:sz w:val="24"/>
              </w:rPr>
              <w:t>、项目实施进度</w:t>
            </w:r>
          </w:p>
          <w:p>
            <w:pPr>
              <w:snapToGrid w:val="0"/>
              <w:spacing w:line="360" w:lineRule="auto"/>
              <w:ind w:firstLine="480" w:firstLineChars="200"/>
              <w:jc w:val="left"/>
              <w:rPr>
                <w:sz w:val="24"/>
              </w:rPr>
            </w:pPr>
            <w:r>
              <w:rPr>
                <w:sz w:val="24"/>
              </w:rPr>
              <w:t>本项目</w:t>
            </w:r>
            <w:r>
              <w:rPr>
                <w:rFonts w:hint="eastAsia"/>
                <w:sz w:val="24"/>
              </w:rPr>
              <w:t>预计</w:t>
            </w:r>
            <w:r>
              <w:rPr>
                <w:sz w:val="24"/>
              </w:rPr>
              <w:t>201</w:t>
            </w:r>
            <w:r>
              <w:rPr>
                <w:rFonts w:hint="eastAsia"/>
                <w:sz w:val="24"/>
              </w:rPr>
              <w:t>8</w:t>
            </w:r>
            <w:r>
              <w:rPr>
                <w:sz w:val="24"/>
              </w:rPr>
              <w:t>年</w:t>
            </w:r>
            <w:r>
              <w:rPr>
                <w:rFonts w:hint="eastAsia"/>
                <w:sz w:val="24"/>
              </w:rPr>
              <w:t>4</w:t>
            </w:r>
            <w:r>
              <w:rPr>
                <w:sz w:val="24"/>
              </w:rPr>
              <w:t>月开工建设，建设期限为</w:t>
            </w:r>
            <w:r>
              <w:rPr>
                <w:rFonts w:hint="eastAsia"/>
                <w:sz w:val="24"/>
              </w:rPr>
              <w:t>5</w:t>
            </w:r>
            <w:r>
              <w:rPr>
                <w:sz w:val="24"/>
              </w:rPr>
              <w:t>月。</w:t>
            </w:r>
          </w:p>
        </w:tc>
      </w:tr>
      <w:tr>
        <w:tblPrEx>
          <w:tblW w:w="9639" w:type="dxa"/>
          <w:jc w:val="center"/>
          <w:tblLayout w:type="fixed"/>
          <w:tblCellMar>
            <w:top w:w="0" w:type="dxa"/>
            <w:left w:w="108" w:type="dxa"/>
            <w:bottom w:w="0" w:type="dxa"/>
            <w:right w:w="108" w:type="dxa"/>
          </w:tblCellMar>
          <w:tblLook w:val="0000"/>
        </w:tblPrEx>
        <w:trPr>
          <w:trHeight w:val="841"/>
          <w:jc w:val="center"/>
        </w:trPr>
        <w:tc>
          <w:tcPr>
            <w:tcW w:w="9639" w:type="dxa"/>
            <w:tcBorders>
              <w:top w:val="single" w:sz="4" w:space="0" w:color="auto"/>
              <w:left w:val="single" w:sz="4" w:space="0" w:color="auto"/>
              <w:bottom w:val="single" w:sz="4" w:space="0" w:color="auto"/>
              <w:right w:val="single" w:sz="4" w:space="0" w:color="auto"/>
            </w:tcBorders>
          </w:tcPr>
          <w:p>
            <w:pPr>
              <w:autoSpaceDE w:val="0"/>
              <w:autoSpaceDN w:val="0"/>
              <w:adjustRightInd w:val="0"/>
              <w:snapToGrid w:val="0"/>
              <w:spacing w:line="360" w:lineRule="auto"/>
              <w:ind w:left="55" w:right="326"/>
              <w:rPr>
                <w:b/>
                <w:iCs/>
                <w:sz w:val="30"/>
                <w:szCs w:val="30"/>
              </w:rPr>
            </w:pPr>
            <w:r>
              <w:rPr>
                <w:b/>
                <w:iCs/>
                <w:sz w:val="30"/>
                <w:szCs w:val="30"/>
              </w:rPr>
              <w:t>与本项目有关的原有污染情况及主要环境问题</w:t>
            </w:r>
          </w:p>
          <w:p>
            <w:pPr>
              <w:tabs>
                <w:tab w:val="left" w:pos="3195"/>
              </w:tabs>
              <w:snapToGrid w:val="0"/>
              <w:spacing w:line="360" w:lineRule="auto"/>
              <w:ind w:firstLine="480" w:firstLineChars="200"/>
              <w:rPr>
                <w:rFonts w:hint="eastAsia"/>
                <w:sz w:val="24"/>
              </w:rPr>
            </w:pPr>
            <w:r>
              <w:rPr>
                <w:rFonts w:hint="eastAsia"/>
                <w:sz w:val="24"/>
              </w:rPr>
              <w:t>本项目租用南昌高新区天祥大道欧菲高新科技园内1#厂房（原年产12000万片指纹识别模组项目技改后预留厂房）用于生产。</w:t>
            </w:r>
            <w:r>
              <w:rPr>
                <w:rFonts w:hint="eastAsia"/>
                <w:sz w:val="24"/>
              </w:rPr>
              <w:t>“</w:t>
            </w:r>
            <w:r>
              <w:rPr>
                <w:rFonts w:hint="eastAsia"/>
                <w:sz w:val="24"/>
              </w:rPr>
              <w:t>年产12000万片指纹识别模组项目</w:t>
            </w:r>
            <w:r>
              <w:rPr>
                <w:rFonts w:hint="eastAsia"/>
                <w:sz w:val="24"/>
              </w:rPr>
              <w:t>”</w:t>
            </w:r>
            <w:r>
              <w:rPr>
                <w:rFonts w:hint="eastAsia"/>
                <w:sz w:val="24"/>
              </w:rPr>
              <w:t>在2014年11月8号取得南昌市环保局环评批复（洪环审批[2014]263号），于2015年9月投产运行。考虑到实际生产操作及企业后期规划，建设单位对</w:t>
            </w:r>
            <w:r>
              <w:rPr>
                <w:rFonts w:hint="eastAsia"/>
                <w:sz w:val="24"/>
              </w:rPr>
              <w:t>“</w:t>
            </w:r>
            <w:r>
              <w:rPr>
                <w:rFonts w:hint="eastAsia"/>
                <w:sz w:val="24"/>
              </w:rPr>
              <w:t>年产12000万片指纹识别模组项目</w:t>
            </w:r>
            <w:r>
              <w:rPr>
                <w:rFonts w:hint="eastAsia"/>
                <w:sz w:val="24"/>
              </w:rPr>
              <w:t>”</w:t>
            </w:r>
            <w:r>
              <w:rPr>
                <w:rFonts w:hint="eastAsia"/>
                <w:sz w:val="24"/>
              </w:rPr>
              <w:t>进行技术改造，技改后为1#厂房空置，改在2#厂房内进行生产，原建设规划3#厂房用于组装，设计产能降至年产11880万片指纹识别模组，并在2017年4月5号取得了南昌市环保局环评批复（洪环审批[2017]65号），预期将于2017年11月投产运行。</w:t>
            </w:r>
          </w:p>
          <w:p>
            <w:pPr>
              <w:tabs>
                <w:tab w:val="left" w:pos="3195"/>
              </w:tabs>
              <w:snapToGrid w:val="0"/>
              <w:spacing w:line="360" w:lineRule="auto"/>
              <w:ind w:firstLine="480" w:firstLineChars="200"/>
              <w:rPr>
                <w:rFonts w:hint="eastAsia"/>
                <w:sz w:val="24"/>
              </w:rPr>
            </w:pPr>
            <w:r>
              <w:rPr>
                <w:rFonts w:hint="eastAsia"/>
                <w:sz w:val="24"/>
              </w:rPr>
              <w:t>本项目租用技改后空置的1#厂房，项目存在的原有问题为</w:t>
            </w:r>
            <w:r>
              <w:rPr>
                <w:rFonts w:hint="eastAsia"/>
                <w:sz w:val="24"/>
              </w:rPr>
              <w:t>“</w:t>
            </w:r>
            <w:r>
              <w:rPr>
                <w:rFonts w:hint="eastAsia"/>
                <w:sz w:val="24"/>
              </w:rPr>
              <w:t>年产12000万片指纹识别模组项目</w:t>
            </w:r>
            <w:r>
              <w:rPr>
                <w:rFonts w:hint="eastAsia"/>
                <w:sz w:val="24"/>
              </w:rPr>
              <w:t>”</w:t>
            </w:r>
            <w:r>
              <w:rPr>
                <w:rFonts w:hint="eastAsia"/>
                <w:sz w:val="24"/>
              </w:rPr>
              <w:t>产生的污染以及</w:t>
            </w:r>
            <w:r>
              <w:rPr>
                <w:sz w:val="24"/>
              </w:rPr>
              <w:t>1#厂房现有项目“年产9600万颗CCM高清微摄像头建设项目”产生的污染</w:t>
            </w:r>
            <w:r>
              <w:rPr>
                <w:rFonts w:hint="eastAsia"/>
                <w:sz w:val="24"/>
              </w:rPr>
              <w:t>。</w:t>
            </w:r>
          </w:p>
          <w:p>
            <w:pPr>
              <w:tabs>
                <w:tab w:val="left" w:pos="3195"/>
              </w:tabs>
              <w:snapToGrid w:val="0"/>
              <w:spacing w:after="0" w:line="360" w:lineRule="auto"/>
              <w:ind w:firstLine="480" w:firstLineChars="200"/>
              <w:rPr>
                <w:rFonts w:hint="eastAsia"/>
                <w:sz w:val="24"/>
              </w:rPr>
            </w:pPr>
            <w:r>
              <w:rPr>
                <w:rFonts w:hint="eastAsia"/>
                <w:sz w:val="24"/>
              </w:rPr>
              <w:t>根据《关于南昌欧菲生物识别技术有限公司年产12000万片指纹识别模组项目环境影响报告表的批复》（洪环审批[2014]263）和《关于南昌欧菲生物识别技术有限公司年产11880万片指纹识别模组项目环境影响报告表的批复》（洪环审批[2017]65号），项目原有</w:t>
            </w:r>
            <w:r>
              <w:rPr>
                <w:sz w:val="24"/>
              </w:rPr>
              <w:t>污染主要有废水</w:t>
            </w:r>
          </w:p>
        </w:tc>
      </w:tr>
    </w:tbl>
    <w:p>
      <w:pPr>
        <w:sectPr>
          <w:headerReference w:type="default" r:id="rId22"/>
          <w:footerReference w:type="even" r:id="rId23"/>
          <w:footerReference w:type="default" r:id="rId24"/>
          <w:type w:val="nextPage"/>
          <w:pgSz w:w="11906" w:h="16838"/>
          <w:pgMar w:top="1440" w:right="1469" w:bottom="1440" w:left="1797" w:header="851" w:footer="992" w:gutter="0"/>
          <w:pgNumType w:start="7"/>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41"/>
          <w:jc w:val="center"/>
        </w:trPr>
        <w:tc>
          <w:tcPr>
            <w:tcW w:w="9639" w:type="dxa"/>
            <w:tcBorders>
              <w:top w:val="single" w:sz="4" w:space="0" w:color="auto"/>
              <w:left w:val="single" w:sz="4" w:space="0" w:color="auto"/>
              <w:bottom w:val="single" w:sz="4" w:space="0" w:color="auto"/>
              <w:right w:val="single" w:sz="4" w:space="0" w:color="auto"/>
            </w:tcBorders>
          </w:tcPr>
          <w:p>
            <w:pPr>
              <w:tabs>
                <w:tab w:val="left" w:pos="3195"/>
              </w:tabs>
              <w:snapToGrid w:val="0"/>
              <w:spacing w:before="0" w:line="360" w:lineRule="auto"/>
              <w:ind w:firstLine="480" w:firstLineChars="200"/>
              <w:rPr>
                <w:rFonts w:hint="eastAsia"/>
                <w:sz w:val="24"/>
              </w:rPr>
            </w:pPr>
            <w:r>
              <w:rPr>
                <w:rFonts w:hint="eastAsia"/>
                <w:sz w:val="24"/>
              </w:rPr>
              <w:t>（生活污水、超声波清洗废水）、废气（焊接烟尘、喷漆和烘干过程产生的VOC</w:t>
            </w:r>
            <w:r>
              <w:rPr>
                <w:rFonts w:hint="eastAsia"/>
                <w:sz w:val="24"/>
                <w:vertAlign w:val="subscript"/>
              </w:rPr>
              <w:t>S</w:t>
            </w:r>
            <w:r>
              <w:rPr>
                <w:rFonts w:hint="eastAsia"/>
                <w:sz w:val="24"/>
              </w:rPr>
              <w:t>、食堂油烟）、噪声（设备机械噪声）、固废（废旧包装、焊渣、废离型保护膜、边角料、不合格产品、废抹布、生活垃圾等），具体污染物及环保措施详见表1-7。</w:t>
            </w:r>
          </w:p>
          <w:p>
            <w:pPr>
              <w:snapToGrid w:val="0"/>
              <w:spacing w:line="360" w:lineRule="auto"/>
              <w:ind w:firstLine="420" w:firstLineChars="200"/>
              <w:jc w:val="center"/>
              <w:rPr>
                <w:rFonts w:hint="eastAsia"/>
                <w:b/>
              </w:rPr>
            </w:pPr>
            <w:r>
              <w:rPr>
                <w:rFonts w:hint="eastAsia"/>
                <w:b/>
              </w:rPr>
              <w:t xml:space="preserve">表1-7 </w:t>
            </w:r>
            <w:r>
              <w:rPr>
                <w:rFonts w:hint="eastAsia"/>
                <w:b/>
              </w:rPr>
              <w:t>“</w:t>
            </w:r>
            <w:r>
              <w:rPr>
                <w:rFonts w:hint="eastAsia"/>
                <w:b/>
              </w:rPr>
              <w:t>年产12000万片指纹识别模组项目</w:t>
            </w:r>
            <w:r>
              <w:rPr>
                <w:rFonts w:hint="eastAsia"/>
                <w:b/>
              </w:rPr>
              <w:t>”</w:t>
            </w:r>
            <w:r>
              <w:rPr>
                <w:rFonts w:hint="eastAsia"/>
                <w:b/>
              </w:rPr>
              <w:t>污染物汇总及环保措施一览表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85"/>
              <w:gridCol w:w="1984"/>
              <w:gridCol w:w="1684"/>
              <w:gridCol w:w="1417"/>
              <w:gridCol w:w="1293"/>
              <w:gridCol w:w="2193"/>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85" w:type="dxa"/>
                  <w:vAlign w:val="center"/>
                </w:tcPr>
                <w:p>
                  <w:pPr>
                    <w:autoSpaceDE w:val="0"/>
                    <w:autoSpaceDN w:val="0"/>
                    <w:adjustRightInd w:val="0"/>
                    <w:jc w:val="center"/>
                    <w:rPr>
                      <w:rFonts w:hint="eastAsia"/>
                      <w:kern w:val="0"/>
                      <w:szCs w:val="21"/>
                    </w:rPr>
                  </w:pPr>
                  <w:r>
                    <w:rPr>
                      <w:rFonts w:hint="eastAsia"/>
                      <w:kern w:val="0"/>
                      <w:szCs w:val="21"/>
                    </w:rPr>
                    <w:t>类别</w:t>
                  </w:r>
                </w:p>
              </w:tc>
              <w:tc>
                <w:tcPr>
                  <w:tcW w:w="1984" w:type="dxa"/>
                  <w:vAlign w:val="center"/>
                </w:tcPr>
                <w:p>
                  <w:pPr>
                    <w:autoSpaceDE w:val="0"/>
                    <w:autoSpaceDN w:val="0"/>
                    <w:adjustRightInd w:val="0"/>
                    <w:jc w:val="center"/>
                    <w:rPr>
                      <w:rFonts w:hint="eastAsia"/>
                      <w:kern w:val="0"/>
                      <w:szCs w:val="21"/>
                    </w:rPr>
                  </w:pPr>
                  <w:r>
                    <w:rPr>
                      <w:rFonts w:hint="eastAsia"/>
                      <w:kern w:val="0"/>
                      <w:szCs w:val="21"/>
                    </w:rPr>
                    <w:t>污染源</w:t>
                  </w:r>
                </w:p>
              </w:tc>
              <w:tc>
                <w:tcPr>
                  <w:tcW w:w="1684" w:type="dxa"/>
                  <w:vAlign w:val="center"/>
                </w:tcPr>
                <w:p>
                  <w:pPr>
                    <w:autoSpaceDE w:val="0"/>
                    <w:autoSpaceDN w:val="0"/>
                    <w:adjustRightInd w:val="0"/>
                    <w:jc w:val="center"/>
                    <w:rPr>
                      <w:rFonts w:hint="eastAsia"/>
                      <w:kern w:val="0"/>
                      <w:szCs w:val="21"/>
                    </w:rPr>
                  </w:pPr>
                  <w:r>
                    <w:rPr>
                      <w:rFonts w:hint="eastAsia"/>
                      <w:kern w:val="0"/>
                      <w:szCs w:val="21"/>
                    </w:rPr>
                    <w:t>污染物名称</w:t>
                  </w:r>
                </w:p>
              </w:tc>
              <w:tc>
                <w:tcPr>
                  <w:tcW w:w="1417" w:type="dxa"/>
                  <w:vAlign w:val="center"/>
                </w:tcPr>
                <w:p>
                  <w:pPr>
                    <w:autoSpaceDE w:val="0"/>
                    <w:autoSpaceDN w:val="0"/>
                    <w:adjustRightInd w:val="0"/>
                    <w:jc w:val="center"/>
                    <w:rPr>
                      <w:rFonts w:hint="eastAsia"/>
                      <w:kern w:val="0"/>
                      <w:szCs w:val="21"/>
                    </w:rPr>
                  </w:pPr>
                  <w:r>
                    <w:rPr>
                      <w:rFonts w:hint="eastAsia"/>
                      <w:kern w:val="0"/>
                      <w:szCs w:val="21"/>
                    </w:rPr>
                    <w:t>产生量（t/a）</w:t>
                  </w:r>
                </w:p>
              </w:tc>
              <w:tc>
                <w:tcPr>
                  <w:tcW w:w="1293" w:type="dxa"/>
                  <w:vAlign w:val="center"/>
                </w:tcPr>
                <w:p>
                  <w:pPr>
                    <w:autoSpaceDE w:val="0"/>
                    <w:autoSpaceDN w:val="0"/>
                    <w:adjustRightInd w:val="0"/>
                    <w:jc w:val="center"/>
                    <w:rPr>
                      <w:rFonts w:hint="eastAsia"/>
                      <w:kern w:val="0"/>
                      <w:szCs w:val="21"/>
                    </w:rPr>
                  </w:pPr>
                  <w:r>
                    <w:rPr>
                      <w:rFonts w:hint="eastAsia"/>
                      <w:kern w:val="0"/>
                      <w:szCs w:val="21"/>
                    </w:rPr>
                    <w:t>排放量（t/a）</w:t>
                  </w:r>
                </w:p>
              </w:tc>
              <w:tc>
                <w:tcPr>
                  <w:tcW w:w="2193" w:type="dxa"/>
                  <w:vAlign w:val="center"/>
                </w:tcPr>
                <w:p>
                  <w:pPr>
                    <w:autoSpaceDE w:val="0"/>
                    <w:autoSpaceDN w:val="0"/>
                    <w:adjustRightInd w:val="0"/>
                    <w:jc w:val="center"/>
                    <w:rPr>
                      <w:rFonts w:hint="eastAsia"/>
                      <w:kern w:val="0"/>
                      <w:szCs w:val="21"/>
                    </w:rPr>
                  </w:pPr>
                  <w:r>
                    <w:rPr>
                      <w:rFonts w:hint="eastAsia"/>
                      <w:kern w:val="0"/>
                      <w:szCs w:val="21"/>
                    </w:rPr>
                    <w:t>环保措施</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restart"/>
                  <w:vAlign w:val="center"/>
                </w:tcPr>
                <w:p>
                  <w:pPr>
                    <w:autoSpaceDE w:val="0"/>
                    <w:autoSpaceDN w:val="0"/>
                    <w:adjustRightInd w:val="0"/>
                    <w:jc w:val="center"/>
                    <w:rPr>
                      <w:rFonts w:hint="eastAsia"/>
                      <w:kern w:val="0"/>
                      <w:szCs w:val="21"/>
                    </w:rPr>
                  </w:pPr>
                  <w:r>
                    <w:rPr>
                      <w:rFonts w:hint="eastAsia"/>
                      <w:kern w:val="0"/>
                      <w:szCs w:val="21"/>
                    </w:rPr>
                    <w:t>废水</w:t>
                  </w:r>
                </w:p>
              </w:tc>
              <w:tc>
                <w:tcPr>
                  <w:tcW w:w="1984" w:type="dxa"/>
                  <w:vMerge w:val="restart"/>
                  <w:vAlign w:val="center"/>
                </w:tcPr>
                <w:p>
                  <w:pPr>
                    <w:autoSpaceDE w:val="0"/>
                    <w:autoSpaceDN w:val="0"/>
                    <w:adjustRightInd w:val="0"/>
                    <w:jc w:val="center"/>
                    <w:rPr>
                      <w:rFonts w:hint="eastAsia"/>
                      <w:kern w:val="0"/>
                      <w:szCs w:val="21"/>
                    </w:rPr>
                  </w:pPr>
                  <w:r>
                    <w:rPr>
                      <w:rFonts w:hint="eastAsia"/>
                      <w:kern w:val="0"/>
                      <w:szCs w:val="21"/>
                    </w:rPr>
                    <w:t>混合废水</w:t>
                  </w:r>
                </w:p>
                <w:p>
                  <w:pPr>
                    <w:autoSpaceDE w:val="0"/>
                    <w:autoSpaceDN w:val="0"/>
                    <w:adjustRightInd w:val="0"/>
                    <w:jc w:val="center"/>
                    <w:rPr>
                      <w:rFonts w:hint="eastAsia"/>
                      <w:kern w:val="0"/>
                      <w:szCs w:val="21"/>
                    </w:rPr>
                  </w:pPr>
                  <w:r>
                    <w:rPr>
                      <w:rFonts w:hint="eastAsia"/>
                      <w:kern w:val="0"/>
                      <w:szCs w:val="21"/>
                    </w:rPr>
                    <w:t>（生活污水、超声波清洗废水）</w:t>
                  </w:r>
                </w:p>
              </w:tc>
              <w:tc>
                <w:tcPr>
                  <w:tcW w:w="1684" w:type="dxa"/>
                  <w:vAlign w:val="center"/>
                </w:tcPr>
                <w:p>
                  <w:pPr>
                    <w:autoSpaceDE w:val="0"/>
                    <w:autoSpaceDN w:val="0"/>
                    <w:adjustRightInd w:val="0"/>
                    <w:jc w:val="center"/>
                    <w:rPr>
                      <w:rFonts w:hint="eastAsia"/>
                      <w:kern w:val="0"/>
                      <w:szCs w:val="21"/>
                    </w:rPr>
                  </w:pPr>
                  <w:r>
                    <w:rPr>
                      <w:rFonts w:hint="eastAsia"/>
                      <w:kern w:val="0"/>
                      <w:szCs w:val="21"/>
                    </w:rPr>
                    <w:t>COD</w:t>
                  </w:r>
                  <w:r>
                    <w:rPr>
                      <w:rFonts w:hint="eastAsia"/>
                      <w:kern w:val="0"/>
                      <w:szCs w:val="21"/>
                      <w:vertAlign w:val="subscript"/>
                    </w:rPr>
                    <w:t>Cr</w:t>
                  </w:r>
                </w:p>
              </w:tc>
              <w:tc>
                <w:tcPr>
                  <w:tcW w:w="1417" w:type="dxa"/>
                  <w:vAlign w:val="center"/>
                </w:tcPr>
                <w:p>
                  <w:pPr>
                    <w:autoSpaceDE w:val="0"/>
                    <w:autoSpaceDN w:val="0"/>
                    <w:adjustRightInd w:val="0"/>
                    <w:jc w:val="center"/>
                    <w:rPr>
                      <w:rFonts w:hint="eastAsia"/>
                      <w:kern w:val="0"/>
                      <w:szCs w:val="21"/>
                    </w:rPr>
                  </w:pPr>
                  <w:r>
                    <w:rPr>
                      <w:rFonts w:hint="eastAsia"/>
                      <w:kern w:val="0"/>
                      <w:szCs w:val="21"/>
                    </w:rPr>
                    <w:t>11.16t/a</w:t>
                  </w:r>
                </w:p>
              </w:tc>
              <w:tc>
                <w:tcPr>
                  <w:tcW w:w="1293" w:type="dxa"/>
                  <w:vAlign w:val="center"/>
                </w:tcPr>
                <w:p>
                  <w:pPr>
                    <w:autoSpaceDE w:val="0"/>
                    <w:autoSpaceDN w:val="0"/>
                    <w:adjustRightInd w:val="0"/>
                    <w:jc w:val="center"/>
                    <w:rPr>
                      <w:rFonts w:hint="eastAsia"/>
                      <w:kern w:val="0"/>
                      <w:szCs w:val="21"/>
                    </w:rPr>
                  </w:pPr>
                  <w:r>
                    <w:rPr>
                      <w:rFonts w:hint="eastAsia"/>
                      <w:kern w:val="0"/>
                      <w:szCs w:val="21"/>
                    </w:rPr>
                    <w:t>7.81t/a</w:t>
                  </w:r>
                </w:p>
              </w:tc>
              <w:tc>
                <w:tcPr>
                  <w:tcW w:w="2193" w:type="dxa"/>
                  <w:vMerge w:val="restart"/>
                  <w:vAlign w:val="center"/>
                </w:tcPr>
                <w:p>
                  <w:pPr>
                    <w:autoSpaceDE w:val="0"/>
                    <w:autoSpaceDN w:val="0"/>
                    <w:adjustRightInd w:val="0"/>
                    <w:jc w:val="center"/>
                    <w:rPr>
                      <w:rFonts w:hint="eastAsia"/>
                      <w:kern w:val="0"/>
                      <w:szCs w:val="21"/>
                    </w:rPr>
                  </w:pPr>
                  <w:r>
                    <w:rPr>
                      <w:rFonts w:hint="eastAsia"/>
                      <w:kern w:val="0"/>
                      <w:szCs w:val="21"/>
                    </w:rPr>
                    <w:t>隔油池、化粪池</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BOD</w:t>
                  </w:r>
                  <w:r>
                    <w:rPr>
                      <w:rFonts w:hint="eastAsia"/>
                      <w:kern w:val="0"/>
                      <w:szCs w:val="21"/>
                      <w:vertAlign w:val="subscript"/>
                    </w:rPr>
                    <w:t>5</w:t>
                  </w:r>
                </w:p>
              </w:tc>
              <w:tc>
                <w:tcPr>
                  <w:tcW w:w="1417" w:type="dxa"/>
                  <w:vAlign w:val="center"/>
                </w:tcPr>
                <w:p>
                  <w:pPr>
                    <w:autoSpaceDE w:val="0"/>
                    <w:autoSpaceDN w:val="0"/>
                    <w:adjustRightInd w:val="0"/>
                    <w:jc w:val="center"/>
                    <w:rPr>
                      <w:rFonts w:hint="eastAsia"/>
                      <w:kern w:val="0"/>
                      <w:szCs w:val="21"/>
                    </w:rPr>
                  </w:pPr>
                  <w:r>
                    <w:rPr>
                      <w:rFonts w:hint="eastAsia"/>
                      <w:kern w:val="0"/>
                      <w:szCs w:val="21"/>
                    </w:rPr>
                    <w:t>4.40t/a</w:t>
                  </w:r>
                </w:p>
              </w:tc>
              <w:tc>
                <w:tcPr>
                  <w:tcW w:w="1293" w:type="dxa"/>
                  <w:vAlign w:val="center"/>
                </w:tcPr>
                <w:p>
                  <w:pPr>
                    <w:autoSpaceDE w:val="0"/>
                    <w:autoSpaceDN w:val="0"/>
                    <w:adjustRightInd w:val="0"/>
                    <w:jc w:val="center"/>
                    <w:rPr>
                      <w:rFonts w:hint="eastAsia"/>
                      <w:kern w:val="0"/>
                      <w:szCs w:val="21"/>
                    </w:rPr>
                  </w:pPr>
                  <w:r>
                    <w:rPr>
                      <w:rFonts w:hint="eastAsia"/>
                      <w:kern w:val="0"/>
                      <w:szCs w:val="21"/>
                    </w:rPr>
                    <w:t>3.52t/a</w:t>
                  </w:r>
                </w:p>
              </w:tc>
              <w:tc>
                <w:tcPr>
                  <w:tcW w:w="2193" w:type="dxa"/>
                  <w:vMerge/>
                  <w:vAlign w:val="center"/>
                </w:tcPr>
                <w:p>
                  <w:pPr>
                    <w:autoSpaceDE w:val="0"/>
                    <w:autoSpaceDN w:val="0"/>
                    <w:adjustRightInd w:val="0"/>
                    <w:jc w:val="center"/>
                    <w:rPr>
                      <w:rFonts w:hint="eastAsia"/>
                      <w:kern w:val="0"/>
                      <w:szCs w:val="21"/>
                    </w:rPr>
                  </w:pP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SS</w:t>
                  </w:r>
                </w:p>
              </w:tc>
              <w:tc>
                <w:tcPr>
                  <w:tcW w:w="1417" w:type="dxa"/>
                  <w:vAlign w:val="center"/>
                </w:tcPr>
                <w:p>
                  <w:pPr>
                    <w:autoSpaceDE w:val="0"/>
                    <w:autoSpaceDN w:val="0"/>
                    <w:adjustRightInd w:val="0"/>
                    <w:jc w:val="center"/>
                    <w:rPr>
                      <w:rFonts w:hint="eastAsia"/>
                      <w:kern w:val="0"/>
                      <w:szCs w:val="21"/>
                    </w:rPr>
                  </w:pPr>
                  <w:r>
                    <w:rPr>
                      <w:rFonts w:hint="eastAsia"/>
                      <w:kern w:val="0"/>
                      <w:szCs w:val="21"/>
                    </w:rPr>
                    <w:t>6.87t/a</w:t>
                  </w:r>
                </w:p>
              </w:tc>
              <w:tc>
                <w:tcPr>
                  <w:tcW w:w="1293" w:type="dxa"/>
                  <w:vAlign w:val="center"/>
                </w:tcPr>
                <w:p>
                  <w:pPr>
                    <w:autoSpaceDE w:val="0"/>
                    <w:autoSpaceDN w:val="0"/>
                    <w:adjustRightInd w:val="0"/>
                    <w:jc w:val="center"/>
                    <w:rPr>
                      <w:rFonts w:hint="eastAsia"/>
                      <w:kern w:val="0"/>
                      <w:szCs w:val="21"/>
                    </w:rPr>
                  </w:pPr>
                  <w:r>
                    <w:rPr>
                      <w:rFonts w:hint="eastAsia"/>
                      <w:kern w:val="0"/>
                      <w:szCs w:val="21"/>
                    </w:rPr>
                    <w:t>3.44t/a</w:t>
                  </w:r>
                </w:p>
              </w:tc>
              <w:tc>
                <w:tcPr>
                  <w:tcW w:w="2193" w:type="dxa"/>
                  <w:vMerge/>
                  <w:vAlign w:val="center"/>
                </w:tcPr>
                <w:p>
                  <w:pPr>
                    <w:autoSpaceDE w:val="0"/>
                    <w:autoSpaceDN w:val="0"/>
                    <w:adjustRightInd w:val="0"/>
                    <w:jc w:val="center"/>
                    <w:rPr>
                      <w:rFonts w:hint="eastAsia"/>
                      <w:kern w:val="0"/>
                      <w:szCs w:val="21"/>
                    </w:rPr>
                  </w:pP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氨氮</w:t>
                  </w:r>
                </w:p>
              </w:tc>
              <w:tc>
                <w:tcPr>
                  <w:tcW w:w="1417" w:type="dxa"/>
                  <w:vAlign w:val="center"/>
                </w:tcPr>
                <w:p>
                  <w:pPr>
                    <w:autoSpaceDE w:val="0"/>
                    <w:autoSpaceDN w:val="0"/>
                    <w:adjustRightInd w:val="0"/>
                    <w:jc w:val="center"/>
                    <w:rPr>
                      <w:rFonts w:hint="eastAsia"/>
                      <w:kern w:val="0"/>
                      <w:szCs w:val="21"/>
                    </w:rPr>
                  </w:pPr>
                  <w:r>
                    <w:rPr>
                      <w:rFonts w:hint="eastAsia"/>
                      <w:kern w:val="0"/>
                      <w:szCs w:val="21"/>
                    </w:rPr>
                    <w:t>1.10t/a</w:t>
                  </w:r>
                </w:p>
              </w:tc>
              <w:tc>
                <w:tcPr>
                  <w:tcW w:w="1293" w:type="dxa"/>
                  <w:vAlign w:val="center"/>
                </w:tcPr>
                <w:p>
                  <w:pPr>
                    <w:autoSpaceDE w:val="0"/>
                    <w:autoSpaceDN w:val="0"/>
                    <w:adjustRightInd w:val="0"/>
                    <w:jc w:val="center"/>
                    <w:rPr>
                      <w:rFonts w:hint="eastAsia"/>
                      <w:kern w:val="0"/>
                      <w:szCs w:val="21"/>
                    </w:rPr>
                  </w:pPr>
                  <w:r>
                    <w:rPr>
                      <w:rFonts w:hint="eastAsia"/>
                      <w:kern w:val="0"/>
                      <w:szCs w:val="21"/>
                    </w:rPr>
                    <w:t>0.88t/a</w:t>
                  </w:r>
                </w:p>
              </w:tc>
              <w:tc>
                <w:tcPr>
                  <w:tcW w:w="2193" w:type="dxa"/>
                  <w:vMerge/>
                  <w:vAlign w:val="center"/>
                </w:tcPr>
                <w:p>
                  <w:pPr>
                    <w:autoSpaceDE w:val="0"/>
                    <w:autoSpaceDN w:val="0"/>
                    <w:adjustRightInd w:val="0"/>
                    <w:jc w:val="center"/>
                    <w:rPr>
                      <w:rFonts w:hint="eastAsia"/>
                      <w:kern w:val="0"/>
                      <w:szCs w:val="21"/>
                    </w:rPr>
                  </w:pP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动植物油</w:t>
                  </w:r>
                </w:p>
              </w:tc>
              <w:tc>
                <w:tcPr>
                  <w:tcW w:w="1417" w:type="dxa"/>
                  <w:vAlign w:val="center"/>
                </w:tcPr>
                <w:p>
                  <w:pPr>
                    <w:autoSpaceDE w:val="0"/>
                    <w:autoSpaceDN w:val="0"/>
                    <w:adjustRightInd w:val="0"/>
                    <w:jc w:val="center"/>
                    <w:rPr>
                      <w:rFonts w:hint="eastAsia"/>
                      <w:kern w:val="0"/>
                      <w:szCs w:val="21"/>
                    </w:rPr>
                  </w:pPr>
                  <w:r>
                    <w:rPr>
                      <w:rFonts w:hint="eastAsia"/>
                      <w:kern w:val="0"/>
                      <w:szCs w:val="21"/>
                    </w:rPr>
                    <w:t>0.24t/a</w:t>
                  </w:r>
                </w:p>
              </w:tc>
              <w:tc>
                <w:tcPr>
                  <w:tcW w:w="1293" w:type="dxa"/>
                  <w:vAlign w:val="center"/>
                </w:tcPr>
                <w:p>
                  <w:pPr>
                    <w:autoSpaceDE w:val="0"/>
                    <w:autoSpaceDN w:val="0"/>
                    <w:adjustRightInd w:val="0"/>
                    <w:jc w:val="center"/>
                    <w:rPr>
                      <w:rFonts w:hint="eastAsia"/>
                      <w:kern w:val="0"/>
                      <w:szCs w:val="21"/>
                    </w:rPr>
                  </w:pPr>
                  <w:r>
                    <w:rPr>
                      <w:rFonts w:hint="eastAsia"/>
                      <w:kern w:val="0"/>
                      <w:szCs w:val="21"/>
                    </w:rPr>
                    <w:t>0.024t/a</w:t>
                  </w:r>
                </w:p>
              </w:tc>
              <w:tc>
                <w:tcPr>
                  <w:tcW w:w="2193" w:type="dxa"/>
                  <w:vMerge/>
                  <w:vAlign w:val="center"/>
                </w:tcPr>
                <w:p>
                  <w:pPr>
                    <w:autoSpaceDE w:val="0"/>
                    <w:autoSpaceDN w:val="0"/>
                    <w:adjustRightInd w:val="0"/>
                    <w:jc w:val="center"/>
                    <w:rPr>
                      <w:rFonts w:hint="eastAsia"/>
                      <w:kern w:val="0"/>
                      <w:szCs w:val="21"/>
                    </w:rPr>
                  </w:pP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restart"/>
                  <w:vAlign w:val="center"/>
                </w:tcPr>
                <w:p>
                  <w:pPr>
                    <w:autoSpaceDE w:val="0"/>
                    <w:autoSpaceDN w:val="0"/>
                    <w:adjustRightInd w:val="0"/>
                    <w:jc w:val="center"/>
                    <w:rPr>
                      <w:rFonts w:hint="eastAsia"/>
                      <w:kern w:val="0"/>
                      <w:szCs w:val="21"/>
                    </w:rPr>
                  </w:pPr>
                  <w:r>
                    <w:rPr>
                      <w:rFonts w:hint="eastAsia"/>
                      <w:kern w:val="0"/>
                      <w:szCs w:val="21"/>
                    </w:rPr>
                    <w:t>废气</w:t>
                  </w:r>
                </w:p>
              </w:tc>
              <w:tc>
                <w:tcPr>
                  <w:tcW w:w="1984" w:type="dxa"/>
                  <w:vAlign w:val="center"/>
                </w:tcPr>
                <w:p>
                  <w:pPr>
                    <w:autoSpaceDE w:val="0"/>
                    <w:autoSpaceDN w:val="0"/>
                    <w:adjustRightInd w:val="0"/>
                    <w:jc w:val="center"/>
                    <w:rPr>
                      <w:rFonts w:hint="eastAsia"/>
                      <w:kern w:val="0"/>
                      <w:szCs w:val="21"/>
                    </w:rPr>
                  </w:pPr>
                  <w:r>
                    <w:rPr>
                      <w:rFonts w:hint="eastAsia"/>
                      <w:kern w:val="0"/>
                      <w:szCs w:val="21"/>
                    </w:rPr>
                    <w:t>食堂</w:t>
                  </w:r>
                </w:p>
              </w:tc>
              <w:tc>
                <w:tcPr>
                  <w:tcW w:w="1684" w:type="dxa"/>
                  <w:vAlign w:val="center"/>
                </w:tcPr>
                <w:p>
                  <w:pPr>
                    <w:autoSpaceDE w:val="0"/>
                    <w:autoSpaceDN w:val="0"/>
                    <w:adjustRightInd w:val="0"/>
                    <w:jc w:val="center"/>
                    <w:rPr>
                      <w:rFonts w:hint="eastAsia"/>
                      <w:kern w:val="0"/>
                      <w:szCs w:val="21"/>
                    </w:rPr>
                  </w:pPr>
                  <w:r>
                    <w:rPr>
                      <w:rFonts w:hint="eastAsia"/>
                      <w:kern w:val="0"/>
                      <w:szCs w:val="21"/>
                    </w:rPr>
                    <w:t>食堂油烟</w:t>
                  </w:r>
                </w:p>
              </w:tc>
              <w:tc>
                <w:tcPr>
                  <w:tcW w:w="1417" w:type="dxa"/>
                  <w:vAlign w:val="center"/>
                </w:tcPr>
                <w:p>
                  <w:pPr>
                    <w:autoSpaceDE w:val="0"/>
                    <w:autoSpaceDN w:val="0"/>
                    <w:adjustRightInd w:val="0"/>
                    <w:jc w:val="center"/>
                    <w:rPr>
                      <w:rFonts w:hint="eastAsia"/>
                      <w:kern w:val="0"/>
                      <w:szCs w:val="21"/>
                    </w:rPr>
                  </w:pPr>
                  <w:r>
                    <w:rPr>
                      <w:rFonts w:hint="eastAsia"/>
                      <w:kern w:val="0"/>
                      <w:szCs w:val="21"/>
                    </w:rPr>
                    <w:t>0.35t/a</w:t>
                  </w:r>
                </w:p>
              </w:tc>
              <w:tc>
                <w:tcPr>
                  <w:tcW w:w="1293" w:type="dxa"/>
                  <w:vAlign w:val="center"/>
                </w:tcPr>
                <w:p>
                  <w:pPr>
                    <w:autoSpaceDE w:val="0"/>
                    <w:autoSpaceDN w:val="0"/>
                    <w:adjustRightInd w:val="0"/>
                    <w:jc w:val="center"/>
                    <w:rPr>
                      <w:rFonts w:hint="eastAsia"/>
                      <w:kern w:val="0"/>
                      <w:szCs w:val="21"/>
                    </w:rPr>
                  </w:pPr>
                  <w:r>
                    <w:rPr>
                      <w:rFonts w:hint="eastAsia"/>
                      <w:kern w:val="0"/>
                      <w:szCs w:val="21"/>
                    </w:rPr>
                    <w:t>0.0525t/a</w:t>
                  </w:r>
                </w:p>
              </w:tc>
              <w:tc>
                <w:tcPr>
                  <w:tcW w:w="2193" w:type="dxa"/>
                  <w:vAlign w:val="center"/>
                </w:tcPr>
                <w:p>
                  <w:pPr>
                    <w:autoSpaceDE w:val="0"/>
                    <w:autoSpaceDN w:val="0"/>
                    <w:adjustRightInd w:val="0"/>
                    <w:jc w:val="center"/>
                    <w:rPr>
                      <w:rFonts w:hint="eastAsia"/>
                      <w:kern w:val="0"/>
                      <w:szCs w:val="21"/>
                    </w:rPr>
                  </w:pPr>
                  <w:r>
                    <w:rPr>
                      <w:rFonts w:hint="eastAsia"/>
                      <w:kern w:val="0"/>
                      <w:szCs w:val="21"/>
                    </w:rPr>
                    <w:t>油烟净化器</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restart"/>
                  <w:vAlign w:val="center"/>
                </w:tcPr>
                <w:p>
                  <w:pPr>
                    <w:autoSpaceDE w:val="0"/>
                    <w:autoSpaceDN w:val="0"/>
                    <w:adjustRightInd w:val="0"/>
                    <w:jc w:val="center"/>
                    <w:rPr>
                      <w:rFonts w:hint="eastAsia"/>
                      <w:kern w:val="0"/>
                      <w:szCs w:val="21"/>
                    </w:rPr>
                  </w:pPr>
                  <w:r>
                    <w:rPr>
                      <w:rFonts w:hint="eastAsia"/>
                      <w:kern w:val="0"/>
                      <w:szCs w:val="21"/>
                    </w:rPr>
                    <w:t>生产车间</w:t>
                  </w:r>
                </w:p>
              </w:tc>
              <w:tc>
                <w:tcPr>
                  <w:tcW w:w="1684" w:type="dxa"/>
                  <w:vAlign w:val="center"/>
                </w:tcPr>
                <w:p>
                  <w:pPr>
                    <w:autoSpaceDE w:val="0"/>
                    <w:autoSpaceDN w:val="0"/>
                    <w:adjustRightInd w:val="0"/>
                    <w:jc w:val="center"/>
                    <w:rPr>
                      <w:rFonts w:hint="eastAsia"/>
                      <w:kern w:val="0"/>
                      <w:szCs w:val="21"/>
                    </w:rPr>
                  </w:pPr>
                  <w:r>
                    <w:rPr>
                      <w:rFonts w:hint="eastAsia"/>
                      <w:kern w:val="0"/>
                      <w:szCs w:val="21"/>
                    </w:rPr>
                    <w:t>焊接烟尘</w:t>
                  </w:r>
                </w:p>
              </w:tc>
              <w:tc>
                <w:tcPr>
                  <w:tcW w:w="1417" w:type="dxa"/>
                  <w:vAlign w:val="center"/>
                </w:tcPr>
                <w:p>
                  <w:pPr>
                    <w:autoSpaceDE w:val="0"/>
                    <w:autoSpaceDN w:val="0"/>
                    <w:adjustRightInd w:val="0"/>
                    <w:jc w:val="center"/>
                    <w:rPr>
                      <w:rFonts w:hint="eastAsia"/>
                      <w:kern w:val="0"/>
                      <w:szCs w:val="21"/>
                    </w:rPr>
                  </w:pPr>
                  <w:r>
                    <w:rPr>
                      <w:rFonts w:hint="eastAsia"/>
                      <w:kern w:val="0"/>
                      <w:szCs w:val="21"/>
                    </w:rPr>
                    <w:t>0.014kg/a</w:t>
                  </w:r>
                </w:p>
              </w:tc>
              <w:tc>
                <w:tcPr>
                  <w:tcW w:w="1293" w:type="dxa"/>
                  <w:vAlign w:val="center"/>
                </w:tcPr>
                <w:p>
                  <w:pPr>
                    <w:autoSpaceDE w:val="0"/>
                    <w:autoSpaceDN w:val="0"/>
                    <w:adjustRightInd w:val="0"/>
                    <w:jc w:val="center"/>
                    <w:rPr>
                      <w:rFonts w:hint="eastAsia"/>
                      <w:kern w:val="0"/>
                      <w:szCs w:val="21"/>
                    </w:rPr>
                  </w:pPr>
                  <w:r>
                    <w:rPr>
                      <w:rFonts w:hint="eastAsia"/>
                      <w:kern w:val="0"/>
                      <w:szCs w:val="21"/>
                    </w:rPr>
                    <w:t>0.0028kg/a</w:t>
                  </w:r>
                </w:p>
              </w:tc>
              <w:tc>
                <w:tcPr>
                  <w:tcW w:w="2193" w:type="dxa"/>
                  <w:vMerge w:val="restart"/>
                  <w:vAlign w:val="center"/>
                </w:tcPr>
                <w:p>
                  <w:pPr>
                    <w:autoSpaceDE w:val="0"/>
                    <w:autoSpaceDN w:val="0"/>
                    <w:adjustRightInd w:val="0"/>
                    <w:jc w:val="center"/>
                    <w:rPr>
                      <w:rFonts w:hint="eastAsia"/>
                      <w:kern w:val="0"/>
                      <w:szCs w:val="21"/>
                    </w:rPr>
                  </w:pPr>
                  <w:r>
                    <w:rPr>
                      <w:rFonts w:hint="eastAsia"/>
                      <w:kern w:val="0"/>
                      <w:szCs w:val="21"/>
                    </w:rPr>
                    <w:t>排风过滤系统</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VOC</w:t>
                  </w:r>
                  <w:r>
                    <w:rPr>
                      <w:rFonts w:hint="eastAsia"/>
                      <w:kern w:val="0"/>
                      <w:szCs w:val="21"/>
                      <w:vertAlign w:val="subscript"/>
                    </w:rPr>
                    <w:t>S</w:t>
                  </w:r>
                </w:p>
              </w:tc>
              <w:tc>
                <w:tcPr>
                  <w:tcW w:w="1417" w:type="dxa"/>
                  <w:vAlign w:val="center"/>
                </w:tcPr>
                <w:p>
                  <w:pPr>
                    <w:autoSpaceDE w:val="0"/>
                    <w:autoSpaceDN w:val="0"/>
                    <w:adjustRightInd w:val="0"/>
                    <w:jc w:val="center"/>
                    <w:rPr>
                      <w:rFonts w:hint="eastAsia"/>
                      <w:kern w:val="0"/>
                      <w:szCs w:val="21"/>
                    </w:rPr>
                  </w:pPr>
                  <w:r>
                    <w:rPr>
                      <w:rFonts w:hint="eastAsia"/>
                      <w:kern w:val="0"/>
                      <w:szCs w:val="21"/>
                    </w:rPr>
                    <w:t>18kg/a</w:t>
                  </w:r>
                </w:p>
              </w:tc>
              <w:tc>
                <w:tcPr>
                  <w:tcW w:w="1293" w:type="dxa"/>
                  <w:vAlign w:val="center"/>
                </w:tcPr>
                <w:p>
                  <w:pPr>
                    <w:autoSpaceDE w:val="0"/>
                    <w:autoSpaceDN w:val="0"/>
                    <w:adjustRightInd w:val="0"/>
                    <w:jc w:val="center"/>
                    <w:rPr>
                      <w:rFonts w:hint="eastAsia"/>
                      <w:kern w:val="0"/>
                      <w:szCs w:val="21"/>
                    </w:rPr>
                  </w:pPr>
                  <w:r>
                    <w:rPr>
                      <w:rFonts w:hint="eastAsia"/>
                      <w:kern w:val="0"/>
                      <w:szCs w:val="21"/>
                    </w:rPr>
                    <w:t>3.6kg/a</w:t>
                  </w:r>
                </w:p>
              </w:tc>
              <w:tc>
                <w:tcPr>
                  <w:tcW w:w="2193" w:type="dxa"/>
                  <w:vMerge/>
                  <w:vAlign w:val="center"/>
                </w:tcPr>
                <w:p>
                  <w:pPr>
                    <w:autoSpaceDE w:val="0"/>
                    <w:autoSpaceDN w:val="0"/>
                    <w:adjustRightInd w:val="0"/>
                    <w:jc w:val="center"/>
                    <w:rPr>
                      <w:rFonts w:hint="eastAsia"/>
                      <w:kern w:val="0"/>
                      <w:szCs w:val="21"/>
                    </w:rPr>
                  </w:pP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Align w:val="center"/>
                </w:tcPr>
                <w:p>
                  <w:pPr>
                    <w:autoSpaceDE w:val="0"/>
                    <w:autoSpaceDN w:val="0"/>
                    <w:adjustRightInd w:val="0"/>
                    <w:jc w:val="center"/>
                    <w:rPr>
                      <w:rFonts w:hint="eastAsia"/>
                      <w:kern w:val="0"/>
                      <w:szCs w:val="21"/>
                    </w:rPr>
                  </w:pPr>
                  <w:r>
                    <w:rPr>
                      <w:rFonts w:hint="eastAsia"/>
                      <w:kern w:val="0"/>
                      <w:szCs w:val="21"/>
                    </w:rPr>
                    <w:t>噪声</w:t>
                  </w:r>
                </w:p>
              </w:tc>
              <w:tc>
                <w:tcPr>
                  <w:tcW w:w="1984" w:type="dxa"/>
                  <w:vAlign w:val="center"/>
                </w:tcPr>
                <w:p>
                  <w:pPr>
                    <w:autoSpaceDE w:val="0"/>
                    <w:autoSpaceDN w:val="0"/>
                    <w:adjustRightInd w:val="0"/>
                    <w:jc w:val="center"/>
                    <w:rPr>
                      <w:rFonts w:hint="eastAsia"/>
                      <w:kern w:val="0"/>
                      <w:szCs w:val="21"/>
                    </w:rPr>
                  </w:pPr>
                  <w:r>
                    <w:rPr>
                      <w:rFonts w:hint="eastAsia"/>
                      <w:kern w:val="0"/>
                      <w:szCs w:val="21"/>
                    </w:rPr>
                    <w:t>生产设备</w:t>
                  </w:r>
                </w:p>
              </w:tc>
              <w:tc>
                <w:tcPr>
                  <w:tcW w:w="1684" w:type="dxa"/>
                  <w:vAlign w:val="center"/>
                </w:tcPr>
                <w:p>
                  <w:pPr>
                    <w:autoSpaceDE w:val="0"/>
                    <w:autoSpaceDN w:val="0"/>
                    <w:adjustRightInd w:val="0"/>
                    <w:jc w:val="center"/>
                    <w:rPr>
                      <w:rFonts w:hint="eastAsia"/>
                      <w:kern w:val="0"/>
                      <w:szCs w:val="21"/>
                    </w:rPr>
                  </w:pPr>
                  <w:r>
                    <w:rPr>
                      <w:rFonts w:hint="eastAsia"/>
                      <w:kern w:val="0"/>
                      <w:szCs w:val="21"/>
                    </w:rPr>
                    <w:t>设备机械噪声</w:t>
                  </w:r>
                </w:p>
              </w:tc>
              <w:tc>
                <w:tcPr>
                  <w:tcW w:w="2710" w:type="dxa"/>
                  <w:gridSpan w:val="2"/>
                  <w:vAlign w:val="center"/>
                </w:tcPr>
                <w:p>
                  <w:pPr>
                    <w:autoSpaceDE w:val="0"/>
                    <w:autoSpaceDN w:val="0"/>
                    <w:adjustRightInd w:val="0"/>
                    <w:jc w:val="center"/>
                    <w:rPr>
                      <w:rFonts w:hint="eastAsia"/>
                      <w:kern w:val="0"/>
                      <w:szCs w:val="21"/>
                    </w:rPr>
                  </w:pPr>
                  <w:r>
                    <w:rPr>
                      <w:rFonts w:hint="eastAsia"/>
                      <w:kern w:val="0"/>
                      <w:szCs w:val="21"/>
                    </w:rPr>
                    <w:t>源强70~85dB（A）</w:t>
                  </w:r>
                </w:p>
              </w:tc>
              <w:tc>
                <w:tcPr>
                  <w:tcW w:w="2193" w:type="dxa"/>
                  <w:vAlign w:val="center"/>
                </w:tcPr>
                <w:p>
                  <w:pPr>
                    <w:autoSpaceDE w:val="0"/>
                    <w:autoSpaceDN w:val="0"/>
                    <w:adjustRightInd w:val="0"/>
                    <w:jc w:val="center"/>
                    <w:rPr>
                      <w:rFonts w:hint="eastAsia"/>
                      <w:kern w:val="0"/>
                      <w:szCs w:val="21"/>
                    </w:rPr>
                  </w:pPr>
                  <w:r>
                    <w:rPr>
                      <w:rFonts w:hint="eastAsia"/>
                      <w:kern w:val="0"/>
                      <w:szCs w:val="21"/>
                    </w:rPr>
                    <w:t>隔声、降噪、减震等</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restart"/>
                  <w:vAlign w:val="center"/>
                </w:tcPr>
                <w:p>
                  <w:pPr>
                    <w:autoSpaceDE w:val="0"/>
                    <w:autoSpaceDN w:val="0"/>
                    <w:adjustRightInd w:val="0"/>
                    <w:jc w:val="center"/>
                    <w:rPr>
                      <w:rFonts w:hint="eastAsia"/>
                      <w:kern w:val="0"/>
                      <w:szCs w:val="21"/>
                    </w:rPr>
                  </w:pPr>
                  <w:r>
                    <w:rPr>
                      <w:rFonts w:hint="eastAsia"/>
                      <w:kern w:val="0"/>
                      <w:szCs w:val="21"/>
                    </w:rPr>
                    <w:t>固体废物</w:t>
                  </w:r>
                </w:p>
              </w:tc>
              <w:tc>
                <w:tcPr>
                  <w:tcW w:w="1984" w:type="dxa"/>
                  <w:vMerge w:val="restart"/>
                  <w:vAlign w:val="center"/>
                </w:tcPr>
                <w:p>
                  <w:pPr>
                    <w:autoSpaceDE w:val="0"/>
                    <w:autoSpaceDN w:val="0"/>
                    <w:adjustRightInd w:val="0"/>
                    <w:jc w:val="center"/>
                    <w:rPr>
                      <w:rFonts w:hint="eastAsia"/>
                      <w:kern w:val="0"/>
                      <w:szCs w:val="21"/>
                    </w:rPr>
                  </w:pPr>
                  <w:r>
                    <w:rPr>
                      <w:rFonts w:hint="eastAsia"/>
                      <w:kern w:val="0"/>
                      <w:szCs w:val="21"/>
                    </w:rPr>
                    <w:t>办公生活</w:t>
                  </w:r>
                </w:p>
              </w:tc>
              <w:tc>
                <w:tcPr>
                  <w:tcW w:w="1684" w:type="dxa"/>
                  <w:vAlign w:val="center"/>
                </w:tcPr>
                <w:p>
                  <w:pPr>
                    <w:autoSpaceDE w:val="0"/>
                    <w:autoSpaceDN w:val="0"/>
                    <w:adjustRightInd w:val="0"/>
                    <w:jc w:val="center"/>
                    <w:rPr>
                      <w:rFonts w:hint="eastAsia"/>
                      <w:kern w:val="0"/>
                      <w:szCs w:val="21"/>
                    </w:rPr>
                  </w:pPr>
                  <w:r>
                    <w:rPr>
                      <w:rFonts w:hint="eastAsia"/>
                      <w:kern w:val="0"/>
                      <w:szCs w:val="21"/>
                    </w:rPr>
                    <w:t>生活垃圾</w:t>
                  </w:r>
                </w:p>
              </w:tc>
              <w:tc>
                <w:tcPr>
                  <w:tcW w:w="1417" w:type="dxa"/>
                  <w:vAlign w:val="center"/>
                </w:tcPr>
                <w:p>
                  <w:pPr>
                    <w:autoSpaceDE w:val="0"/>
                    <w:autoSpaceDN w:val="0"/>
                    <w:adjustRightInd w:val="0"/>
                    <w:jc w:val="center"/>
                    <w:rPr>
                      <w:rFonts w:hint="eastAsia"/>
                      <w:kern w:val="0"/>
                      <w:szCs w:val="21"/>
                    </w:rPr>
                  </w:pPr>
                  <w:r>
                    <w:rPr>
                      <w:rFonts w:hint="eastAsia"/>
                      <w:kern w:val="0"/>
                      <w:szCs w:val="21"/>
                    </w:rPr>
                    <w:t>500t/a</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环卫部门处理</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餐厨垃圾</w:t>
                  </w:r>
                </w:p>
              </w:tc>
              <w:tc>
                <w:tcPr>
                  <w:tcW w:w="1417" w:type="dxa"/>
                  <w:vAlign w:val="center"/>
                </w:tcPr>
                <w:p>
                  <w:pPr>
                    <w:autoSpaceDE w:val="0"/>
                    <w:autoSpaceDN w:val="0"/>
                    <w:adjustRightInd w:val="0"/>
                    <w:jc w:val="center"/>
                    <w:rPr>
                      <w:rFonts w:hint="eastAsia"/>
                      <w:kern w:val="0"/>
                      <w:szCs w:val="21"/>
                    </w:rPr>
                  </w:pPr>
                  <w:r>
                    <w:rPr>
                      <w:rFonts w:hint="eastAsia"/>
                      <w:kern w:val="0"/>
                      <w:szCs w:val="21"/>
                    </w:rPr>
                    <w:t>150t/a</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交由有资质的单位处理</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restart"/>
                  <w:vAlign w:val="center"/>
                </w:tcPr>
                <w:p>
                  <w:pPr>
                    <w:autoSpaceDE w:val="0"/>
                    <w:autoSpaceDN w:val="0"/>
                    <w:adjustRightInd w:val="0"/>
                    <w:jc w:val="center"/>
                    <w:rPr>
                      <w:rFonts w:hint="eastAsia"/>
                      <w:kern w:val="0"/>
                      <w:szCs w:val="21"/>
                    </w:rPr>
                  </w:pPr>
                  <w:r>
                    <w:rPr>
                      <w:rFonts w:hint="eastAsia"/>
                      <w:kern w:val="0"/>
                      <w:szCs w:val="21"/>
                    </w:rPr>
                    <w:t>生产过程</w:t>
                  </w:r>
                </w:p>
              </w:tc>
              <w:tc>
                <w:tcPr>
                  <w:tcW w:w="1684" w:type="dxa"/>
                  <w:vAlign w:val="center"/>
                </w:tcPr>
                <w:p>
                  <w:pPr>
                    <w:autoSpaceDE w:val="0"/>
                    <w:autoSpaceDN w:val="0"/>
                    <w:adjustRightInd w:val="0"/>
                    <w:jc w:val="center"/>
                    <w:rPr>
                      <w:rFonts w:hint="eastAsia"/>
                      <w:kern w:val="0"/>
                      <w:szCs w:val="21"/>
                    </w:rPr>
                  </w:pPr>
                  <w:r>
                    <w:rPr>
                      <w:rFonts w:hint="eastAsia"/>
                      <w:kern w:val="0"/>
                      <w:szCs w:val="21"/>
                    </w:rPr>
                    <w:t>废包装</w:t>
                  </w:r>
                </w:p>
              </w:tc>
              <w:tc>
                <w:tcPr>
                  <w:tcW w:w="1417" w:type="dxa"/>
                  <w:vAlign w:val="center"/>
                </w:tcPr>
                <w:p>
                  <w:pPr>
                    <w:autoSpaceDE w:val="0"/>
                    <w:autoSpaceDN w:val="0"/>
                    <w:adjustRightInd w:val="0"/>
                    <w:jc w:val="center"/>
                    <w:rPr>
                      <w:rFonts w:hint="eastAsia"/>
                      <w:kern w:val="0"/>
                      <w:szCs w:val="21"/>
                    </w:rPr>
                  </w:pPr>
                  <w:r>
                    <w:rPr>
                      <w:rFonts w:hint="eastAsia"/>
                      <w:kern w:val="0"/>
                      <w:szCs w:val="21"/>
                    </w:rPr>
                    <w:t>2</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厂家回收利用</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不合格产品</w:t>
                  </w:r>
                </w:p>
              </w:tc>
              <w:tc>
                <w:tcPr>
                  <w:tcW w:w="1417" w:type="dxa"/>
                  <w:vAlign w:val="center"/>
                </w:tcPr>
                <w:p>
                  <w:pPr>
                    <w:autoSpaceDE w:val="0"/>
                    <w:autoSpaceDN w:val="0"/>
                    <w:adjustRightInd w:val="0"/>
                    <w:jc w:val="center"/>
                    <w:rPr>
                      <w:rFonts w:hint="eastAsia"/>
                      <w:kern w:val="0"/>
                      <w:szCs w:val="21"/>
                    </w:rPr>
                  </w:pPr>
                  <w:r>
                    <w:rPr>
                      <w:rFonts w:hint="eastAsia"/>
                      <w:kern w:val="0"/>
                      <w:szCs w:val="21"/>
                    </w:rPr>
                    <w:t>4</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委托有资质单位处理</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电浆清洗焊渣</w:t>
                  </w:r>
                </w:p>
              </w:tc>
              <w:tc>
                <w:tcPr>
                  <w:tcW w:w="1417" w:type="dxa"/>
                  <w:vAlign w:val="center"/>
                </w:tcPr>
                <w:p>
                  <w:pPr>
                    <w:autoSpaceDE w:val="0"/>
                    <w:autoSpaceDN w:val="0"/>
                    <w:adjustRightInd w:val="0"/>
                    <w:jc w:val="center"/>
                    <w:rPr>
                      <w:rFonts w:hint="eastAsia"/>
                      <w:kern w:val="0"/>
                      <w:szCs w:val="21"/>
                    </w:rPr>
                  </w:pPr>
                  <w:r>
                    <w:rPr>
                      <w:rFonts w:hint="eastAsia"/>
                      <w:kern w:val="0"/>
                      <w:szCs w:val="21"/>
                    </w:rPr>
                    <w:t>0.05</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交由相关厂家回收处理</w:t>
                  </w:r>
                </w:p>
              </w:tc>
            </w:tr>
            <w:tr>
              <w:tblPrEx>
                <w:tblW w:w="9356" w:type="dxa"/>
                <w:jc w:val="center"/>
                <w:tblInd w:w="113" w:type="dxa"/>
                <w:tblLayout w:type="fixed"/>
                <w:tblCellMar>
                  <w:top w:w="0" w:type="dxa"/>
                  <w:left w:w="108" w:type="dxa"/>
                  <w:bottom w:w="0" w:type="dxa"/>
                  <w:right w:w="108" w:type="dxa"/>
                </w:tblCellMar>
                <w:tblLook w:val="0000"/>
              </w:tblPrEx>
              <w:trPr>
                <w:trHeight w:val="555"/>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UV涂布机、涂布机清洗废抹布</w:t>
                  </w:r>
                </w:p>
              </w:tc>
              <w:tc>
                <w:tcPr>
                  <w:tcW w:w="1417" w:type="dxa"/>
                  <w:vAlign w:val="center"/>
                </w:tcPr>
                <w:p>
                  <w:pPr>
                    <w:autoSpaceDE w:val="0"/>
                    <w:autoSpaceDN w:val="0"/>
                    <w:adjustRightInd w:val="0"/>
                    <w:jc w:val="center"/>
                    <w:rPr>
                      <w:rFonts w:hint="eastAsia"/>
                      <w:kern w:val="0"/>
                      <w:szCs w:val="21"/>
                    </w:rPr>
                  </w:pPr>
                  <w:r>
                    <w:rPr>
                      <w:rFonts w:hint="eastAsia"/>
                      <w:kern w:val="0"/>
                      <w:szCs w:val="21"/>
                    </w:rPr>
                    <w:t>0.02</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交由具有危废处理资质单位处理</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785" w:type="dxa"/>
                  <w:vMerge/>
                  <w:vAlign w:val="center"/>
                </w:tcPr>
                <w:p>
                  <w:pPr>
                    <w:autoSpaceDE w:val="0"/>
                    <w:autoSpaceDN w:val="0"/>
                    <w:adjustRightInd w:val="0"/>
                    <w:jc w:val="center"/>
                    <w:rPr>
                      <w:rFonts w:hint="eastAsia"/>
                      <w:kern w:val="0"/>
                      <w:szCs w:val="21"/>
                    </w:rPr>
                  </w:pPr>
                </w:p>
              </w:tc>
              <w:tc>
                <w:tcPr>
                  <w:tcW w:w="1984" w:type="dxa"/>
                  <w:vMerge/>
                  <w:vAlign w:val="center"/>
                </w:tcPr>
                <w:p>
                  <w:pPr>
                    <w:autoSpaceDE w:val="0"/>
                    <w:autoSpaceDN w:val="0"/>
                    <w:adjustRightInd w:val="0"/>
                    <w:jc w:val="center"/>
                    <w:rPr>
                      <w:rFonts w:hint="eastAsia"/>
                      <w:kern w:val="0"/>
                      <w:szCs w:val="21"/>
                    </w:rPr>
                  </w:pPr>
                </w:p>
              </w:tc>
              <w:tc>
                <w:tcPr>
                  <w:tcW w:w="1684" w:type="dxa"/>
                  <w:vAlign w:val="center"/>
                </w:tcPr>
                <w:p>
                  <w:pPr>
                    <w:autoSpaceDE w:val="0"/>
                    <w:autoSpaceDN w:val="0"/>
                    <w:adjustRightInd w:val="0"/>
                    <w:jc w:val="center"/>
                    <w:rPr>
                      <w:rFonts w:hint="eastAsia"/>
                      <w:kern w:val="0"/>
                      <w:szCs w:val="21"/>
                    </w:rPr>
                  </w:pPr>
                  <w:r>
                    <w:rPr>
                      <w:rFonts w:hint="eastAsia"/>
                      <w:kern w:val="0"/>
                      <w:szCs w:val="21"/>
                    </w:rPr>
                    <w:t>废保护膜和切割边角料</w:t>
                  </w:r>
                </w:p>
              </w:tc>
              <w:tc>
                <w:tcPr>
                  <w:tcW w:w="1417" w:type="dxa"/>
                  <w:vAlign w:val="center"/>
                </w:tcPr>
                <w:p>
                  <w:pPr>
                    <w:autoSpaceDE w:val="0"/>
                    <w:autoSpaceDN w:val="0"/>
                    <w:adjustRightInd w:val="0"/>
                    <w:jc w:val="center"/>
                    <w:rPr>
                      <w:rFonts w:hint="eastAsia"/>
                      <w:kern w:val="0"/>
                      <w:szCs w:val="21"/>
                    </w:rPr>
                  </w:pPr>
                  <w:r>
                    <w:rPr>
                      <w:rFonts w:hint="eastAsia"/>
                      <w:kern w:val="0"/>
                      <w:szCs w:val="21"/>
                    </w:rPr>
                    <w:t>1</w:t>
                  </w:r>
                </w:p>
              </w:tc>
              <w:tc>
                <w:tcPr>
                  <w:tcW w:w="1293" w:type="dxa"/>
                  <w:vAlign w:val="center"/>
                </w:tcPr>
                <w:p>
                  <w:pPr>
                    <w:autoSpaceDE w:val="0"/>
                    <w:autoSpaceDN w:val="0"/>
                    <w:adjustRightInd w:val="0"/>
                    <w:jc w:val="center"/>
                    <w:rPr>
                      <w:rFonts w:hint="eastAsia"/>
                      <w:kern w:val="0"/>
                      <w:szCs w:val="21"/>
                    </w:rPr>
                  </w:pPr>
                  <w:r>
                    <w:rPr>
                      <w:rFonts w:hint="eastAsia"/>
                      <w:kern w:val="0"/>
                      <w:szCs w:val="21"/>
                    </w:rPr>
                    <w:t>0</w:t>
                  </w:r>
                </w:p>
              </w:tc>
              <w:tc>
                <w:tcPr>
                  <w:tcW w:w="2193" w:type="dxa"/>
                  <w:vAlign w:val="center"/>
                </w:tcPr>
                <w:p>
                  <w:pPr>
                    <w:autoSpaceDE w:val="0"/>
                    <w:autoSpaceDN w:val="0"/>
                    <w:adjustRightInd w:val="0"/>
                    <w:jc w:val="center"/>
                    <w:rPr>
                      <w:rFonts w:hint="eastAsia"/>
                      <w:kern w:val="0"/>
                      <w:szCs w:val="21"/>
                    </w:rPr>
                  </w:pPr>
                  <w:r>
                    <w:rPr>
                      <w:rFonts w:hint="eastAsia"/>
                      <w:kern w:val="0"/>
                      <w:szCs w:val="21"/>
                    </w:rPr>
                    <w:t>交由下游单位回收利用</w:t>
                  </w:r>
                </w:p>
              </w:tc>
            </w:tr>
          </w:tbl>
          <w:p>
            <w:pPr>
              <w:tabs>
                <w:tab w:val="left" w:pos="3195"/>
              </w:tabs>
              <w:snapToGrid w:val="0"/>
              <w:spacing w:line="360" w:lineRule="auto"/>
              <w:ind w:firstLine="480" w:firstLineChars="200"/>
              <w:rPr>
                <w:rFonts w:hint="eastAsia"/>
                <w:sz w:val="24"/>
              </w:rPr>
            </w:pPr>
            <w:r>
              <w:rPr>
                <w:rFonts w:hint="eastAsia"/>
                <w:sz w:val="24"/>
              </w:rPr>
              <w:t>根据《南昌欧菲生物识别技术有限公司年产9600万颗CCM高清微摄像头建设项目》现状评价报告中污染源现状监测结果，监测时间为2017年11月20日，监测结果详见表1-8。</w:t>
            </w:r>
          </w:p>
          <w:p>
            <w:pPr>
              <w:ind w:firstLine="420" w:firstLineChars="200"/>
              <w:jc w:val="center"/>
              <w:rPr>
                <w:rFonts w:hAnsi="宋体" w:hint="eastAsia"/>
                <w:b/>
                <w:bCs/>
                <w:szCs w:val="21"/>
              </w:rPr>
            </w:pPr>
            <w:r>
              <w:rPr>
                <w:rFonts w:hAnsi="宋体"/>
                <w:b/>
                <w:bCs/>
                <w:szCs w:val="21"/>
              </w:rPr>
              <w:t>表</w:t>
            </w:r>
            <w:r>
              <w:rPr>
                <w:rFonts w:hint="eastAsia"/>
                <w:b/>
                <w:bCs/>
                <w:szCs w:val="21"/>
              </w:rPr>
              <w:t xml:space="preserve">1-8 </w:t>
            </w:r>
            <w:r>
              <w:rPr>
                <w:rFonts w:hint="eastAsia"/>
                <w:b/>
              </w:rPr>
              <w:t>“</w:t>
            </w:r>
            <w:r>
              <w:rPr>
                <w:rFonts w:hint="eastAsia"/>
                <w:b/>
              </w:rPr>
              <w:t>年产9600万颗CCM高清微摄像头建设项目</w:t>
            </w:r>
            <w:r>
              <w:rPr>
                <w:rFonts w:hint="eastAsia"/>
                <w:b/>
              </w:rPr>
              <w:t>”</w:t>
            </w:r>
            <w:r>
              <w:rPr>
                <w:rFonts w:hint="eastAsia"/>
                <w:b/>
              </w:rPr>
              <w:t>污染源现状监测结果</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06"/>
              <w:gridCol w:w="799"/>
              <w:gridCol w:w="1320"/>
              <w:gridCol w:w="1439"/>
              <w:gridCol w:w="2557"/>
              <w:gridCol w:w="2835"/>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359" w:type="dxa"/>
                  <w:vAlign w:val="center"/>
                </w:tcPr>
                <w:p>
                  <w:pPr>
                    <w:jc w:val="center"/>
                    <w:rPr>
                      <w:rFonts w:hAnsi="宋体"/>
                      <w:szCs w:val="21"/>
                    </w:rPr>
                  </w:pPr>
                  <w:r>
                    <w:rPr>
                      <w:rFonts w:hAnsi="宋体"/>
                      <w:szCs w:val="21"/>
                    </w:rPr>
                    <w:t>时段</w:t>
                  </w:r>
                </w:p>
              </w:tc>
              <w:tc>
                <w:tcPr>
                  <w:tcW w:w="709" w:type="dxa"/>
                  <w:vAlign w:val="center"/>
                </w:tcPr>
                <w:p>
                  <w:pPr>
                    <w:jc w:val="center"/>
                    <w:rPr>
                      <w:rFonts w:hAnsi="宋体"/>
                      <w:szCs w:val="21"/>
                    </w:rPr>
                  </w:pPr>
                  <w:r>
                    <w:rPr>
                      <w:rFonts w:hAnsi="宋体"/>
                      <w:szCs w:val="21"/>
                    </w:rPr>
                    <w:t>污染因子</w:t>
                  </w:r>
                </w:p>
              </w:tc>
              <w:tc>
                <w:tcPr>
                  <w:tcW w:w="1171" w:type="dxa"/>
                  <w:vAlign w:val="center"/>
                </w:tcPr>
                <w:p>
                  <w:pPr>
                    <w:jc w:val="center"/>
                    <w:rPr>
                      <w:rFonts w:hAnsi="宋体"/>
                      <w:szCs w:val="21"/>
                    </w:rPr>
                  </w:pPr>
                  <w:r>
                    <w:rPr>
                      <w:rFonts w:hAnsi="宋体"/>
                      <w:szCs w:val="21"/>
                    </w:rPr>
                    <w:t>来  源</w:t>
                  </w:r>
                </w:p>
              </w:tc>
              <w:tc>
                <w:tcPr>
                  <w:tcW w:w="1276" w:type="dxa"/>
                  <w:vAlign w:val="center"/>
                </w:tcPr>
                <w:p>
                  <w:pPr>
                    <w:jc w:val="center"/>
                    <w:rPr>
                      <w:rFonts w:hAnsi="宋体"/>
                      <w:szCs w:val="21"/>
                    </w:rPr>
                  </w:pPr>
                  <w:r>
                    <w:rPr>
                      <w:rFonts w:hAnsi="宋体"/>
                      <w:szCs w:val="21"/>
                    </w:rPr>
                    <w:t>污染物种类</w:t>
                  </w:r>
                </w:p>
              </w:tc>
              <w:tc>
                <w:tcPr>
                  <w:tcW w:w="2268" w:type="dxa"/>
                  <w:vAlign w:val="center"/>
                </w:tcPr>
                <w:p>
                  <w:pPr>
                    <w:jc w:val="center"/>
                    <w:rPr>
                      <w:rFonts w:hAnsi="宋体"/>
                      <w:szCs w:val="21"/>
                    </w:rPr>
                  </w:pPr>
                  <w:r>
                    <w:rPr>
                      <w:rFonts w:hAnsi="宋体" w:hint="eastAsia"/>
                      <w:szCs w:val="21"/>
                    </w:rPr>
                    <w:t>监测</w:t>
                  </w:r>
                  <w:r>
                    <w:rPr>
                      <w:rFonts w:hAnsi="宋体"/>
                      <w:szCs w:val="21"/>
                    </w:rPr>
                    <w:t>结果</w:t>
                  </w:r>
                </w:p>
              </w:tc>
              <w:tc>
                <w:tcPr>
                  <w:tcW w:w="2514" w:type="dxa"/>
                  <w:vAlign w:val="center"/>
                </w:tcPr>
                <w:p>
                  <w:pPr>
                    <w:jc w:val="center"/>
                    <w:rPr>
                      <w:rFonts w:hAnsi="宋体" w:hint="eastAsia"/>
                      <w:szCs w:val="21"/>
                    </w:rPr>
                  </w:pPr>
                  <w:r>
                    <w:rPr>
                      <w:rFonts w:hAnsi="宋体" w:hint="eastAsia"/>
                      <w:szCs w:val="21"/>
                    </w:rPr>
                    <w:t>达标情况</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restart"/>
                  <w:vAlign w:val="center"/>
                </w:tcPr>
                <w:p>
                  <w:pPr>
                    <w:jc w:val="center"/>
                    <w:rPr>
                      <w:rFonts w:hAnsi="宋体"/>
                      <w:szCs w:val="21"/>
                    </w:rPr>
                  </w:pPr>
                  <w:r>
                    <w:rPr>
                      <w:rFonts w:hAnsi="宋体"/>
                      <w:szCs w:val="21"/>
                    </w:rPr>
                    <w:t>营</w:t>
                  </w:r>
                </w:p>
                <w:p>
                  <w:pPr>
                    <w:jc w:val="center"/>
                    <w:rPr>
                      <w:rFonts w:hAnsi="宋体"/>
                      <w:szCs w:val="21"/>
                    </w:rPr>
                  </w:pPr>
                  <w:r>
                    <w:rPr>
                      <w:rFonts w:hAnsi="宋体"/>
                      <w:szCs w:val="21"/>
                    </w:rPr>
                    <w:t>运</w:t>
                  </w:r>
                </w:p>
                <w:p>
                  <w:pPr>
                    <w:jc w:val="center"/>
                    <w:rPr>
                      <w:rFonts w:hAnsi="宋体"/>
                      <w:szCs w:val="21"/>
                    </w:rPr>
                  </w:pPr>
                  <w:r>
                    <w:rPr>
                      <w:rFonts w:hAnsi="宋体"/>
                      <w:szCs w:val="21"/>
                    </w:rPr>
                    <w:t>期</w:t>
                  </w:r>
                </w:p>
              </w:tc>
              <w:tc>
                <w:tcPr>
                  <w:tcW w:w="709" w:type="dxa"/>
                  <w:vMerge w:val="restart"/>
                  <w:vAlign w:val="center"/>
                </w:tcPr>
                <w:p>
                  <w:pPr>
                    <w:jc w:val="center"/>
                    <w:rPr>
                      <w:rFonts w:hAnsi="宋体"/>
                      <w:szCs w:val="21"/>
                    </w:rPr>
                  </w:pPr>
                  <w:r>
                    <w:rPr>
                      <w:rFonts w:hAnsi="宋体"/>
                      <w:szCs w:val="21"/>
                    </w:rPr>
                    <w:t>废气</w:t>
                  </w:r>
                </w:p>
              </w:tc>
              <w:tc>
                <w:tcPr>
                  <w:tcW w:w="1171" w:type="dxa"/>
                  <w:vMerge w:val="restart"/>
                  <w:vAlign w:val="center"/>
                </w:tcPr>
                <w:p>
                  <w:pPr>
                    <w:jc w:val="center"/>
                    <w:rPr>
                      <w:rFonts w:hAnsi="宋体" w:hint="eastAsia"/>
                      <w:szCs w:val="21"/>
                    </w:rPr>
                  </w:pPr>
                  <w:r>
                    <w:rPr>
                      <w:rFonts w:hAnsi="宋体" w:hint="eastAsia"/>
                      <w:szCs w:val="21"/>
                    </w:rPr>
                    <w:t>焊接烟尘</w:t>
                  </w:r>
                </w:p>
              </w:tc>
              <w:tc>
                <w:tcPr>
                  <w:tcW w:w="1276" w:type="dxa"/>
                  <w:vAlign w:val="center"/>
                </w:tcPr>
                <w:p>
                  <w:pPr>
                    <w:jc w:val="center"/>
                    <w:rPr>
                      <w:rFonts w:hAnsi="宋体" w:hint="eastAsia"/>
                      <w:szCs w:val="21"/>
                    </w:rPr>
                  </w:pPr>
                  <w:r>
                    <w:rPr>
                      <w:rFonts w:hAnsi="宋体" w:hint="eastAsia"/>
                      <w:szCs w:val="21"/>
                    </w:rPr>
                    <w:t>锡及其化合物</w:t>
                  </w:r>
                </w:p>
              </w:tc>
              <w:tc>
                <w:tcPr>
                  <w:tcW w:w="2268" w:type="dxa"/>
                  <w:vAlign w:val="center"/>
                </w:tcPr>
                <w:p>
                  <w:pPr>
                    <w:jc w:val="center"/>
                    <w:rPr>
                      <w:rFonts w:hAnsi="宋体"/>
                      <w:szCs w:val="21"/>
                    </w:rPr>
                  </w:pPr>
                  <w:r>
                    <w:rPr>
                      <w:rFonts w:hint="eastAsia"/>
                      <w:szCs w:val="21"/>
                    </w:rPr>
                    <w:t>0.024kg/h，5.2mg/m</w:t>
                  </w:r>
                  <w:r>
                    <w:rPr>
                      <w:rFonts w:hint="eastAsia"/>
                      <w:szCs w:val="21"/>
                      <w:vertAlign w:val="superscript"/>
                    </w:rPr>
                    <w:t>3</w:t>
                  </w:r>
                </w:p>
              </w:tc>
              <w:tc>
                <w:tcPr>
                  <w:tcW w:w="2514" w:type="dxa"/>
                  <w:vMerge w:val="restart"/>
                  <w:vAlign w:val="center"/>
                </w:tcPr>
                <w:p>
                  <w:pPr>
                    <w:jc w:val="center"/>
                    <w:rPr>
                      <w:rFonts w:hint="eastAsia"/>
                      <w:szCs w:val="21"/>
                    </w:rPr>
                  </w:pPr>
                  <w:r>
                    <w:rPr>
                      <w:rFonts w:hint="eastAsia"/>
                      <w:szCs w:val="21"/>
                    </w:rPr>
                    <w:t>满足《大气污染物综合排放标准》（GB16297-1996）表2中二级标准要求</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Merge/>
                  <w:vAlign w:val="center"/>
                </w:tcPr>
                <w:p>
                  <w:pPr>
                    <w:jc w:val="center"/>
                    <w:rPr>
                      <w:rFonts w:hAnsi="宋体" w:hint="eastAsia"/>
                      <w:szCs w:val="21"/>
                    </w:rPr>
                  </w:pPr>
                </w:p>
              </w:tc>
              <w:tc>
                <w:tcPr>
                  <w:tcW w:w="1276" w:type="dxa"/>
                  <w:vAlign w:val="center"/>
                </w:tcPr>
                <w:p>
                  <w:pPr>
                    <w:jc w:val="center"/>
                    <w:rPr>
                      <w:rFonts w:hAnsi="宋体" w:hint="eastAsia"/>
                      <w:szCs w:val="21"/>
                    </w:rPr>
                  </w:pPr>
                  <w:r>
                    <w:rPr>
                      <w:rFonts w:hAnsi="宋体" w:hint="eastAsia"/>
                      <w:szCs w:val="21"/>
                    </w:rPr>
                    <w:t>颗粒物</w:t>
                  </w:r>
                </w:p>
              </w:tc>
              <w:tc>
                <w:tcPr>
                  <w:tcW w:w="2268" w:type="dxa"/>
                  <w:vAlign w:val="center"/>
                </w:tcPr>
                <w:p>
                  <w:pPr>
                    <w:jc w:val="center"/>
                    <w:rPr>
                      <w:rFonts w:hAnsi="宋体" w:hint="eastAsia"/>
                      <w:szCs w:val="21"/>
                    </w:rPr>
                  </w:pPr>
                  <w:r>
                    <w:rPr>
                      <w:rFonts w:hint="eastAsia"/>
                      <w:szCs w:val="21"/>
                    </w:rPr>
                    <w:t>0.016kg/h，10.5mg/m</w:t>
                  </w:r>
                  <w:r>
                    <w:rPr>
                      <w:rFonts w:hint="eastAsia"/>
                      <w:szCs w:val="21"/>
                      <w:vertAlign w:val="superscript"/>
                    </w:rPr>
                    <w:t>3</w:t>
                  </w:r>
                </w:p>
              </w:tc>
              <w:tc>
                <w:tcPr>
                  <w:tcW w:w="2514" w:type="dxa"/>
                  <w:vMerge/>
                  <w:vAlign w:val="center"/>
                </w:tcPr>
                <w:p>
                  <w:pPr>
                    <w:jc w:val="center"/>
                    <w:rPr>
                      <w:rFonts w:hint="eastAsia"/>
                      <w:szCs w:val="21"/>
                    </w:rPr>
                  </w:pP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Align w:val="center"/>
                </w:tcPr>
                <w:p>
                  <w:pPr>
                    <w:jc w:val="center"/>
                    <w:rPr>
                      <w:rFonts w:hAnsi="宋体" w:hint="eastAsia"/>
                      <w:szCs w:val="21"/>
                    </w:rPr>
                  </w:pPr>
                  <w:r>
                    <w:rPr>
                      <w:rFonts w:hAnsi="宋体" w:hint="eastAsia"/>
                      <w:szCs w:val="21"/>
                    </w:rPr>
                    <w:t>点胶废气</w:t>
                  </w:r>
                </w:p>
              </w:tc>
              <w:tc>
                <w:tcPr>
                  <w:tcW w:w="1276" w:type="dxa"/>
                  <w:vAlign w:val="center"/>
                </w:tcPr>
                <w:p>
                  <w:pPr>
                    <w:jc w:val="center"/>
                    <w:rPr>
                      <w:rFonts w:hAnsi="宋体" w:hint="eastAsia"/>
                      <w:szCs w:val="21"/>
                    </w:rPr>
                  </w:pPr>
                  <w:r>
                    <w:rPr>
                      <w:rFonts w:hAnsi="宋体" w:hint="eastAsia"/>
                      <w:szCs w:val="21"/>
                    </w:rPr>
                    <w:t>VOCs</w:t>
                  </w:r>
                </w:p>
              </w:tc>
              <w:tc>
                <w:tcPr>
                  <w:tcW w:w="2268" w:type="dxa"/>
                  <w:vAlign w:val="center"/>
                </w:tcPr>
                <w:p>
                  <w:pPr>
                    <w:jc w:val="center"/>
                    <w:rPr>
                      <w:rFonts w:hAnsi="宋体" w:hint="eastAsia"/>
                      <w:szCs w:val="21"/>
                    </w:rPr>
                  </w:pPr>
                  <w:r>
                    <w:rPr>
                      <w:rFonts w:hint="eastAsia"/>
                      <w:szCs w:val="21"/>
                    </w:rPr>
                    <w:t>0.001kg/h，0.23mg/m</w:t>
                  </w:r>
                  <w:r>
                    <w:rPr>
                      <w:rFonts w:hint="eastAsia"/>
                      <w:szCs w:val="21"/>
                      <w:vertAlign w:val="superscript"/>
                    </w:rPr>
                    <w:t>3</w:t>
                  </w:r>
                </w:p>
              </w:tc>
              <w:tc>
                <w:tcPr>
                  <w:tcW w:w="2514" w:type="dxa"/>
                  <w:vAlign w:val="center"/>
                </w:tcPr>
                <w:p>
                  <w:pPr>
                    <w:jc w:val="center"/>
                    <w:rPr>
                      <w:rFonts w:hint="eastAsia"/>
                      <w:szCs w:val="21"/>
                    </w:rPr>
                  </w:pPr>
                  <w:r>
                    <w:rPr>
                      <w:rFonts w:hint="eastAsia"/>
                      <w:szCs w:val="21"/>
                    </w:rPr>
                    <w:t>满足《天津市工业企业挥发性有机物排放控制标准》（DB12/524-2014）</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restart"/>
                  <w:vAlign w:val="center"/>
                </w:tcPr>
                <w:p>
                  <w:pPr>
                    <w:jc w:val="center"/>
                    <w:rPr>
                      <w:rFonts w:hAnsi="宋体"/>
                      <w:szCs w:val="21"/>
                    </w:rPr>
                  </w:pPr>
                  <w:r>
                    <w:rPr>
                      <w:rFonts w:hAnsi="宋体"/>
                      <w:szCs w:val="21"/>
                    </w:rPr>
                    <w:t>废水</w:t>
                  </w:r>
                </w:p>
              </w:tc>
              <w:tc>
                <w:tcPr>
                  <w:tcW w:w="1171" w:type="dxa"/>
                  <w:vMerge w:val="restart"/>
                  <w:vAlign w:val="center"/>
                </w:tcPr>
                <w:p>
                  <w:pPr>
                    <w:jc w:val="center"/>
                    <w:rPr>
                      <w:rFonts w:hAnsi="宋体" w:hint="eastAsia"/>
                      <w:szCs w:val="21"/>
                    </w:rPr>
                  </w:pPr>
                  <w:r>
                    <w:rPr>
                      <w:rFonts w:hAnsi="宋体" w:hint="eastAsia"/>
                      <w:szCs w:val="21"/>
                    </w:rPr>
                    <w:t>生活</w:t>
                  </w:r>
                  <w:r>
                    <w:rPr>
                      <w:rFonts w:hAnsi="宋体"/>
                      <w:szCs w:val="21"/>
                    </w:rPr>
                    <w:t>废水</w:t>
                  </w:r>
                  <w:r>
                    <w:rPr>
                      <w:rFonts w:hAnsi="宋体" w:hint="eastAsia"/>
                      <w:szCs w:val="21"/>
                    </w:rPr>
                    <w:t>、FPC清洗废水（废水总排口）</w:t>
                  </w:r>
                </w:p>
              </w:tc>
              <w:tc>
                <w:tcPr>
                  <w:tcW w:w="1276" w:type="dxa"/>
                  <w:vAlign w:val="center"/>
                </w:tcPr>
                <w:p>
                  <w:pPr>
                    <w:jc w:val="center"/>
                    <w:rPr>
                      <w:rFonts w:hAnsi="宋体"/>
                      <w:szCs w:val="21"/>
                    </w:rPr>
                  </w:pPr>
                  <w:r>
                    <w:rPr>
                      <w:rFonts w:hAnsi="宋体" w:hint="eastAsia"/>
                      <w:szCs w:val="21"/>
                    </w:rPr>
                    <w:t>pH</w:t>
                  </w:r>
                </w:p>
              </w:tc>
              <w:tc>
                <w:tcPr>
                  <w:tcW w:w="2268" w:type="dxa"/>
                  <w:vAlign w:val="center"/>
                </w:tcPr>
                <w:p>
                  <w:pPr>
                    <w:jc w:val="center"/>
                    <w:rPr>
                      <w:rFonts w:hAnsi="宋体"/>
                      <w:szCs w:val="21"/>
                    </w:rPr>
                  </w:pPr>
                  <w:r>
                    <w:rPr>
                      <w:rFonts w:hAnsi="宋体" w:hint="eastAsia"/>
                      <w:szCs w:val="21"/>
                    </w:rPr>
                    <w:t>6.8mg/L</w:t>
                  </w:r>
                </w:p>
              </w:tc>
              <w:tc>
                <w:tcPr>
                  <w:tcW w:w="2514" w:type="dxa"/>
                  <w:vMerge w:val="restart"/>
                  <w:vAlign w:val="center"/>
                </w:tcPr>
                <w:p>
                  <w:pPr>
                    <w:jc w:val="center"/>
                    <w:rPr>
                      <w:rFonts w:hAnsi="宋体" w:hint="eastAsia"/>
                      <w:szCs w:val="21"/>
                    </w:rPr>
                  </w:pPr>
                  <w:r>
                    <w:rPr>
                      <w:rFonts w:hAnsi="宋体" w:hint="eastAsia"/>
                      <w:szCs w:val="21"/>
                    </w:rPr>
                    <w:t>满足瑶湖污水处理厂接管标准要求</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Merge/>
                  <w:vAlign w:val="center"/>
                </w:tcPr>
                <w:p>
                  <w:pPr>
                    <w:jc w:val="center"/>
                    <w:rPr>
                      <w:rFonts w:hAnsi="宋体" w:hint="eastAsia"/>
                      <w:szCs w:val="21"/>
                    </w:rPr>
                  </w:pPr>
                </w:p>
              </w:tc>
              <w:tc>
                <w:tcPr>
                  <w:tcW w:w="1276" w:type="dxa"/>
                  <w:vAlign w:val="center"/>
                </w:tcPr>
                <w:p>
                  <w:pPr>
                    <w:jc w:val="center"/>
                    <w:rPr>
                      <w:rFonts w:hAnsi="宋体" w:hint="eastAsia"/>
                      <w:szCs w:val="21"/>
                    </w:rPr>
                  </w:pPr>
                  <w:r>
                    <w:rPr>
                      <w:rFonts w:hAnsi="宋体"/>
                      <w:szCs w:val="21"/>
                    </w:rPr>
                    <w:t>COD</w:t>
                  </w:r>
                  <w:r>
                    <w:rPr>
                      <w:rFonts w:hAnsi="宋体" w:hint="eastAsia"/>
                      <w:szCs w:val="21"/>
                    </w:rPr>
                    <w:t>cr</w:t>
                  </w:r>
                </w:p>
              </w:tc>
              <w:tc>
                <w:tcPr>
                  <w:tcW w:w="2268" w:type="dxa"/>
                  <w:vAlign w:val="center"/>
                </w:tcPr>
                <w:p>
                  <w:pPr>
                    <w:jc w:val="center"/>
                    <w:rPr>
                      <w:rFonts w:hAnsi="宋体" w:hint="eastAsia"/>
                      <w:szCs w:val="21"/>
                    </w:rPr>
                  </w:pPr>
                  <w:r>
                    <w:rPr>
                      <w:rFonts w:hAnsi="宋体" w:hint="eastAsia"/>
                      <w:szCs w:val="21"/>
                    </w:rPr>
                    <w:t>130mg/L</w:t>
                  </w:r>
                </w:p>
              </w:tc>
              <w:tc>
                <w:tcPr>
                  <w:tcW w:w="2514" w:type="dxa"/>
                  <w:vMerge/>
                  <w:vAlign w:val="center"/>
                </w:tcPr>
                <w:p>
                  <w:pPr>
                    <w:jc w:val="center"/>
                    <w:rPr>
                      <w:rFonts w:hAnsi="宋体" w:hint="eastAsia"/>
                      <w:szCs w:val="21"/>
                    </w:rPr>
                  </w:pP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Merge/>
                  <w:vAlign w:val="center"/>
                </w:tcPr>
                <w:p>
                  <w:pPr>
                    <w:jc w:val="center"/>
                    <w:rPr>
                      <w:rFonts w:hAnsi="宋体" w:hint="eastAsia"/>
                      <w:szCs w:val="21"/>
                    </w:rPr>
                  </w:pPr>
                </w:p>
              </w:tc>
              <w:tc>
                <w:tcPr>
                  <w:tcW w:w="1276" w:type="dxa"/>
                  <w:vAlign w:val="center"/>
                </w:tcPr>
                <w:p>
                  <w:pPr>
                    <w:jc w:val="center"/>
                    <w:rPr>
                      <w:rFonts w:hAnsi="宋体" w:hint="eastAsia"/>
                      <w:szCs w:val="21"/>
                    </w:rPr>
                  </w:pPr>
                  <w:r>
                    <w:rPr>
                      <w:rFonts w:hAnsi="宋体" w:hint="eastAsia"/>
                      <w:szCs w:val="21"/>
                    </w:rPr>
                    <w:t>BOD</w:t>
                  </w:r>
                  <w:r>
                    <w:rPr>
                      <w:rFonts w:hAnsi="宋体" w:hint="eastAsia"/>
                      <w:szCs w:val="21"/>
                      <w:vertAlign w:val="subscript"/>
                    </w:rPr>
                    <w:t>5</w:t>
                  </w:r>
                </w:p>
              </w:tc>
              <w:tc>
                <w:tcPr>
                  <w:tcW w:w="2268" w:type="dxa"/>
                  <w:vAlign w:val="center"/>
                </w:tcPr>
                <w:p>
                  <w:pPr>
                    <w:jc w:val="center"/>
                    <w:rPr>
                      <w:rFonts w:hAnsi="宋体" w:hint="eastAsia"/>
                      <w:szCs w:val="21"/>
                    </w:rPr>
                  </w:pPr>
                  <w:r>
                    <w:rPr>
                      <w:rFonts w:hAnsi="宋体" w:hint="eastAsia"/>
                      <w:szCs w:val="21"/>
                    </w:rPr>
                    <w:t>86mg/L</w:t>
                  </w:r>
                </w:p>
              </w:tc>
              <w:tc>
                <w:tcPr>
                  <w:tcW w:w="2514" w:type="dxa"/>
                  <w:vMerge/>
                  <w:vAlign w:val="center"/>
                </w:tcPr>
                <w:p>
                  <w:pPr>
                    <w:jc w:val="center"/>
                    <w:rPr>
                      <w:rFonts w:hAnsi="宋体" w:hint="eastAsia"/>
                      <w:szCs w:val="21"/>
                    </w:rPr>
                  </w:pP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Merge/>
                  <w:vAlign w:val="center"/>
                </w:tcPr>
                <w:p>
                  <w:pPr>
                    <w:jc w:val="center"/>
                    <w:rPr>
                      <w:rFonts w:hAnsi="宋体" w:hint="eastAsia"/>
                      <w:szCs w:val="21"/>
                    </w:rPr>
                  </w:pPr>
                </w:p>
              </w:tc>
              <w:tc>
                <w:tcPr>
                  <w:tcW w:w="1276" w:type="dxa"/>
                  <w:vAlign w:val="center"/>
                </w:tcPr>
                <w:p>
                  <w:pPr>
                    <w:jc w:val="center"/>
                    <w:rPr>
                      <w:rFonts w:hAnsi="宋体" w:hint="eastAsia"/>
                      <w:szCs w:val="21"/>
                    </w:rPr>
                  </w:pPr>
                  <w:r>
                    <w:rPr>
                      <w:rFonts w:hAnsi="宋体"/>
                      <w:szCs w:val="21"/>
                    </w:rPr>
                    <w:t>NH</w:t>
                  </w:r>
                  <w:r>
                    <w:rPr>
                      <w:rFonts w:hAnsi="宋体"/>
                      <w:szCs w:val="21"/>
                      <w:vertAlign w:val="subscript"/>
                    </w:rPr>
                    <w:t>3</w:t>
                  </w:r>
                  <w:r>
                    <w:rPr>
                      <w:rFonts w:hAnsi="宋体"/>
                      <w:szCs w:val="21"/>
                    </w:rPr>
                    <w:t>-N</w:t>
                  </w:r>
                </w:p>
              </w:tc>
              <w:tc>
                <w:tcPr>
                  <w:tcW w:w="2268" w:type="dxa"/>
                  <w:vAlign w:val="center"/>
                </w:tcPr>
                <w:p>
                  <w:pPr>
                    <w:jc w:val="center"/>
                    <w:rPr>
                      <w:rFonts w:hAnsi="宋体" w:hint="eastAsia"/>
                      <w:szCs w:val="21"/>
                    </w:rPr>
                  </w:pPr>
                  <w:r>
                    <w:rPr>
                      <w:rFonts w:hAnsi="宋体" w:hint="eastAsia"/>
                      <w:szCs w:val="21"/>
                    </w:rPr>
                    <w:t>10.09mg/L</w:t>
                  </w:r>
                </w:p>
              </w:tc>
              <w:tc>
                <w:tcPr>
                  <w:tcW w:w="2514" w:type="dxa"/>
                  <w:vMerge/>
                  <w:vAlign w:val="center"/>
                </w:tcPr>
                <w:p>
                  <w:pPr>
                    <w:jc w:val="center"/>
                    <w:rPr>
                      <w:rFonts w:hAnsi="宋体" w:hint="eastAsia"/>
                      <w:szCs w:val="21"/>
                    </w:rPr>
                  </w:pP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Merge/>
                  <w:vAlign w:val="center"/>
                </w:tcPr>
                <w:p>
                  <w:pPr>
                    <w:jc w:val="center"/>
                    <w:rPr>
                      <w:rFonts w:hAnsi="宋体" w:hint="eastAsia"/>
                      <w:szCs w:val="21"/>
                    </w:rPr>
                  </w:pPr>
                </w:p>
              </w:tc>
              <w:tc>
                <w:tcPr>
                  <w:tcW w:w="1276" w:type="dxa"/>
                  <w:vAlign w:val="center"/>
                </w:tcPr>
                <w:p>
                  <w:pPr>
                    <w:jc w:val="center"/>
                    <w:rPr>
                      <w:rFonts w:hAnsi="宋体" w:hint="eastAsia"/>
                      <w:szCs w:val="21"/>
                    </w:rPr>
                  </w:pPr>
                  <w:r>
                    <w:rPr>
                      <w:rFonts w:hAnsi="宋体"/>
                      <w:szCs w:val="21"/>
                    </w:rPr>
                    <w:t>SS</w:t>
                  </w:r>
                </w:p>
              </w:tc>
              <w:tc>
                <w:tcPr>
                  <w:tcW w:w="2268" w:type="dxa"/>
                  <w:vAlign w:val="center"/>
                </w:tcPr>
                <w:p>
                  <w:pPr>
                    <w:jc w:val="center"/>
                    <w:rPr>
                      <w:rFonts w:hAnsi="宋体" w:hint="eastAsia"/>
                      <w:szCs w:val="21"/>
                    </w:rPr>
                  </w:pPr>
                  <w:r>
                    <w:rPr>
                      <w:rFonts w:hAnsi="宋体" w:hint="eastAsia"/>
                      <w:szCs w:val="21"/>
                    </w:rPr>
                    <w:t>107mg/L</w:t>
                  </w:r>
                </w:p>
              </w:tc>
              <w:tc>
                <w:tcPr>
                  <w:tcW w:w="2514" w:type="dxa"/>
                  <w:vMerge/>
                  <w:vAlign w:val="center"/>
                </w:tcPr>
                <w:p>
                  <w:pPr>
                    <w:jc w:val="center"/>
                    <w:rPr>
                      <w:rFonts w:hAnsi="宋体" w:hint="eastAsia"/>
                      <w:szCs w:val="21"/>
                    </w:rPr>
                  </w:pPr>
                </w:p>
              </w:tc>
            </w:tr>
          </w:tbl>
          <w:p/>
        </w:tc>
      </w:tr>
    </w:tbl>
    <w:p>
      <w:pPr>
        <w:sectPr>
          <w:headerReference w:type="default" r:id="rId25"/>
          <w:footerReference w:type="even" r:id="rId26"/>
          <w:footerReference w:type="default" r:id="rId27"/>
          <w:type w:val="nextPage"/>
          <w:pgSz w:w="11906" w:h="16838"/>
          <w:pgMar w:top="1440" w:right="1469" w:bottom="1440" w:left="1797" w:header="851" w:footer="992" w:gutter="0"/>
          <w:pgNumType w:start="8"/>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41"/>
          <w:jc w:val="center"/>
        </w:trPr>
        <w:tc>
          <w:tcPr>
            <w:tcW w:w="9639" w:type="dxa"/>
            <w:tcBorders>
              <w:top w:val="single" w:sz="4" w:space="0" w:color="auto"/>
              <w:left w:val="single" w:sz="4" w:space="0" w:color="auto"/>
              <w:bottom w:val="single" w:sz="4" w:space="0" w:color="auto"/>
              <w:right w:val="single" w:sz="4" w:space="0" w:color="auto"/>
            </w:tcBorders>
          </w:tcPr>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06"/>
              <w:gridCol w:w="799"/>
              <w:gridCol w:w="1320"/>
              <w:gridCol w:w="1439"/>
              <w:gridCol w:w="2557"/>
              <w:gridCol w:w="2835"/>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359" w:type="dxa"/>
                  <w:vMerge w:val="restart"/>
                  <w:vAlign w:val="center"/>
                </w:tcPr>
                <w:p>
                  <w:pPr>
                    <w:jc w:val="center"/>
                    <w:rPr>
                      <w:rFonts w:hAnsi="宋体"/>
                      <w:szCs w:val="21"/>
                    </w:rPr>
                  </w:pPr>
                </w:p>
              </w:tc>
              <w:tc>
                <w:tcPr>
                  <w:tcW w:w="709" w:type="dxa"/>
                  <w:vAlign w:val="center"/>
                </w:tcPr>
                <w:p>
                  <w:pPr>
                    <w:jc w:val="center"/>
                    <w:rPr>
                      <w:rFonts w:hAnsi="宋体"/>
                      <w:szCs w:val="21"/>
                    </w:rPr>
                  </w:pPr>
                  <w:r>
                    <w:rPr>
                      <w:rFonts w:hAnsi="宋体"/>
                      <w:szCs w:val="21"/>
                    </w:rPr>
                    <w:t>噪声</w:t>
                  </w:r>
                </w:p>
              </w:tc>
              <w:tc>
                <w:tcPr>
                  <w:tcW w:w="1171" w:type="dxa"/>
                  <w:vAlign w:val="center"/>
                </w:tcPr>
                <w:p>
                  <w:pPr>
                    <w:jc w:val="center"/>
                    <w:rPr>
                      <w:rFonts w:hAnsi="宋体"/>
                      <w:szCs w:val="21"/>
                    </w:rPr>
                  </w:pPr>
                  <w:r>
                    <w:rPr>
                      <w:rFonts w:hAnsi="宋体" w:hint="eastAsia"/>
                      <w:szCs w:val="21"/>
                    </w:rPr>
                    <w:t>生产设备</w:t>
                  </w:r>
                </w:p>
              </w:tc>
              <w:tc>
                <w:tcPr>
                  <w:tcW w:w="1276" w:type="dxa"/>
                  <w:vAlign w:val="center"/>
                </w:tcPr>
                <w:p>
                  <w:pPr>
                    <w:jc w:val="center"/>
                    <w:rPr>
                      <w:rFonts w:hAnsi="宋体"/>
                      <w:szCs w:val="21"/>
                    </w:rPr>
                  </w:pPr>
                  <w:r>
                    <w:rPr>
                      <w:rFonts w:hAnsi="宋体"/>
                      <w:szCs w:val="21"/>
                    </w:rPr>
                    <w:t>机械噪声</w:t>
                  </w:r>
                </w:p>
              </w:tc>
              <w:tc>
                <w:tcPr>
                  <w:tcW w:w="2268" w:type="dxa"/>
                  <w:vAlign w:val="center"/>
                </w:tcPr>
                <w:p>
                  <w:pPr>
                    <w:jc w:val="center"/>
                    <w:rPr>
                      <w:rFonts w:hAnsi="宋体" w:hint="eastAsia"/>
                      <w:szCs w:val="21"/>
                    </w:rPr>
                  </w:pPr>
                  <w:r>
                    <w:rPr>
                      <w:rFonts w:hAnsi="宋体" w:hint="eastAsia"/>
                      <w:szCs w:val="21"/>
                    </w:rPr>
                    <w:t>厂界昼间＜65dB（A）</w:t>
                  </w:r>
                </w:p>
                <w:p>
                  <w:pPr>
                    <w:jc w:val="center"/>
                    <w:rPr>
                      <w:rFonts w:hAnsi="宋体"/>
                      <w:szCs w:val="21"/>
                    </w:rPr>
                  </w:pPr>
                  <w:r>
                    <w:rPr>
                      <w:rFonts w:hAnsi="宋体" w:hint="eastAsia"/>
                      <w:szCs w:val="21"/>
                    </w:rPr>
                    <w:t>厂界夜间＜55 dB（A）</w:t>
                  </w:r>
                </w:p>
              </w:tc>
              <w:tc>
                <w:tcPr>
                  <w:tcW w:w="2514" w:type="dxa"/>
                  <w:vAlign w:val="center"/>
                </w:tcPr>
                <w:p>
                  <w:pPr>
                    <w:jc w:val="center"/>
                    <w:rPr>
                      <w:rFonts w:hAnsi="宋体"/>
                      <w:szCs w:val="21"/>
                    </w:rPr>
                  </w:pPr>
                  <w:r>
                    <w:rPr>
                      <w:rFonts w:hAnsi="宋体" w:hint="eastAsia"/>
                      <w:szCs w:val="21"/>
                    </w:rPr>
                    <w:t>《工业企业厂界环境噪声排放标准》(GB12348-2008)3类标准要求</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restart"/>
                  <w:vAlign w:val="center"/>
                </w:tcPr>
                <w:p>
                  <w:pPr>
                    <w:jc w:val="center"/>
                    <w:rPr>
                      <w:rFonts w:hAnsi="宋体"/>
                      <w:szCs w:val="21"/>
                    </w:rPr>
                  </w:pPr>
                  <w:r>
                    <w:rPr>
                      <w:rFonts w:hAnsi="宋体"/>
                      <w:szCs w:val="21"/>
                    </w:rPr>
                    <w:t>固体废物</w:t>
                  </w:r>
                </w:p>
              </w:tc>
              <w:tc>
                <w:tcPr>
                  <w:tcW w:w="1171" w:type="dxa"/>
                  <w:vAlign w:val="center"/>
                </w:tcPr>
                <w:p>
                  <w:pPr>
                    <w:jc w:val="center"/>
                    <w:rPr>
                      <w:rFonts w:hAnsi="宋体"/>
                      <w:szCs w:val="21"/>
                    </w:rPr>
                  </w:pPr>
                  <w:r>
                    <w:rPr>
                      <w:rFonts w:hAnsi="宋体"/>
                      <w:szCs w:val="21"/>
                    </w:rPr>
                    <w:t>工作人员</w:t>
                  </w:r>
                </w:p>
              </w:tc>
              <w:tc>
                <w:tcPr>
                  <w:tcW w:w="1276" w:type="dxa"/>
                  <w:vAlign w:val="center"/>
                </w:tcPr>
                <w:p>
                  <w:pPr>
                    <w:jc w:val="center"/>
                    <w:rPr>
                      <w:rFonts w:hAnsi="宋体"/>
                      <w:szCs w:val="21"/>
                    </w:rPr>
                  </w:pPr>
                  <w:r>
                    <w:rPr>
                      <w:rFonts w:hAnsi="宋体"/>
                      <w:szCs w:val="21"/>
                    </w:rPr>
                    <w:t>生活垃圾</w:t>
                  </w:r>
                </w:p>
              </w:tc>
              <w:tc>
                <w:tcPr>
                  <w:tcW w:w="2268" w:type="dxa"/>
                  <w:vAlign w:val="center"/>
                </w:tcPr>
                <w:p>
                  <w:pPr>
                    <w:snapToGrid w:val="0"/>
                    <w:spacing w:line="240" w:lineRule="atLeast"/>
                    <w:jc w:val="center"/>
                    <w:rPr>
                      <w:rFonts w:hint="eastAsia"/>
                      <w:szCs w:val="21"/>
                    </w:rPr>
                  </w:pPr>
                  <w:r>
                    <w:rPr>
                      <w:rFonts w:hint="eastAsia"/>
                      <w:szCs w:val="21"/>
                    </w:rPr>
                    <w:t>297t/a，集中收集，交由环卫部门处理</w:t>
                  </w:r>
                </w:p>
              </w:tc>
              <w:tc>
                <w:tcPr>
                  <w:tcW w:w="2514" w:type="dxa"/>
                  <w:vMerge w:val="restart"/>
                  <w:vAlign w:val="center"/>
                </w:tcPr>
                <w:p>
                  <w:pPr>
                    <w:jc w:val="center"/>
                    <w:rPr>
                      <w:rFonts w:hAnsi="宋体"/>
                      <w:szCs w:val="21"/>
                    </w:rPr>
                  </w:pPr>
                  <w:r>
                    <w:rPr>
                      <w:rFonts w:hAnsi="宋体"/>
                      <w:szCs w:val="21"/>
                    </w:rPr>
                    <w:t>合理处置</w:t>
                  </w: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Align w:val="center"/>
                </w:tcPr>
                <w:p>
                  <w:pPr>
                    <w:jc w:val="center"/>
                    <w:rPr>
                      <w:rFonts w:hAnsi="宋体" w:hint="eastAsia"/>
                      <w:szCs w:val="21"/>
                    </w:rPr>
                  </w:pPr>
                  <w:r>
                    <w:rPr>
                      <w:rFonts w:hAnsi="宋体" w:hint="eastAsia"/>
                      <w:szCs w:val="21"/>
                    </w:rPr>
                    <w:t>生产过程</w:t>
                  </w:r>
                </w:p>
              </w:tc>
              <w:tc>
                <w:tcPr>
                  <w:tcW w:w="1276" w:type="dxa"/>
                  <w:vAlign w:val="center"/>
                </w:tcPr>
                <w:p>
                  <w:pPr>
                    <w:jc w:val="center"/>
                    <w:rPr>
                      <w:rFonts w:hAnsi="宋体" w:hint="eastAsia"/>
                      <w:szCs w:val="21"/>
                    </w:rPr>
                  </w:pPr>
                  <w:r>
                    <w:rPr>
                      <w:rFonts w:hAnsi="宋体" w:hint="eastAsia"/>
                      <w:szCs w:val="21"/>
                    </w:rPr>
                    <w:t>废包装材料</w:t>
                  </w:r>
                </w:p>
              </w:tc>
              <w:tc>
                <w:tcPr>
                  <w:tcW w:w="2268" w:type="dxa"/>
                  <w:vAlign w:val="center"/>
                </w:tcPr>
                <w:p>
                  <w:pPr>
                    <w:snapToGrid w:val="0"/>
                    <w:spacing w:line="240" w:lineRule="atLeast"/>
                    <w:jc w:val="center"/>
                    <w:rPr>
                      <w:rFonts w:hint="eastAsia"/>
                      <w:szCs w:val="21"/>
                    </w:rPr>
                  </w:pPr>
                  <w:r>
                    <w:rPr>
                      <w:rFonts w:hint="eastAsia"/>
                      <w:szCs w:val="21"/>
                    </w:rPr>
                    <w:t>1.2t/a，集中收集外售</w:t>
                  </w:r>
                </w:p>
              </w:tc>
              <w:tc>
                <w:tcPr>
                  <w:tcW w:w="2514" w:type="dxa"/>
                  <w:vMerge/>
                  <w:vAlign w:val="center"/>
                </w:tcPr>
                <w:p>
                  <w:pPr>
                    <w:jc w:val="center"/>
                    <w:rPr>
                      <w:rFonts w:hAnsi="宋体" w:hint="eastAsia"/>
                      <w:szCs w:val="21"/>
                    </w:rPr>
                  </w:pPr>
                </w:p>
              </w:tc>
            </w:tr>
            <w:tr>
              <w:tblPrEx>
                <w:tblW w:w="9356" w:type="dxa"/>
                <w:jc w:val="center"/>
                <w:tblInd w:w="113" w:type="dxa"/>
                <w:tblLayout w:type="fixed"/>
                <w:tblCellMar>
                  <w:top w:w="0" w:type="dxa"/>
                  <w:left w:w="108" w:type="dxa"/>
                  <w:bottom w:w="0" w:type="dxa"/>
                  <w:right w:w="108" w:type="dxa"/>
                </w:tblCellMar>
                <w:tblLook w:val="0000"/>
              </w:tblPrEx>
              <w:trPr>
                <w:cantSplit/>
                <w:jc w:val="center"/>
              </w:trPr>
              <w:tc>
                <w:tcPr>
                  <w:tcW w:w="359" w:type="dxa"/>
                  <w:vMerge/>
                  <w:vAlign w:val="center"/>
                </w:tcPr>
                <w:p>
                  <w:pPr>
                    <w:jc w:val="center"/>
                    <w:rPr>
                      <w:rFonts w:hAnsi="宋体"/>
                      <w:szCs w:val="21"/>
                    </w:rPr>
                  </w:pPr>
                </w:p>
              </w:tc>
              <w:tc>
                <w:tcPr>
                  <w:tcW w:w="709" w:type="dxa"/>
                  <w:vMerge/>
                  <w:vAlign w:val="center"/>
                </w:tcPr>
                <w:p>
                  <w:pPr>
                    <w:jc w:val="center"/>
                    <w:rPr>
                      <w:rFonts w:hAnsi="宋体"/>
                      <w:szCs w:val="21"/>
                    </w:rPr>
                  </w:pPr>
                </w:p>
              </w:tc>
              <w:tc>
                <w:tcPr>
                  <w:tcW w:w="1171" w:type="dxa"/>
                  <w:vAlign w:val="center"/>
                </w:tcPr>
                <w:p>
                  <w:pPr>
                    <w:jc w:val="center"/>
                    <w:rPr>
                      <w:rFonts w:hAnsi="宋体" w:hint="eastAsia"/>
                      <w:szCs w:val="21"/>
                    </w:rPr>
                  </w:pPr>
                  <w:r>
                    <w:rPr>
                      <w:rFonts w:hAnsi="宋体" w:hint="eastAsia"/>
                      <w:szCs w:val="21"/>
                    </w:rPr>
                    <w:t>焊接工序</w:t>
                  </w:r>
                </w:p>
              </w:tc>
              <w:tc>
                <w:tcPr>
                  <w:tcW w:w="1276" w:type="dxa"/>
                  <w:vAlign w:val="center"/>
                </w:tcPr>
                <w:p>
                  <w:pPr>
                    <w:jc w:val="center"/>
                    <w:rPr>
                      <w:rFonts w:hAnsi="宋体" w:hint="eastAsia"/>
                      <w:szCs w:val="21"/>
                    </w:rPr>
                  </w:pPr>
                  <w:r>
                    <w:rPr>
                      <w:rFonts w:hAnsi="宋体" w:hint="eastAsia"/>
                      <w:szCs w:val="21"/>
                    </w:rPr>
                    <w:t>焊渣</w:t>
                  </w:r>
                </w:p>
              </w:tc>
              <w:tc>
                <w:tcPr>
                  <w:tcW w:w="2268" w:type="dxa"/>
                  <w:vAlign w:val="center"/>
                </w:tcPr>
                <w:p>
                  <w:pPr>
                    <w:snapToGrid w:val="0"/>
                    <w:spacing w:line="240" w:lineRule="atLeast"/>
                    <w:jc w:val="center"/>
                    <w:rPr>
                      <w:rFonts w:hint="eastAsia"/>
                      <w:szCs w:val="21"/>
                    </w:rPr>
                  </w:pPr>
                  <w:r>
                    <w:rPr>
                      <w:rFonts w:hint="eastAsia"/>
                      <w:szCs w:val="21"/>
                    </w:rPr>
                    <w:t>6kg/a，集中收集，交由环卫部门填埋处理</w:t>
                  </w:r>
                </w:p>
              </w:tc>
              <w:tc>
                <w:tcPr>
                  <w:tcW w:w="2514" w:type="dxa"/>
                  <w:vMerge/>
                  <w:vAlign w:val="center"/>
                </w:tcPr>
                <w:p>
                  <w:pPr>
                    <w:jc w:val="center"/>
                    <w:rPr>
                      <w:rFonts w:hAnsi="宋体" w:hint="eastAsia"/>
                      <w:szCs w:val="21"/>
                    </w:rPr>
                  </w:pPr>
                </w:p>
              </w:tc>
            </w:tr>
          </w:tbl>
          <w:p>
            <w:pPr>
              <w:tabs>
                <w:tab w:val="left" w:pos="3195"/>
              </w:tabs>
              <w:snapToGrid w:val="0"/>
              <w:spacing w:line="360" w:lineRule="auto"/>
              <w:ind w:firstLine="480" w:firstLineChars="200"/>
              <w:rPr>
                <w:rFonts w:hint="eastAsia"/>
                <w:sz w:val="24"/>
              </w:rPr>
            </w:pPr>
            <w:r>
              <w:rPr>
                <w:rFonts w:hint="eastAsia"/>
                <w:sz w:val="24"/>
              </w:rPr>
              <w:t>原有项目的废水、废气、固体废物、噪声经过相应的措施处理后均能够满足相应的标准，故不会对周围的环境产生重大影响。</w:t>
            </w: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rFonts w:hint="eastAsia"/>
                <w:sz w:val="24"/>
              </w:rPr>
            </w:pPr>
          </w:p>
          <w:p>
            <w:pPr>
              <w:tabs>
                <w:tab w:val="left" w:pos="3195"/>
              </w:tabs>
              <w:snapToGrid w:val="0"/>
              <w:spacing w:line="360" w:lineRule="auto"/>
              <w:ind w:firstLine="480" w:firstLineChars="200"/>
              <w:rPr>
                <w:sz w:val="24"/>
              </w:rPr>
            </w:pPr>
          </w:p>
        </w:tc>
      </w:tr>
    </w:tbl>
    <w:p>
      <w:pPr>
        <w:pStyle w:val="Title"/>
        <w:snapToGrid w:val="0"/>
        <w:spacing w:before="0" w:after="0"/>
        <w:rPr>
          <w:rFonts w:ascii="Times New Roman" w:hAnsi="Times New Roman"/>
        </w:rPr>
        <w:sectPr>
          <w:headerReference w:type="default" r:id="rId28"/>
          <w:footerReference w:type="even" r:id="rId29"/>
          <w:footerReference w:type="default" r:id="rId30"/>
          <w:type w:val="nextPage"/>
          <w:pgSz w:w="11906" w:h="16838"/>
          <w:pgMar w:top="1440" w:right="1469" w:bottom="1440" w:left="1797" w:header="851" w:footer="992" w:gutter="0"/>
          <w:pgNumType w:start="9"/>
          <w:cols w:space="708"/>
          <w:titlePg w:val="0"/>
          <w:docGrid w:type="lines" w:linePitch="312"/>
        </w:sectPr>
      </w:pPr>
    </w:p>
    <w:p>
      <w:pPr>
        <w:pStyle w:val="Title"/>
        <w:snapToGrid w:val="0"/>
        <w:spacing w:before="0" w:after="0"/>
        <w:ind w:left="-420" w:leftChars="-200"/>
        <w:rPr>
          <w:rFonts w:ascii="Times New Roman" w:hAnsi="Times New Roman"/>
        </w:rPr>
      </w:pPr>
      <w:r>
        <w:rPr>
          <w:rFonts w:ascii="Times New Roman" w:hAnsi="Times New Roman"/>
        </w:rPr>
        <w:t>二</w:t>
      </w:r>
      <w:r>
        <w:rPr>
          <w:rFonts w:ascii="Times New Roman" w:hAnsi="Times New Roman" w:hint="eastAsia"/>
          <w:lang w:eastAsia="zh-CN"/>
        </w:rPr>
        <w:t>、</w:t>
      </w:r>
      <w:r>
        <w:rPr>
          <w:rFonts w:ascii="Times New Roman" w:hAnsi="Times New Roman"/>
        </w:rPr>
        <w:t>建设项目所在地自然环境环境情况</w:t>
      </w:r>
    </w:p>
    <w:tbl>
      <w:tblPr>
        <w:tblStyle w:val="TableNormal"/>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568" w:type="dxa"/>
          </w:tcPr>
          <w:p>
            <w:pPr>
              <w:snapToGrid w:val="0"/>
              <w:spacing w:line="360" w:lineRule="auto"/>
              <w:rPr>
                <w:sz w:val="30"/>
                <w:szCs w:val="30"/>
              </w:rPr>
            </w:pPr>
            <w:r>
              <w:rPr>
                <w:b/>
                <w:sz w:val="30"/>
                <w:szCs w:val="30"/>
              </w:rPr>
              <w:t>自然环境情况（地形、地貌、地质、气候、气象、水文等）：</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1、地理位置</w:t>
            </w:r>
          </w:p>
          <w:p>
            <w:pPr>
              <w:snapToGrid w:val="0"/>
              <w:spacing w:line="360" w:lineRule="auto"/>
              <w:ind w:firstLine="480" w:firstLineChars="200"/>
              <w:rPr>
                <w:bCs/>
                <w:sz w:val="24"/>
              </w:rPr>
            </w:pPr>
            <w:r>
              <w:rPr>
                <w:bCs/>
                <w:sz w:val="24"/>
              </w:rPr>
              <w:t>南昌地处江西省中偏北部，长江中下游，赣江、赣江南支下游，鄱阳湖西南岸，位于东经115°27′至116°35′、北纬28°09′至29°11′之间，东部与上饶市毗邻，南和抚州市相连，西同宜春市交界，北与九江市接壤。</w:t>
            </w:r>
          </w:p>
          <w:p>
            <w:pPr>
              <w:snapToGrid w:val="0"/>
              <w:spacing w:line="360" w:lineRule="auto"/>
              <w:ind w:firstLine="480" w:firstLineChars="200"/>
              <w:rPr>
                <w:bCs/>
                <w:sz w:val="24"/>
              </w:rPr>
            </w:pPr>
            <w:r>
              <w:rPr>
                <w:bCs/>
                <w:sz w:val="24"/>
              </w:rPr>
              <w:t>本项目位于南昌高新区</w:t>
            </w:r>
            <w:r>
              <w:rPr>
                <w:rFonts w:hint="eastAsia"/>
                <w:bCs/>
                <w:sz w:val="24"/>
              </w:rPr>
              <w:t>，</w:t>
            </w:r>
            <w:r>
              <w:rPr>
                <w:bCs/>
                <w:sz w:val="24"/>
              </w:rPr>
              <w:t>南昌高新区位于江西省中部偏北，赣江下游，青山湖畔。地处东径115°49′00″~116°03′48″，北纬28°47′41″。距南昌市中心仅5公里，距火车站5公里，距长途汽车站7公里，距赣江水运港口10公里，距高速公路口7公里，距昌北国际机场25公里。</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2、地形、地貌</w:t>
            </w:r>
          </w:p>
          <w:p>
            <w:pPr>
              <w:snapToGrid w:val="0"/>
              <w:spacing w:line="360" w:lineRule="auto"/>
              <w:ind w:firstLine="480" w:firstLineChars="200"/>
              <w:rPr>
                <w:bCs/>
                <w:sz w:val="24"/>
              </w:rPr>
            </w:pPr>
            <w:r>
              <w:rPr>
                <w:bCs/>
                <w:sz w:val="24"/>
              </w:rPr>
              <w:t>南昌市全境以平原为主，东南平坦、西北丘陵起伏，南北长约112.1km、东西宽约107.6km，总面积7402.36km2。其中：平原占35.8%；水域占29.8%；岗地低丘占34.1%。昌南、昌北的地势依赣江流向，昌南西南高、东北低，以平原为主；昌北西北高、东南低，并以丘岗为主。全市平均海拔25m；城区地势偏低洼，平均海拔22m；西部是西山山脉，最高点梅岭主峰洗药坞，海拔841.4m。</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3、地质、地层</w:t>
            </w:r>
          </w:p>
          <w:p>
            <w:pPr>
              <w:snapToGrid w:val="0"/>
              <w:spacing w:line="360" w:lineRule="auto"/>
              <w:ind w:firstLine="480" w:firstLineChars="200"/>
              <w:rPr>
                <w:bCs/>
                <w:sz w:val="24"/>
              </w:rPr>
            </w:pPr>
            <w:r>
              <w:rPr>
                <w:bCs/>
                <w:sz w:val="24"/>
              </w:rPr>
              <w:t>南昌市处于九岭隆起的过渡地带，宜春—乐平大断裂的北缘，大部分处在东起进贤西至新建的湖泊沉降区内，呈北东东向块状沉陷。境内第四系地层分布最广，岩性以洪积红土砾石层及粗砂砥石层为主，多分布在赣、抚、锦河两侧和滨湖地带。城区第四纪发育，下伏基岩为第三纪红岩系（R）。第四系岩性变化复杂，总的规律是颗粒分布上粗下细，分属于粘性土和砂性土两大类。下中更新统的含水层是主要含水层，其间有弱透水粘性土与上属滞水层相隔离。</w:t>
            </w:r>
          </w:p>
          <w:p>
            <w:pPr>
              <w:snapToGrid w:val="0"/>
              <w:spacing w:line="360" w:lineRule="auto"/>
              <w:ind w:firstLine="480" w:firstLineChars="200"/>
              <w:rPr>
                <w:bCs/>
                <w:sz w:val="24"/>
              </w:rPr>
            </w:pPr>
            <w:r>
              <w:rPr>
                <w:bCs/>
                <w:sz w:val="24"/>
              </w:rPr>
              <w:t>本项目工程场地地处赣抚冲击平原，地质情况较好，地形相对平坦，地层结构有素填土、第四中更新统冲洪积层、下伏变质岩层，地质土层自上而下分布为：素填土、淤泥、耕植土、粉质粘土、中砂、粗砂、沙砾层、强风化泥质粉砂岩层。</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4、地震烈度区划</w:t>
            </w:r>
          </w:p>
          <w:p>
            <w:pPr>
              <w:snapToGrid w:val="0"/>
              <w:spacing w:after="0" w:line="360" w:lineRule="auto"/>
              <w:ind w:firstLine="480" w:firstLineChars="200"/>
              <w:rPr>
                <w:b/>
                <w:sz w:val="24"/>
              </w:rPr>
            </w:pPr>
          </w:p>
        </w:tc>
      </w:tr>
    </w:tbl>
    <w:p>
      <w:pPr>
        <w:sectPr>
          <w:headerReference w:type="default" r:id="rId31"/>
          <w:footerReference w:type="even" r:id="rId32"/>
          <w:footerReference w:type="default" r:id="rId33"/>
          <w:pgSz w:w="11906" w:h="16838"/>
          <w:pgMar w:top="1440" w:right="1469" w:bottom="1440" w:left="1797" w:header="851" w:footer="992" w:gutter="0"/>
          <w:pgNumType w:start="10"/>
          <w:cols w:space="708"/>
          <w:docGrid w:type="lines" w:linePitch="312"/>
        </w:sectPr>
      </w:pPr>
    </w:p>
    <w:tbl>
      <w:tblPr>
        <w:tblStyle w:val="TableNormal"/>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568" w:type="dxa"/>
          </w:tcPr>
          <w:p>
            <w:pPr>
              <w:snapToGrid w:val="0"/>
              <w:spacing w:before="0" w:line="360" w:lineRule="auto"/>
              <w:ind w:firstLine="480" w:firstLineChars="200"/>
              <w:rPr>
                <w:b/>
                <w:sz w:val="24"/>
              </w:rPr>
            </w:pPr>
            <w:r>
              <w:rPr>
                <w:bCs/>
                <w:sz w:val="24"/>
              </w:rPr>
              <w:t>按《中国地震参数区划图A1》和国标GB50011-2001，南昌地区抗震设防烈度为6度，设计基本地震加速度值为0.05g，设计特征周期为0.35s。根据《城市道路设计规范》（CJJ37-90），7度以下道路工程不设防。裂度小于5度。</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5、气象与气候</w:t>
            </w:r>
          </w:p>
          <w:p>
            <w:pPr>
              <w:adjustRightInd w:val="0"/>
              <w:snapToGrid w:val="0"/>
              <w:spacing w:line="360" w:lineRule="auto"/>
              <w:ind w:firstLine="480" w:firstLineChars="200"/>
              <w:rPr>
                <w:sz w:val="24"/>
              </w:rPr>
            </w:pPr>
            <w:r>
              <w:rPr>
                <w:sz w:val="24"/>
              </w:rPr>
              <w:t>项目所在区域属亚热带湿润气候，气候温暖，四季分明，温差较大，夏季酷热，冬季寒冷，多年平均日气18℃，最冷1月份平均气温5.1℃，最低气温-6.6℃，最热七月份平均气温29.6℃，最高气温39℃，多年平均相对湿度为73％。</w:t>
            </w:r>
          </w:p>
          <w:p>
            <w:pPr>
              <w:adjustRightInd w:val="0"/>
              <w:snapToGrid w:val="0"/>
              <w:spacing w:line="360" w:lineRule="auto"/>
              <w:ind w:firstLine="480" w:firstLineChars="200"/>
              <w:rPr>
                <w:sz w:val="24"/>
              </w:rPr>
            </w:pPr>
            <w:r>
              <w:rPr>
                <w:sz w:val="24"/>
              </w:rPr>
              <w:t>南昌市雨量充沛，多年平均降雨量为1866.6mm，最大年降雨量2356mm，最小年降雨量1046.2mm，4～6月份为雨季，4～6月份降雨量占年降雨量的51.3％，枯水期为11月至次年1月，枯水期降雨量占年降雨量的9.6％，年最大日降雨量的多年平均值为106.5mm，年最大三日降雨量的多年平均值为165.3mm，最大日降雨量为208.9mm，最大三日降雨量为341.7mm，最大时降雨量为27.8mm。年平均降雨天数172天。</w:t>
            </w:r>
          </w:p>
          <w:p>
            <w:pPr>
              <w:adjustRightInd w:val="0"/>
              <w:snapToGrid w:val="0"/>
              <w:spacing w:line="360" w:lineRule="auto"/>
              <w:ind w:firstLine="480" w:firstLineChars="200"/>
              <w:rPr>
                <w:sz w:val="24"/>
              </w:rPr>
            </w:pPr>
            <w:r>
              <w:rPr>
                <w:sz w:val="24"/>
              </w:rPr>
              <w:t>南昌市多年平均年蒸发量为1227.4mm（E601），最大年蒸发量为1554mm，最小年蒸发量为1003.3mm，7～9月份蒸发量最大，占年值的42％，12月份至次年2月蒸发量最小，占年值的12.3％。</w:t>
            </w:r>
          </w:p>
          <w:p>
            <w:pPr>
              <w:adjustRightInd w:val="0"/>
              <w:snapToGrid w:val="0"/>
              <w:spacing w:line="360" w:lineRule="auto"/>
              <w:ind w:firstLine="480" w:firstLineChars="200"/>
              <w:rPr>
                <w:sz w:val="24"/>
              </w:rPr>
            </w:pPr>
            <w:r>
              <w:rPr>
                <w:sz w:val="24"/>
              </w:rPr>
              <w:t>南昌市年平均无霜期273天，平均年降雪日5天，平均结冰日21天。常年主导风向是北风和北东风，多发生于冬季，平均风速1.94m/s。</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6、水文水系</w:t>
            </w:r>
          </w:p>
          <w:p>
            <w:pPr>
              <w:snapToGrid w:val="0"/>
              <w:spacing w:line="360" w:lineRule="auto"/>
              <w:ind w:firstLine="480" w:firstLineChars="200"/>
              <w:rPr>
                <w:sz w:val="24"/>
              </w:rPr>
            </w:pPr>
            <w:r>
              <w:rPr>
                <w:sz w:val="24"/>
              </w:rPr>
              <w:t>南昌市水资源丰富，流经南昌市的主要河流有赣江、抚河、锦江和潦河。</w:t>
            </w:r>
            <w:r>
              <w:rPr>
                <w:bCs/>
                <w:sz w:val="24"/>
              </w:rPr>
              <w:t>赣江是江西省内第一大河流，是由贡江和章江在赣州市城北汇合而成。赣江由南向北纵穿全境，流经赣州、万安、泰和、吉安、峡江、新干、樟树、丰城等十个县市到达南昌市，干流全长439km。赣江在八一桥以下进入尾闾地区，河道先被裘家洲、扬子洲分成东西两河。东河在蛟溪又分成南支和中支两叉。南支绕过南昌市区向东北流经45km入鄱阳湖。中支流经30km在朱港入鄱阳湖。在芦洲头分为主支和北支两汊。北支经下堡闵家再分成官港河和沙叉河两汊，在朱港农场入鄱阳湖。主支流经樵舍、昌邑在吴城镇与修河汇合后出诸溪口入鄱阳湖，是通长江的主航道。赣江南昌河段，进入尾闾地区，上自丁家渡，下至赣江铁路桥，全长15km，河段外型顺直微弯，河槽宽窄相间。</w:t>
            </w:r>
          </w:p>
          <w:p>
            <w:pPr>
              <w:snapToGrid w:val="0"/>
              <w:spacing w:after="0" w:line="360" w:lineRule="auto"/>
              <w:ind w:firstLine="480" w:firstLineChars="200"/>
              <w:rPr>
                <w:bCs/>
                <w:sz w:val="24"/>
              </w:rPr>
            </w:pPr>
            <w:r>
              <w:rPr>
                <w:bCs/>
                <w:sz w:val="24"/>
              </w:rPr>
              <w:t>赣江流域面积广阔，水量丰沛。南昌市外洲站以上集面积80948km</w:t>
            </w:r>
            <w:r>
              <w:rPr>
                <w:bCs/>
                <w:sz w:val="24"/>
                <w:vertAlign w:val="superscript"/>
              </w:rPr>
              <w:t>2</w:t>
            </w:r>
            <w:r>
              <w:rPr>
                <w:bCs/>
                <w:sz w:val="24"/>
              </w:rPr>
              <w:t>，占江西省面积48.49%，约占鄱阳湖流域面积的一半，占长江流域面积4.48%。据外洲站1950年至1989年的四十年实测水文资料分析结果，年最大径流量1109亿m</w:t>
            </w:r>
            <w:r>
              <w:rPr>
                <w:bCs/>
                <w:sz w:val="24"/>
                <w:vertAlign w:val="superscript"/>
              </w:rPr>
              <w:t>3</w:t>
            </w:r>
            <w:r>
              <w:rPr>
                <w:bCs/>
                <w:sz w:val="24"/>
              </w:rPr>
              <w:t>(1973年)，年最小径流量236.7亿m</w:t>
            </w:r>
            <w:r>
              <w:rPr>
                <w:bCs/>
                <w:sz w:val="24"/>
                <w:vertAlign w:val="superscript"/>
              </w:rPr>
              <w:t>3</w:t>
            </w:r>
            <w:r>
              <w:rPr>
                <w:bCs/>
                <w:sz w:val="24"/>
              </w:rPr>
              <w:t>(1963年)，多年平均径流量666亿m</w:t>
            </w:r>
            <w:r>
              <w:rPr>
                <w:bCs/>
                <w:sz w:val="24"/>
                <w:vertAlign w:val="superscript"/>
              </w:rPr>
              <w:t>3</w:t>
            </w:r>
            <w:r>
              <w:rPr>
                <w:bCs/>
                <w:sz w:val="24"/>
              </w:rPr>
              <w:t>。赣江最大日均流量为20900m</w:t>
            </w:r>
            <w:r>
              <w:rPr>
                <w:bCs/>
                <w:sz w:val="24"/>
                <w:vertAlign w:val="superscript"/>
              </w:rPr>
              <w:t>3</w:t>
            </w:r>
          </w:p>
        </w:tc>
      </w:tr>
    </w:tbl>
    <w:p>
      <w:pPr>
        <w:sectPr>
          <w:headerReference w:type="default" r:id="rId34"/>
          <w:footerReference w:type="even" r:id="rId35"/>
          <w:footerReference w:type="default" r:id="rId36"/>
          <w:type w:val="nextPage"/>
          <w:pgSz w:w="11906" w:h="16838"/>
          <w:pgMar w:top="1440" w:right="1469" w:bottom="1440" w:left="1797" w:header="851" w:footer="992" w:gutter="0"/>
          <w:pgNumType w:start="11"/>
          <w:cols w:space="708"/>
          <w:titlePg w:val="0"/>
          <w:docGrid w:type="lines" w:linePitch="312"/>
        </w:sectPr>
      </w:pPr>
    </w:p>
    <w:tbl>
      <w:tblPr>
        <w:tblStyle w:val="TableNormal"/>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568" w:type="dxa"/>
          </w:tcPr>
          <w:p>
            <w:pPr>
              <w:snapToGrid w:val="0"/>
              <w:spacing w:before="0" w:line="360" w:lineRule="auto"/>
              <w:ind w:firstLine="480" w:firstLineChars="200"/>
              <w:rPr>
                <w:bCs/>
                <w:sz w:val="24"/>
              </w:rPr>
            </w:pPr>
            <w:r>
              <w:rPr>
                <w:bCs/>
                <w:sz w:val="24"/>
              </w:rPr>
              <w:t>/s(1962年6月20日)，最小日均流量172m</w:t>
            </w:r>
            <w:r>
              <w:rPr>
                <w:bCs/>
                <w:sz w:val="24"/>
                <w:vertAlign w:val="superscript"/>
              </w:rPr>
              <w:t>3</w:t>
            </w:r>
            <w:r>
              <w:rPr>
                <w:bCs/>
                <w:sz w:val="24"/>
              </w:rPr>
              <w:t>/s，(1963年11月30日)，40年平均流量为2110m</w:t>
            </w:r>
            <w:r>
              <w:rPr>
                <w:bCs/>
                <w:sz w:val="24"/>
                <w:vertAlign w:val="superscript"/>
              </w:rPr>
              <w:t>3</w:t>
            </w:r>
            <w:r>
              <w:rPr>
                <w:bCs/>
                <w:sz w:val="24"/>
              </w:rPr>
              <w:t>/s。</w:t>
            </w:r>
          </w:p>
          <w:p>
            <w:pPr>
              <w:snapToGrid w:val="0"/>
              <w:spacing w:line="360" w:lineRule="auto"/>
              <w:ind w:firstLine="480" w:firstLineChars="200"/>
              <w:rPr>
                <w:bCs/>
                <w:sz w:val="24"/>
              </w:rPr>
            </w:pPr>
            <w:r>
              <w:rPr>
                <w:bCs/>
                <w:sz w:val="24"/>
              </w:rPr>
              <w:t>本项目废水经</w:t>
            </w:r>
            <w:r>
              <w:rPr>
                <w:rFonts w:hint="eastAsia"/>
                <w:bCs/>
                <w:sz w:val="24"/>
              </w:rPr>
              <w:t>瑶湖</w:t>
            </w:r>
            <w:r>
              <w:rPr>
                <w:bCs/>
                <w:sz w:val="24"/>
              </w:rPr>
              <w:t>污水处理厂处理达标后排入赣江南支，根据统计资料，枯水期赣江南支平均流量196.69m</w:t>
            </w:r>
            <w:r>
              <w:rPr>
                <w:bCs/>
                <w:sz w:val="24"/>
                <w:vertAlign w:val="superscript"/>
              </w:rPr>
              <w:t>3</w:t>
            </w:r>
            <w:r>
              <w:rPr>
                <w:bCs/>
                <w:sz w:val="24"/>
              </w:rPr>
              <w:t>/s，平均流速为0.492m/s，平均河宽216m，平均水深为1.852m，赣江河床粗糙系数0.043。</w:t>
            </w:r>
          </w:p>
          <w:p>
            <w:pPr>
              <w:snapToGrid w:val="0"/>
              <w:spacing w:line="360" w:lineRule="auto"/>
              <w:ind w:firstLine="480" w:firstLineChars="200"/>
              <w:rPr>
                <w:bCs/>
                <w:sz w:val="24"/>
              </w:rPr>
            </w:pPr>
            <w:r>
              <w:rPr>
                <w:bCs/>
                <w:sz w:val="24"/>
              </w:rPr>
              <w:t>瑶湖位于本项目东南侧约</w:t>
            </w:r>
            <w:r>
              <w:rPr>
                <w:rFonts w:hint="eastAsia"/>
                <w:bCs/>
                <w:sz w:val="24"/>
              </w:rPr>
              <w:t>450</w:t>
            </w:r>
            <w:r>
              <w:rPr>
                <w:bCs/>
                <w:sz w:val="24"/>
              </w:rPr>
              <w:t>m，是赣抚尾闾平原区域现存的最大陆地湖泊，现有水面面积约为18km</w:t>
            </w:r>
            <w:r>
              <w:rPr>
                <w:bCs/>
                <w:sz w:val="24"/>
                <w:vertAlign w:val="superscript"/>
              </w:rPr>
              <w:t>2</w:t>
            </w:r>
            <w:r>
              <w:rPr>
                <w:bCs/>
                <w:sz w:val="24"/>
              </w:rPr>
              <w:t>，南北长约13km，东西宽约1.4km，湖底高程为12~13.2m。湖区最低蓄涝水位15m，常水位15.5m，最高蓄涝水位16m，历史最高水位17.25m。根据“南昌市人民政府办公厅关于印发瑶湖水生态综合治理实施方案的通知”，瑶湖规划水体功能为IV类水体，目前实际水体功能为劣V类。</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7、土壤、动植物资源</w:t>
            </w:r>
          </w:p>
          <w:p>
            <w:pPr>
              <w:snapToGrid w:val="0"/>
              <w:spacing w:line="360" w:lineRule="auto"/>
              <w:ind w:firstLine="480" w:firstLineChars="200"/>
              <w:rPr>
                <w:rFonts w:eastAsia="Times New Roman"/>
                <w:bCs/>
              </w:rPr>
            </w:pPr>
            <w:r>
              <w:rPr>
                <w:rFonts w:eastAsia="新宋体"/>
                <w:bCs/>
                <w:sz w:val="24"/>
              </w:rPr>
              <w:t>项目区域土壤成土母质主要为第四纪红粘土</w:t>
            </w:r>
            <w:r>
              <w:rPr>
                <w:rFonts w:eastAsia="MS Gothic"/>
                <w:bCs/>
                <w:sz w:val="24"/>
              </w:rPr>
              <w:t>，</w:t>
            </w:r>
            <w:r>
              <w:rPr>
                <w:rFonts w:eastAsia="新宋体"/>
                <w:bCs/>
                <w:sz w:val="24"/>
              </w:rPr>
              <w:t>土壤类型以红壤、水稻土为主。发育于第四纪红色粘土的红壤</w:t>
            </w:r>
            <w:r>
              <w:rPr>
                <w:rFonts w:eastAsia="MS Gothic"/>
                <w:bCs/>
                <w:sz w:val="24"/>
              </w:rPr>
              <w:t>，</w:t>
            </w:r>
            <w:r>
              <w:rPr>
                <w:rFonts w:eastAsia="新宋体"/>
                <w:bCs/>
                <w:sz w:val="24"/>
              </w:rPr>
              <w:t>广泛分布于低丘岗地</w:t>
            </w:r>
            <w:r>
              <w:rPr>
                <w:rFonts w:eastAsia="MS Gothic"/>
                <w:bCs/>
                <w:sz w:val="24"/>
              </w:rPr>
              <w:t>，</w:t>
            </w:r>
            <w:r>
              <w:rPr>
                <w:rFonts w:eastAsia="新宋体"/>
                <w:bCs/>
                <w:sz w:val="24"/>
              </w:rPr>
              <w:t>集中连片</w:t>
            </w:r>
            <w:r>
              <w:rPr>
                <w:rFonts w:eastAsia="MS Gothic"/>
                <w:bCs/>
                <w:sz w:val="24"/>
              </w:rPr>
              <w:t>，</w:t>
            </w:r>
            <w:r>
              <w:rPr>
                <w:rFonts w:eastAsia="新宋体"/>
                <w:bCs/>
                <w:sz w:val="24"/>
              </w:rPr>
              <w:t>土层深厚、土质粘重</w:t>
            </w:r>
            <w:r>
              <w:rPr>
                <w:rFonts w:eastAsia="MS Gothic"/>
                <w:bCs/>
                <w:sz w:val="24"/>
              </w:rPr>
              <w:t>，</w:t>
            </w:r>
            <w:r>
              <w:rPr>
                <w:rFonts w:eastAsia="新宋体"/>
                <w:bCs/>
                <w:sz w:val="24"/>
              </w:rPr>
              <w:t>透水、通气性差</w:t>
            </w:r>
            <w:r>
              <w:rPr>
                <w:rFonts w:eastAsia="MS Gothic"/>
                <w:bCs/>
                <w:sz w:val="24"/>
              </w:rPr>
              <w:t>，</w:t>
            </w:r>
            <w:r>
              <w:rPr>
                <w:rFonts w:eastAsia="新宋体"/>
                <w:bCs/>
                <w:sz w:val="24"/>
              </w:rPr>
              <w:t>养分含量低。水稻土由土壤水耕熟化而成</w:t>
            </w:r>
            <w:r>
              <w:rPr>
                <w:rFonts w:eastAsia="MS Gothic"/>
                <w:bCs/>
                <w:sz w:val="24"/>
              </w:rPr>
              <w:t>，</w:t>
            </w:r>
            <w:r>
              <w:rPr>
                <w:rFonts w:eastAsia="新宋体"/>
                <w:bCs/>
                <w:sz w:val="24"/>
              </w:rPr>
              <w:t>分布于丘陵谷地及河湖平原阶地。天然原生植被早已不复存在</w:t>
            </w:r>
            <w:r>
              <w:rPr>
                <w:rFonts w:eastAsia="MS Gothic"/>
                <w:bCs/>
                <w:sz w:val="24"/>
              </w:rPr>
              <w:t>，</w:t>
            </w:r>
            <w:r>
              <w:rPr>
                <w:rFonts w:eastAsia="新宋体"/>
                <w:bCs/>
                <w:sz w:val="24"/>
              </w:rPr>
              <w:t>现有天然林木基本上是次生林。</w:t>
            </w:r>
          </w:p>
          <w:p>
            <w:pPr>
              <w:pStyle w:val="Heading2"/>
              <w:snapToGrid w:val="0"/>
              <w:spacing w:before="0" w:after="0" w:line="360" w:lineRule="auto"/>
              <w:ind w:left="210" w:right="210" w:firstLine="240" w:firstLineChars="100"/>
              <w:rPr>
                <w:rFonts w:ascii="Times New Roman" w:hAnsi="Times New Roman"/>
                <w:lang w:val="en-US" w:eastAsia="zh-CN"/>
              </w:rPr>
            </w:pPr>
            <w:r>
              <w:rPr>
                <w:rFonts w:ascii="Times New Roman" w:hAnsi="Times New Roman"/>
                <w:lang w:val="en-US" w:eastAsia="zh-CN"/>
              </w:rPr>
              <w:t>8、矿产资源</w:t>
            </w:r>
          </w:p>
          <w:p>
            <w:pPr>
              <w:snapToGrid w:val="0"/>
              <w:spacing w:line="360" w:lineRule="auto"/>
              <w:ind w:firstLine="480"/>
              <w:rPr>
                <w:rFonts w:eastAsia="新宋体" w:hint="eastAsia"/>
                <w:bCs/>
                <w:sz w:val="24"/>
              </w:rPr>
            </w:pPr>
            <w:r>
              <w:rPr>
                <w:rFonts w:eastAsia="新宋体"/>
                <w:bCs/>
                <w:sz w:val="24"/>
              </w:rPr>
              <w:t>项目区域矿产资源情况比较简单</w:t>
            </w:r>
            <w:r>
              <w:rPr>
                <w:rFonts w:eastAsia="MS Gothic"/>
                <w:bCs/>
                <w:sz w:val="24"/>
              </w:rPr>
              <w:t>，</w:t>
            </w:r>
            <w:r>
              <w:rPr>
                <w:rFonts w:eastAsia="新宋体"/>
                <w:bCs/>
                <w:sz w:val="24"/>
              </w:rPr>
              <w:t>以非金属建材矿为主，兼有燃料、矿泉水等各类矿产28种，其中有工业开采价值的8处，已发现矿点、矿化点100处，尤以建筑用砂、砖瓦粘土、饰面石材、石灰石和矿泉水等具有较好的开发前景。河沙、卵石主要分布在赣江河道、赣江南支河床</w:t>
            </w:r>
            <w:r>
              <w:rPr>
                <w:rFonts w:eastAsia="MS Gothic"/>
                <w:bCs/>
                <w:sz w:val="24"/>
              </w:rPr>
              <w:t>，</w:t>
            </w:r>
            <w:r>
              <w:rPr>
                <w:rFonts w:eastAsia="新宋体"/>
                <w:bCs/>
                <w:sz w:val="24"/>
              </w:rPr>
              <w:t>储量在</w:t>
            </w:r>
            <w:r>
              <w:rPr>
                <w:rFonts w:eastAsia="Times New Roman"/>
                <w:bCs/>
                <w:sz w:val="24"/>
              </w:rPr>
              <w:t>5000</w:t>
            </w:r>
            <w:r>
              <w:rPr>
                <w:rFonts w:eastAsia="新宋体"/>
                <w:bCs/>
                <w:sz w:val="24"/>
              </w:rPr>
              <w:t>万</w:t>
            </w:r>
            <w:r>
              <w:rPr>
                <w:bCs/>
                <w:sz w:val="24"/>
              </w:rPr>
              <w:t>~</w:t>
            </w:r>
            <w:r>
              <w:rPr>
                <w:rFonts w:eastAsia="Times New Roman"/>
                <w:bCs/>
                <w:sz w:val="24"/>
              </w:rPr>
              <w:t>1</w:t>
            </w:r>
            <w:r>
              <w:rPr>
                <w:rFonts w:eastAsia="新宋体"/>
                <w:bCs/>
                <w:sz w:val="24"/>
              </w:rPr>
              <w:t>亿吨，储量巨大，开采历史悠久。</w:t>
            </w:r>
          </w:p>
          <w:p>
            <w:pPr>
              <w:snapToGrid w:val="0"/>
              <w:spacing w:line="360" w:lineRule="auto"/>
              <w:ind w:firstLine="480"/>
              <w:rPr>
                <w:rFonts w:eastAsia="新宋体" w:hint="eastAsia"/>
                <w:b/>
                <w:bCs/>
                <w:sz w:val="24"/>
              </w:rPr>
            </w:pPr>
            <w:r>
              <w:rPr>
                <w:rFonts w:eastAsia="新宋体" w:hint="eastAsia"/>
                <w:b/>
                <w:bCs/>
                <w:sz w:val="24"/>
              </w:rPr>
              <w:t>9、瑶湖污水处理厂概况</w:t>
            </w:r>
          </w:p>
          <w:p>
            <w:pPr>
              <w:snapToGrid w:val="0"/>
              <w:spacing w:line="360" w:lineRule="auto"/>
              <w:ind w:firstLine="480"/>
              <w:rPr>
                <w:rFonts w:eastAsia="新宋体" w:hint="eastAsia"/>
                <w:bCs/>
                <w:sz w:val="24"/>
              </w:rPr>
            </w:pPr>
            <w:r>
              <w:rPr>
                <w:rFonts w:eastAsia="新宋体" w:hint="eastAsia"/>
                <w:bCs/>
                <w:sz w:val="24"/>
              </w:rPr>
              <w:t>本项目所在地属于瑶湖污水处理厂服务范围。瑶湖污水处理厂属南昌高新光伏产业配套项目，位于南昌市高新区昌东镇下范村。一期工程以BOT模式运营，总投资7316万元，占地184.6亩，设计规模20万吨/天，目前一期规模为4万吨/天。服务范围：西起尤氨公路，东至瑶湖西畔，北起富大有堤，南至解放东路。服务区域包含高校园区、经济适用房片区、奥林匹克配套片区、南钢厂区、氨厂厂区、尤口镇片区以及新规划的光伏产业园片区，总规划服务面积约36.6平方公里。</w:t>
            </w:r>
          </w:p>
          <w:p>
            <w:pPr>
              <w:snapToGrid w:val="0"/>
              <w:spacing w:line="360" w:lineRule="auto"/>
              <w:ind w:firstLine="480"/>
              <w:rPr>
                <w:rFonts w:eastAsia="新宋体"/>
                <w:bCs/>
                <w:sz w:val="24"/>
              </w:rPr>
            </w:pPr>
            <w:r>
              <w:rPr>
                <w:rFonts w:eastAsia="新宋体" w:hint="eastAsia"/>
                <w:bCs/>
                <w:sz w:val="24"/>
              </w:rPr>
              <w:t>该厂污水处理工艺采用生活污水与工业污水分开预处理+改良型氧化沟+紫外线消毒工艺，设计出水水质为国家城镇污水处理厂污染物排放标准的一级B标准。本项目属于瑶湖污水处理厂的纳管服务范围（见附图七）。</w:t>
            </w:r>
          </w:p>
        </w:tc>
      </w:tr>
    </w:tbl>
    <w:p>
      <w:pPr>
        <w:pStyle w:val="Title"/>
        <w:snapToGrid w:val="0"/>
        <w:spacing w:before="0" w:after="0"/>
        <w:rPr>
          <w:rFonts w:ascii="Times New Roman" w:hAnsi="Times New Roman"/>
        </w:rPr>
        <w:sectPr>
          <w:headerReference w:type="default" r:id="rId37"/>
          <w:footerReference w:type="even" r:id="rId38"/>
          <w:footerReference w:type="default" r:id="rId39"/>
          <w:type w:val="nextPage"/>
          <w:pgSz w:w="11906" w:h="16838"/>
          <w:pgMar w:top="1440" w:right="1469" w:bottom="1440" w:left="1797" w:header="851" w:footer="992" w:gutter="0"/>
          <w:pgNumType w:start="12"/>
          <w:cols w:space="708"/>
          <w:titlePg w:val="0"/>
          <w:docGrid w:type="lines" w:linePitch="312"/>
        </w:sectPr>
      </w:pPr>
    </w:p>
    <w:p>
      <w:pPr>
        <w:pStyle w:val="Title"/>
        <w:snapToGrid w:val="0"/>
        <w:spacing w:before="0" w:after="0"/>
        <w:ind w:left="-420" w:leftChars="-200"/>
        <w:rPr>
          <w:rFonts w:ascii="Times New Roman" w:hAnsi="Times New Roman"/>
        </w:rPr>
      </w:pPr>
      <w:r>
        <w:rPr>
          <w:rFonts w:ascii="Times New Roman" w:hAnsi="Times New Roman"/>
        </w:rPr>
        <w:t>三</w:t>
      </w:r>
      <w:r>
        <w:rPr>
          <w:rFonts w:ascii="Times New Roman" w:hAnsi="Times New Roman" w:hint="eastAsia"/>
          <w:lang w:eastAsia="zh-CN"/>
        </w:rPr>
        <w:t>、</w:t>
      </w:r>
      <w:r>
        <w:rPr>
          <w:rFonts w:ascii="Times New Roman" w:hAnsi="Times New Roman"/>
        </w:rPr>
        <w:t>环境质量状况</w:t>
      </w: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7"/>
          <w:jc w:val="center"/>
        </w:trPr>
        <w:tc>
          <w:tcPr>
            <w:tcW w:w="8852" w:type="dxa"/>
            <w:tcBorders>
              <w:top w:val="single" w:sz="4" w:space="0" w:color="auto"/>
              <w:left w:val="single" w:sz="4" w:space="0" w:color="auto"/>
              <w:bottom w:val="single" w:sz="4" w:space="0" w:color="auto"/>
              <w:right w:val="single" w:sz="4" w:space="0" w:color="auto"/>
            </w:tcBorders>
          </w:tcPr>
          <w:p>
            <w:pPr>
              <w:snapToGrid w:val="0"/>
              <w:spacing w:line="360" w:lineRule="auto"/>
              <w:rPr>
                <w:b/>
                <w:sz w:val="30"/>
                <w:szCs w:val="30"/>
              </w:rPr>
            </w:pPr>
            <w:r>
              <w:rPr>
                <w:b/>
                <w:sz w:val="30"/>
                <w:szCs w:val="30"/>
              </w:rPr>
              <w:t>建设项目所在地区域环境质量现状及主要环境问题（环境空气、地面水、地下水、声环境、生态环境等）：</w:t>
            </w:r>
          </w:p>
          <w:p>
            <w:pPr>
              <w:pStyle w:val="Heading2"/>
              <w:spacing w:before="0" w:after="0" w:line="360" w:lineRule="auto"/>
              <w:ind w:left="210" w:right="210"/>
              <w:rPr>
                <w:rFonts w:ascii="Times New Roman" w:hAnsi="Times New Roman"/>
                <w:lang w:val="en-US" w:eastAsia="zh-CN"/>
              </w:rPr>
            </w:pPr>
            <w:r>
              <w:rPr>
                <w:rFonts w:ascii="Times New Roman" w:hAnsi="Times New Roman"/>
                <w:lang w:val="en-US" w:eastAsia="zh-CN"/>
              </w:rPr>
              <w:t>1、大气环境质量现状</w:t>
            </w:r>
          </w:p>
          <w:p>
            <w:pPr>
              <w:spacing w:line="360" w:lineRule="auto"/>
              <w:ind w:firstLine="480" w:firstLineChars="200"/>
              <w:rPr>
                <w:rFonts w:hint="eastAsia"/>
                <w:sz w:val="24"/>
              </w:rPr>
            </w:pPr>
            <w:r>
              <w:rPr>
                <w:sz w:val="24"/>
              </w:rPr>
              <w:t>为评价项目区域内环境空气现状，本评价引用</w:t>
            </w:r>
            <w:r>
              <w:rPr>
                <w:rFonts w:hint="eastAsia"/>
                <w:sz w:val="24"/>
              </w:rPr>
              <w:t>江西省粤环科检测技术有限公司于2017年9月20日-9月27日对《南昌朗塑科技有限公司年产100万片吸塑托盘建设项目》的监测数据，监测点位于安溪刘家，该监测点位于本项目东南面约350m，</w:t>
            </w:r>
            <w:r>
              <w:rPr>
                <w:sz w:val="24"/>
              </w:rPr>
              <w:t>评价因子为：SO</w:t>
            </w:r>
            <w:r>
              <w:rPr>
                <w:sz w:val="24"/>
                <w:vertAlign w:val="subscript"/>
              </w:rPr>
              <w:t>2</w:t>
            </w:r>
            <w:r>
              <w:rPr>
                <w:sz w:val="24"/>
              </w:rPr>
              <w:t>、NO</w:t>
            </w:r>
            <w:r>
              <w:rPr>
                <w:sz w:val="24"/>
                <w:vertAlign w:val="subscript"/>
              </w:rPr>
              <w:t>2</w:t>
            </w:r>
            <w:r>
              <w:rPr>
                <w:sz w:val="24"/>
              </w:rPr>
              <w:t>、PM</w:t>
            </w:r>
            <w:r>
              <w:rPr>
                <w:sz w:val="24"/>
                <w:vertAlign w:val="subscript"/>
              </w:rPr>
              <w:t>10</w:t>
            </w:r>
            <w:r>
              <w:rPr>
                <w:rFonts w:hint="eastAsia"/>
                <w:sz w:val="24"/>
              </w:rPr>
              <w:t>、TVOC。</w:t>
            </w:r>
          </w:p>
          <w:p>
            <w:pPr>
              <w:spacing w:line="360" w:lineRule="auto"/>
              <w:ind w:firstLine="480" w:firstLineChars="200"/>
              <w:rPr>
                <w:rFonts w:hint="eastAsia"/>
                <w:sz w:val="24"/>
              </w:rPr>
            </w:pPr>
            <w:r>
              <w:rPr>
                <w:rFonts w:hint="eastAsia"/>
                <w:sz w:val="24"/>
              </w:rPr>
              <w:t>同时引用南昌华标检测技术有限公司2016年11月3日~9日对《江西恒大净化材料有限公司年产2万台（套）净水处理装置》的监测数据，监测点位于上范，位于本项目西南面约2400m，</w:t>
            </w:r>
            <w:r>
              <w:rPr>
                <w:sz w:val="24"/>
              </w:rPr>
              <w:t>评价因子为：SO</w:t>
            </w:r>
            <w:r>
              <w:rPr>
                <w:sz w:val="24"/>
                <w:vertAlign w:val="subscript"/>
              </w:rPr>
              <w:t>2</w:t>
            </w:r>
            <w:r>
              <w:rPr>
                <w:sz w:val="24"/>
              </w:rPr>
              <w:t>、NO</w:t>
            </w:r>
            <w:r>
              <w:rPr>
                <w:sz w:val="24"/>
                <w:vertAlign w:val="subscript"/>
              </w:rPr>
              <w:t>2</w:t>
            </w:r>
            <w:r>
              <w:rPr>
                <w:sz w:val="24"/>
              </w:rPr>
              <w:t>、PM</w:t>
            </w:r>
            <w:r>
              <w:rPr>
                <w:sz w:val="24"/>
                <w:vertAlign w:val="subscript"/>
              </w:rPr>
              <w:t>10</w:t>
            </w:r>
            <w:r>
              <w:rPr>
                <w:rFonts w:hint="eastAsia"/>
                <w:sz w:val="24"/>
              </w:rPr>
              <w:t>。</w:t>
            </w:r>
          </w:p>
          <w:p>
            <w:pPr>
              <w:spacing w:line="360" w:lineRule="auto"/>
              <w:ind w:firstLine="480" w:firstLineChars="200"/>
              <w:rPr>
                <w:sz w:val="24"/>
              </w:rPr>
            </w:pPr>
            <w:r>
              <w:rPr>
                <w:sz w:val="24"/>
              </w:rPr>
              <w:t>本评价引用监测数据符合大气导则要求，能够代表项目所在地区域环境空气现状，具体评价结果见表</w:t>
            </w:r>
            <w:r>
              <w:rPr>
                <w:rFonts w:hint="eastAsia"/>
                <w:sz w:val="24"/>
              </w:rPr>
              <w:t>3-1</w:t>
            </w:r>
            <w:r>
              <w:rPr>
                <w:sz w:val="24"/>
              </w:rPr>
              <w:t>。</w:t>
            </w:r>
          </w:p>
          <w:p>
            <w:pPr>
              <w:spacing w:line="360" w:lineRule="auto"/>
              <w:ind w:firstLine="420" w:firstLineChars="200"/>
              <w:jc w:val="center"/>
              <w:rPr>
                <w:rFonts w:hint="eastAsia"/>
                <w:b/>
                <w:szCs w:val="21"/>
              </w:rPr>
            </w:pPr>
            <w:r>
              <w:rPr>
                <w:rFonts w:hint="eastAsia"/>
                <w:b/>
                <w:szCs w:val="21"/>
              </w:rPr>
              <w:t>表3-1 环境空气现状及评价结果表（单位：mg/m3）</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60"/>
              <w:gridCol w:w="1560"/>
              <w:gridCol w:w="1559"/>
              <w:gridCol w:w="1559"/>
              <w:gridCol w:w="1559"/>
              <w:gridCol w:w="1559"/>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560" w:type="dxa"/>
                  <w:vAlign w:val="center"/>
                </w:tcPr>
                <w:p>
                  <w:pPr>
                    <w:jc w:val="center"/>
                    <w:rPr>
                      <w:rFonts w:hint="eastAsia"/>
                    </w:rPr>
                  </w:pPr>
                  <w:r>
                    <w:rPr>
                      <w:rFonts w:hint="eastAsia"/>
                    </w:rPr>
                    <w:t>监测点位</w:t>
                  </w:r>
                </w:p>
              </w:tc>
              <w:tc>
                <w:tcPr>
                  <w:tcW w:w="1560" w:type="dxa"/>
                  <w:vAlign w:val="center"/>
                </w:tcPr>
                <w:p>
                  <w:pPr>
                    <w:jc w:val="center"/>
                    <w:rPr>
                      <w:rFonts w:hint="eastAsia"/>
                    </w:rPr>
                  </w:pPr>
                  <w:r>
                    <w:rPr>
                      <w:rFonts w:hint="eastAsia"/>
                    </w:rPr>
                    <w:t>污染物</w:t>
                  </w:r>
                </w:p>
              </w:tc>
              <w:tc>
                <w:tcPr>
                  <w:tcW w:w="1559" w:type="dxa"/>
                  <w:vAlign w:val="center"/>
                </w:tcPr>
                <w:p>
                  <w:pPr>
                    <w:jc w:val="center"/>
                    <w:rPr>
                      <w:rFonts w:hint="eastAsia"/>
                    </w:rPr>
                  </w:pPr>
                  <w:r>
                    <w:rPr>
                      <w:rFonts w:hint="eastAsia"/>
                    </w:rPr>
                    <w:t>日均值范围</w:t>
                  </w:r>
                </w:p>
              </w:tc>
              <w:tc>
                <w:tcPr>
                  <w:tcW w:w="1559" w:type="dxa"/>
                  <w:vAlign w:val="center"/>
                </w:tcPr>
                <w:p>
                  <w:pPr>
                    <w:jc w:val="center"/>
                    <w:rPr>
                      <w:rFonts w:hint="eastAsia"/>
                    </w:rPr>
                  </w:pPr>
                  <w:r>
                    <w:rPr>
                      <w:rFonts w:hint="eastAsia"/>
                    </w:rPr>
                    <w:t>评价标准</w:t>
                  </w:r>
                </w:p>
              </w:tc>
              <w:tc>
                <w:tcPr>
                  <w:tcW w:w="1559" w:type="dxa"/>
                  <w:vAlign w:val="center"/>
                </w:tcPr>
                <w:p>
                  <w:pPr>
                    <w:jc w:val="center"/>
                    <w:rPr>
                      <w:rFonts w:hint="eastAsia"/>
                    </w:rPr>
                  </w:pPr>
                  <w:r>
                    <w:rPr>
                      <w:rFonts w:hint="eastAsia"/>
                    </w:rPr>
                    <w:t>评价指数范围</w:t>
                  </w:r>
                </w:p>
              </w:tc>
              <w:tc>
                <w:tcPr>
                  <w:tcW w:w="1559" w:type="dxa"/>
                  <w:vAlign w:val="center"/>
                </w:tcPr>
                <w:p>
                  <w:pPr>
                    <w:jc w:val="center"/>
                    <w:rPr>
                      <w:rFonts w:hint="eastAsia"/>
                    </w:rPr>
                  </w:pPr>
                  <w:r>
                    <w:rPr>
                      <w:rFonts w:hint="eastAsia"/>
                    </w:rPr>
                    <w:t>达标情况</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restart"/>
                  <w:vAlign w:val="center"/>
                </w:tcPr>
                <w:p>
                  <w:pPr>
                    <w:jc w:val="center"/>
                    <w:rPr>
                      <w:rFonts w:hint="eastAsia"/>
                    </w:rPr>
                  </w:pPr>
                  <w:r>
                    <w:rPr>
                      <w:rFonts w:hint="eastAsia"/>
                    </w:rPr>
                    <w:t>A1安溪刘家</w:t>
                  </w:r>
                </w:p>
              </w:tc>
              <w:tc>
                <w:tcPr>
                  <w:tcW w:w="1560" w:type="dxa"/>
                  <w:vAlign w:val="center"/>
                </w:tcPr>
                <w:p>
                  <w:pPr>
                    <w:jc w:val="center"/>
                    <w:rPr>
                      <w:rFonts w:hint="eastAsia"/>
                    </w:rPr>
                  </w:pPr>
                  <w:r>
                    <w:rPr>
                      <w:rFonts w:hint="eastAsia"/>
                    </w:rPr>
                    <w:t>SO</w:t>
                  </w:r>
                  <w:r>
                    <w:rPr>
                      <w:rFonts w:hint="eastAsia"/>
                      <w:vertAlign w:val="subscript"/>
                    </w:rPr>
                    <w:t>2</w:t>
                  </w:r>
                </w:p>
              </w:tc>
              <w:tc>
                <w:tcPr>
                  <w:tcW w:w="1559" w:type="dxa"/>
                  <w:vAlign w:val="center"/>
                </w:tcPr>
                <w:p>
                  <w:pPr>
                    <w:jc w:val="center"/>
                    <w:rPr>
                      <w:rFonts w:hint="eastAsia"/>
                    </w:rPr>
                  </w:pPr>
                  <w:r>
                    <w:rPr>
                      <w:rFonts w:hint="eastAsia"/>
                      <w:szCs w:val="21"/>
                    </w:rPr>
                    <w:t>0.025-0.032</w:t>
                  </w:r>
                </w:p>
              </w:tc>
              <w:tc>
                <w:tcPr>
                  <w:tcW w:w="1559" w:type="dxa"/>
                  <w:vAlign w:val="center"/>
                </w:tcPr>
                <w:p>
                  <w:pPr>
                    <w:jc w:val="center"/>
                    <w:rPr>
                      <w:rFonts w:hint="eastAsia"/>
                    </w:rPr>
                  </w:pPr>
                  <w:r>
                    <w:rPr>
                      <w:rFonts w:hint="eastAsia"/>
                    </w:rPr>
                    <w:t>0.15</w:t>
                  </w:r>
                </w:p>
              </w:tc>
              <w:tc>
                <w:tcPr>
                  <w:tcW w:w="1559" w:type="dxa"/>
                  <w:vAlign w:val="center"/>
                </w:tcPr>
                <w:p>
                  <w:pPr>
                    <w:jc w:val="center"/>
                    <w:rPr>
                      <w:rFonts w:hint="eastAsia"/>
                    </w:rPr>
                  </w:pPr>
                  <w:r>
                    <w:rPr>
                      <w:rFonts w:hint="eastAsia"/>
                      <w:szCs w:val="21"/>
                    </w:rPr>
                    <w:t>0.167-0.213</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ign w:val="center"/>
                </w:tcPr>
                <w:p>
                  <w:pPr>
                    <w:jc w:val="center"/>
                    <w:rPr>
                      <w:rFonts w:hint="eastAsia"/>
                    </w:rPr>
                  </w:pPr>
                </w:p>
              </w:tc>
              <w:tc>
                <w:tcPr>
                  <w:tcW w:w="1560" w:type="dxa"/>
                  <w:vAlign w:val="center"/>
                </w:tcPr>
                <w:p>
                  <w:pPr>
                    <w:jc w:val="center"/>
                    <w:rPr>
                      <w:rFonts w:hint="eastAsia"/>
                    </w:rPr>
                  </w:pPr>
                  <w:r>
                    <w:rPr>
                      <w:rFonts w:hint="eastAsia"/>
                    </w:rPr>
                    <w:t>NO</w:t>
                  </w:r>
                  <w:r>
                    <w:rPr>
                      <w:rFonts w:hint="eastAsia"/>
                      <w:vertAlign w:val="subscript"/>
                    </w:rPr>
                    <w:t>2</w:t>
                  </w:r>
                </w:p>
              </w:tc>
              <w:tc>
                <w:tcPr>
                  <w:tcW w:w="1559" w:type="dxa"/>
                  <w:vAlign w:val="center"/>
                </w:tcPr>
                <w:p>
                  <w:pPr>
                    <w:jc w:val="center"/>
                    <w:rPr>
                      <w:rFonts w:hint="eastAsia"/>
                    </w:rPr>
                  </w:pPr>
                  <w:r>
                    <w:rPr>
                      <w:rFonts w:hint="eastAsia"/>
                      <w:szCs w:val="21"/>
                    </w:rPr>
                    <w:t>0.010-0.018</w:t>
                  </w:r>
                </w:p>
              </w:tc>
              <w:tc>
                <w:tcPr>
                  <w:tcW w:w="1559" w:type="dxa"/>
                  <w:vAlign w:val="center"/>
                </w:tcPr>
                <w:p>
                  <w:pPr>
                    <w:jc w:val="center"/>
                    <w:rPr>
                      <w:rFonts w:hint="eastAsia"/>
                    </w:rPr>
                  </w:pPr>
                  <w:r>
                    <w:rPr>
                      <w:rFonts w:hint="eastAsia"/>
                    </w:rPr>
                    <w:t>0.08</w:t>
                  </w:r>
                </w:p>
              </w:tc>
              <w:tc>
                <w:tcPr>
                  <w:tcW w:w="1559" w:type="dxa"/>
                  <w:vAlign w:val="center"/>
                </w:tcPr>
                <w:p>
                  <w:pPr>
                    <w:jc w:val="center"/>
                    <w:rPr>
                      <w:rFonts w:hint="eastAsia"/>
                    </w:rPr>
                  </w:pPr>
                  <w:r>
                    <w:rPr>
                      <w:rFonts w:hint="eastAsia"/>
                      <w:szCs w:val="21"/>
                    </w:rPr>
                    <w:t>0.125-0.225</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ign w:val="center"/>
                </w:tcPr>
                <w:p>
                  <w:pPr>
                    <w:jc w:val="center"/>
                    <w:rPr>
                      <w:rFonts w:hint="eastAsia"/>
                    </w:rPr>
                  </w:pPr>
                </w:p>
              </w:tc>
              <w:tc>
                <w:tcPr>
                  <w:tcW w:w="1560" w:type="dxa"/>
                  <w:vAlign w:val="center"/>
                </w:tcPr>
                <w:p>
                  <w:pPr>
                    <w:jc w:val="center"/>
                    <w:rPr>
                      <w:rFonts w:hint="eastAsia"/>
                    </w:rPr>
                  </w:pPr>
                  <w:r>
                    <w:rPr>
                      <w:rFonts w:hint="eastAsia"/>
                    </w:rPr>
                    <w:t>PM</w:t>
                  </w:r>
                  <w:r>
                    <w:rPr>
                      <w:rFonts w:hint="eastAsia"/>
                      <w:vertAlign w:val="subscript"/>
                    </w:rPr>
                    <w:t>10</w:t>
                  </w:r>
                </w:p>
              </w:tc>
              <w:tc>
                <w:tcPr>
                  <w:tcW w:w="1559" w:type="dxa"/>
                  <w:vAlign w:val="center"/>
                </w:tcPr>
                <w:p>
                  <w:pPr>
                    <w:jc w:val="center"/>
                    <w:rPr>
                      <w:rFonts w:hint="eastAsia"/>
                    </w:rPr>
                  </w:pPr>
                  <w:r>
                    <w:rPr>
                      <w:rFonts w:hint="eastAsia"/>
                      <w:szCs w:val="21"/>
                    </w:rPr>
                    <w:t>0.051-0.086</w:t>
                  </w:r>
                </w:p>
              </w:tc>
              <w:tc>
                <w:tcPr>
                  <w:tcW w:w="1559" w:type="dxa"/>
                  <w:vAlign w:val="center"/>
                </w:tcPr>
                <w:p>
                  <w:pPr>
                    <w:jc w:val="center"/>
                    <w:rPr>
                      <w:rFonts w:hint="eastAsia"/>
                    </w:rPr>
                  </w:pPr>
                  <w:r>
                    <w:rPr>
                      <w:rFonts w:hint="eastAsia"/>
                    </w:rPr>
                    <w:t>0.15</w:t>
                  </w:r>
                </w:p>
              </w:tc>
              <w:tc>
                <w:tcPr>
                  <w:tcW w:w="1559" w:type="dxa"/>
                  <w:vAlign w:val="center"/>
                </w:tcPr>
                <w:p>
                  <w:pPr>
                    <w:jc w:val="center"/>
                    <w:rPr>
                      <w:rFonts w:hint="eastAsia"/>
                    </w:rPr>
                  </w:pPr>
                  <w:r>
                    <w:rPr>
                      <w:rFonts w:hint="eastAsia"/>
                      <w:szCs w:val="21"/>
                    </w:rPr>
                    <w:t>0.34-0.573</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ign w:val="center"/>
                </w:tcPr>
                <w:p>
                  <w:pPr>
                    <w:jc w:val="center"/>
                    <w:rPr>
                      <w:rFonts w:hint="eastAsia"/>
                    </w:rPr>
                  </w:pPr>
                </w:p>
              </w:tc>
              <w:tc>
                <w:tcPr>
                  <w:tcW w:w="1560" w:type="dxa"/>
                  <w:vAlign w:val="center"/>
                </w:tcPr>
                <w:p>
                  <w:pPr>
                    <w:jc w:val="center"/>
                    <w:rPr>
                      <w:rFonts w:hint="eastAsia"/>
                    </w:rPr>
                  </w:pPr>
                  <w:r>
                    <w:rPr>
                      <w:rFonts w:hint="eastAsia"/>
                    </w:rPr>
                    <w:t>TVOC</w:t>
                  </w:r>
                </w:p>
              </w:tc>
              <w:tc>
                <w:tcPr>
                  <w:tcW w:w="1559" w:type="dxa"/>
                  <w:vAlign w:val="center"/>
                </w:tcPr>
                <w:p>
                  <w:pPr>
                    <w:jc w:val="center"/>
                    <w:rPr>
                      <w:rFonts w:hint="eastAsia"/>
                      <w:szCs w:val="21"/>
                    </w:rPr>
                  </w:pPr>
                  <w:r>
                    <w:rPr>
                      <w:rFonts w:hint="eastAsia"/>
                      <w:szCs w:val="21"/>
                    </w:rPr>
                    <w:t>0.067-0.078</w:t>
                  </w:r>
                </w:p>
              </w:tc>
              <w:tc>
                <w:tcPr>
                  <w:tcW w:w="1559" w:type="dxa"/>
                  <w:vAlign w:val="center"/>
                </w:tcPr>
                <w:p>
                  <w:pPr>
                    <w:jc w:val="center"/>
                    <w:rPr>
                      <w:rFonts w:hint="eastAsia"/>
                    </w:rPr>
                  </w:pPr>
                  <w:r>
                    <w:rPr>
                      <w:rFonts w:hint="eastAsia"/>
                    </w:rPr>
                    <w:t>0.6</w:t>
                  </w:r>
                </w:p>
              </w:tc>
              <w:tc>
                <w:tcPr>
                  <w:tcW w:w="1559" w:type="dxa"/>
                  <w:vAlign w:val="center"/>
                </w:tcPr>
                <w:p>
                  <w:pPr>
                    <w:jc w:val="center"/>
                    <w:rPr>
                      <w:rFonts w:hint="eastAsia"/>
                      <w:szCs w:val="21"/>
                    </w:rPr>
                  </w:pPr>
                  <w:r>
                    <w:rPr>
                      <w:rFonts w:hint="eastAsia"/>
                      <w:szCs w:val="21"/>
                    </w:rPr>
                    <w:t>0.04-0.13</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restart"/>
                  <w:vAlign w:val="center"/>
                </w:tcPr>
                <w:p>
                  <w:pPr>
                    <w:jc w:val="center"/>
                    <w:rPr>
                      <w:rFonts w:hint="eastAsia"/>
                    </w:rPr>
                  </w:pPr>
                  <w:r>
                    <w:rPr>
                      <w:rFonts w:hint="eastAsia"/>
                    </w:rPr>
                    <w:t>A2上范</w:t>
                  </w:r>
                </w:p>
              </w:tc>
              <w:tc>
                <w:tcPr>
                  <w:tcW w:w="1560" w:type="dxa"/>
                  <w:vAlign w:val="center"/>
                </w:tcPr>
                <w:p>
                  <w:pPr>
                    <w:jc w:val="center"/>
                    <w:rPr>
                      <w:rFonts w:hint="eastAsia"/>
                    </w:rPr>
                  </w:pPr>
                  <w:r>
                    <w:rPr>
                      <w:rFonts w:hint="eastAsia"/>
                    </w:rPr>
                    <w:t>SO</w:t>
                  </w:r>
                  <w:r>
                    <w:rPr>
                      <w:rFonts w:hint="eastAsia"/>
                      <w:vertAlign w:val="subscript"/>
                    </w:rPr>
                    <w:t>2</w:t>
                  </w:r>
                </w:p>
              </w:tc>
              <w:tc>
                <w:tcPr>
                  <w:tcW w:w="1559" w:type="dxa"/>
                  <w:vAlign w:val="center"/>
                </w:tcPr>
                <w:p>
                  <w:pPr>
                    <w:jc w:val="center"/>
                    <w:rPr>
                      <w:rFonts w:hint="eastAsia"/>
                    </w:rPr>
                  </w:pPr>
                  <w:r>
                    <w:rPr>
                      <w:rFonts w:hint="eastAsia"/>
                    </w:rPr>
                    <w:t>0.025-0.029</w:t>
                  </w:r>
                </w:p>
              </w:tc>
              <w:tc>
                <w:tcPr>
                  <w:tcW w:w="1559" w:type="dxa"/>
                  <w:vAlign w:val="center"/>
                </w:tcPr>
                <w:p>
                  <w:pPr>
                    <w:jc w:val="center"/>
                    <w:rPr>
                      <w:rFonts w:hint="eastAsia"/>
                    </w:rPr>
                  </w:pPr>
                  <w:r>
                    <w:rPr>
                      <w:rFonts w:hint="eastAsia"/>
                    </w:rPr>
                    <w:t>0.15</w:t>
                  </w:r>
                </w:p>
              </w:tc>
              <w:tc>
                <w:tcPr>
                  <w:tcW w:w="1559" w:type="dxa"/>
                  <w:vAlign w:val="center"/>
                </w:tcPr>
                <w:p>
                  <w:pPr>
                    <w:jc w:val="center"/>
                    <w:rPr>
                      <w:rFonts w:hint="eastAsia"/>
                    </w:rPr>
                  </w:pPr>
                  <w:r>
                    <w:rPr>
                      <w:rFonts w:hint="eastAsia"/>
                    </w:rPr>
                    <w:t>0.17-0.19</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ign w:val="center"/>
                </w:tcPr>
                <w:p>
                  <w:pPr>
                    <w:jc w:val="center"/>
                    <w:rPr>
                      <w:rFonts w:hint="eastAsia"/>
                    </w:rPr>
                  </w:pPr>
                </w:p>
              </w:tc>
              <w:tc>
                <w:tcPr>
                  <w:tcW w:w="1560" w:type="dxa"/>
                  <w:vAlign w:val="center"/>
                </w:tcPr>
                <w:p>
                  <w:pPr>
                    <w:jc w:val="center"/>
                    <w:rPr>
                      <w:rFonts w:hint="eastAsia"/>
                    </w:rPr>
                  </w:pPr>
                  <w:r>
                    <w:rPr>
                      <w:rFonts w:hint="eastAsia"/>
                    </w:rPr>
                    <w:t>NO</w:t>
                  </w:r>
                  <w:r>
                    <w:rPr>
                      <w:rFonts w:hint="eastAsia"/>
                      <w:vertAlign w:val="subscript"/>
                    </w:rPr>
                    <w:t>2</w:t>
                  </w:r>
                </w:p>
              </w:tc>
              <w:tc>
                <w:tcPr>
                  <w:tcW w:w="1559" w:type="dxa"/>
                  <w:vAlign w:val="center"/>
                </w:tcPr>
                <w:p>
                  <w:pPr>
                    <w:jc w:val="center"/>
                    <w:rPr>
                      <w:rFonts w:hint="eastAsia"/>
                    </w:rPr>
                  </w:pPr>
                  <w:r>
                    <w:rPr>
                      <w:rFonts w:hint="eastAsia"/>
                    </w:rPr>
                    <w:t>0.031-0.035</w:t>
                  </w:r>
                </w:p>
              </w:tc>
              <w:tc>
                <w:tcPr>
                  <w:tcW w:w="1559" w:type="dxa"/>
                  <w:vAlign w:val="center"/>
                </w:tcPr>
                <w:p>
                  <w:pPr>
                    <w:jc w:val="center"/>
                    <w:rPr>
                      <w:rFonts w:hint="eastAsia"/>
                    </w:rPr>
                  </w:pPr>
                  <w:r>
                    <w:rPr>
                      <w:rFonts w:hint="eastAsia"/>
                    </w:rPr>
                    <w:t>0.08</w:t>
                  </w:r>
                </w:p>
              </w:tc>
              <w:tc>
                <w:tcPr>
                  <w:tcW w:w="1559" w:type="dxa"/>
                  <w:vAlign w:val="center"/>
                </w:tcPr>
                <w:p>
                  <w:pPr>
                    <w:jc w:val="center"/>
                    <w:rPr>
                      <w:rFonts w:hint="eastAsia"/>
                    </w:rPr>
                  </w:pPr>
                  <w:r>
                    <w:rPr>
                      <w:rFonts w:hint="eastAsia"/>
                    </w:rPr>
                    <w:t>0.39-0.44</w:t>
                  </w:r>
                </w:p>
              </w:tc>
              <w:tc>
                <w:tcPr>
                  <w:tcW w:w="1559" w:type="dxa"/>
                  <w:vAlign w:val="center"/>
                </w:tcPr>
                <w:p>
                  <w:pPr>
                    <w:jc w:val="center"/>
                    <w:rPr>
                      <w:rFonts w:hint="eastAsia"/>
                    </w:rPr>
                  </w:pPr>
                  <w:r>
                    <w:rPr>
                      <w:rFonts w:hint="eastAsia"/>
                    </w:rPr>
                    <w:t>达标</w:t>
                  </w:r>
                </w:p>
              </w:tc>
            </w:tr>
            <w:tr>
              <w:tblPrEx>
                <w:tblW w:w="9356" w:type="dxa"/>
                <w:jc w:val="center"/>
                <w:tblInd w:w="113" w:type="dxa"/>
                <w:tblLayout w:type="fixed"/>
                <w:tblCellMar>
                  <w:top w:w="0" w:type="dxa"/>
                  <w:left w:w="108" w:type="dxa"/>
                  <w:bottom w:w="0" w:type="dxa"/>
                  <w:right w:w="108" w:type="dxa"/>
                </w:tblCellMar>
                <w:tblLook w:val="0000"/>
              </w:tblPrEx>
              <w:trPr>
                <w:jc w:val="center"/>
              </w:trPr>
              <w:tc>
                <w:tcPr>
                  <w:tcW w:w="1560" w:type="dxa"/>
                  <w:vMerge/>
                  <w:vAlign w:val="center"/>
                </w:tcPr>
                <w:p>
                  <w:pPr>
                    <w:jc w:val="center"/>
                    <w:rPr>
                      <w:rFonts w:hint="eastAsia"/>
                    </w:rPr>
                  </w:pPr>
                </w:p>
              </w:tc>
              <w:tc>
                <w:tcPr>
                  <w:tcW w:w="1560" w:type="dxa"/>
                  <w:vAlign w:val="center"/>
                </w:tcPr>
                <w:p>
                  <w:pPr>
                    <w:jc w:val="center"/>
                    <w:rPr>
                      <w:rFonts w:hint="eastAsia"/>
                    </w:rPr>
                  </w:pPr>
                  <w:r>
                    <w:rPr>
                      <w:rFonts w:hint="eastAsia"/>
                    </w:rPr>
                    <w:t>PM</w:t>
                  </w:r>
                  <w:r>
                    <w:rPr>
                      <w:rFonts w:hint="eastAsia"/>
                      <w:vertAlign w:val="subscript"/>
                    </w:rPr>
                    <w:t>10</w:t>
                  </w:r>
                </w:p>
              </w:tc>
              <w:tc>
                <w:tcPr>
                  <w:tcW w:w="1559" w:type="dxa"/>
                  <w:vAlign w:val="center"/>
                </w:tcPr>
                <w:p>
                  <w:pPr>
                    <w:jc w:val="center"/>
                    <w:rPr>
                      <w:rFonts w:hint="eastAsia"/>
                    </w:rPr>
                  </w:pPr>
                  <w:r>
                    <w:rPr>
                      <w:rFonts w:hint="eastAsia"/>
                    </w:rPr>
                    <w:t>0.074-0.081</w:t>
                  </w:r>
                </w:p>
              </w:tc>
              <w:tc>
                <w:tcPr>
                  <w:tcW w:w="1559" w:type="dxa"/>
                  <w:vAlign w:val="center"/>
                </w:tcPr>
                <w:p>
                  <w:pPr>
                    <w:jc w:val="center"/>
                    <w:rPr>
                      <w:rFonts w:hint="eastAsia"/>
                    </w:rPr>
                  </w:pPr>
                  <w:r>
                    <w:rPr>
                      <w:rFonts w:hint="eastAsia"/>
                    </w:rPr>
                    <w:t>0.15</w:t>
                  </w:r>
                </w:p>
              </w:tc>
              <w:tc>
                <w:tcPr>
                  <w:tcW w:w="1559" w:type="dxa"/>
                  <w:vAlign w:val="center"/>
                </w:tcPr>
                <w:p>
                  <w:pPr>
                    <w:jc w:val="center"/>
                    <w:rPr>
                      <w:rFonts w:hint="eastAsia"/>
                    </w:rPr>
                  </w:pPr>
                  <w:r>
                    <w:rPr>
                      <w:rFonts w:hint="eastAsia"/>
                    </w:rPr>
                    <w:t>0.49-0.54</w:t>
                  </w:r>
                </w:p>
              </w:tc>
              <w:tc>
                <w:tcPr>
                  <w:tcW w:w="1559" w:type="dxa"/>
                  <w:vAlign w:val="center"/>
                </w:tcPr>
                <w:p>
                  <w:pPr>
                    <w:jc w:val="center"/>
                    <w:rPr>
                      <w:rFonts w:hint="eastAsia"/>
                    </w:rPr>
                  </w:pPr>
                  <w:r>
                    <w:rPr>
                      <w:rFonts w:hint="eastAsia"/>
                    </w:rPr>
                    <w:t>达标</w:t>
                  </w:r>
                </w:p>
              </w:tc>
            </w:tr>
          </w:tbl>
          <w:p>
            <w:pPr>
              <w:spacing w:line="360" w:lineRule="auto"/>
              <w:jc w:val="left"/>
              <w:rPr>
                <w:rFonts w:hint="eastAsia"/>
              </w:rPr>
            </w:pPr>
            <w:r>
              <w:rPr>
                <w:rFonts w:hint="eastAsia"/>
              </w:rPr>
              <w:t>注：执行标准为《环境空气质量标准》（GB3095-2012）。</w:t>
            </w:r>
          </w:p>
          <w:p>
            <w:pPr>
              <w:spacing w:line="360" w:lineRule="auto"/>
              <w:ind w:firstLine="480" w:firstLineChars="200"/>
              <w:rPr>
                <w:rFonts w:hint="eastAsia"/>
                <w:sz w:val="24"/>
              </w:rPr>
            </w:pPr>
            <w:r>
              <w:rPr>
                <w:rFonts w:hint="eastAsia"/>
                <w:sz w:val="24"/>
              </w:rPr>
              <w:t>从表3-1的数据中可以看出，区域环境空气现状因子均可满足《环境空气质量标准》（GB3095-2012）中二级标准要求，环境空气质量现状良好。</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2、地表水环境质量现状</w:t>
            </w:r>
          </w:p>
          <w:p>
            <w:pPr>
              <w:adjustRightInd w:val="0"/>
              <w:snapToGrid w:val="0"/>
              <w:spacing w:line="360" w:lineRule="auto"/>
              <w:ind w:firstLine="480" w:firstLineChars="200"/>
              <w:rPr>
                <w:sz w:val="24"/>
              </w:rPr>
            </w:pPr>
            <w:r>
              <w:rPr>
                <w:sz w:val="24"/>
              </w:rPr>
              <w:t>区域内排水实行雨污分流，雨水直接排入市政雨水管网，项目内生活污水经化粪池预处理后，再经污水管网进入瑶湖污水处理厂处理达标后排入赣江南支。</w:t>
            </w:r>
          </w:p>
          <w:p>
            <w:pPr>
              <w:pStyle w:val="a3"/>
              <w:snapToGrid w:val="0"/>
              <w:rPr>
                <w:rFonts w:ascii="Times New Roman" w:hAnsi="Times New Roman"/>
              </w:rPr>
            </w:pPr>
            <w:r>
              <w:rPr>
                <w:rFonts w:ascii="Times New Roman" w:hAnsi="Times New Roman"/>
              </w:rPr>
              <w:t>本次评价引用《2015年南昌市环境质量报告书》中南昌市环境监测站赣江南支滁槎段环境例行监测点2015年数据进行评价。</w:t>
            </w:r>
          </w:p>
          <w:p>
            <w:pPr>
              <w:pStyle w:val="a3"/>
              <w:snapToGrid w:val="0"/>
              <w:rPr>
                <w:rFonts w:ascii="Times New Roman" w:hAnsi="Times New Roman"/>
              </w:rPr>
            </w:pPr>
            <w:r>
              <w:rPr>
                <w:rFonts w:ascii="Times New Roman" w:hAnsi="Times New Roman"/>
              </w:rPr>
              <w:t>监测布点：赣江南支滁槎断面（SW1）。</w:t>
            </w:r>
          </w:p>
        </w:tc>
      </w:tr>
    </w:tbl>
    <w:p>
      <w:pPr>
        <w:sectPr>
          <w:headerReference w:type="default" r:id="rId40"/>
          <w:footerReference w:type="even" r:id="rId41"/>
          <w:footerReference w:type="default" r:id="rId42"/>
          <w:pgSz w:w="11906" w:h="16838"/>
          <w:pgMar w:top="1440" w:right="1469" w:bottom="1440" w:left="1797" w:header="851" w:footer="992" w:gutter="0"/>
          <w:pgNumType w:start="13"/>
          <w:cols w:space="708"/>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7"/>
          <w:jc w:val="center"/>
        </w:trPr>
        <w:tc>
          <w:tcPr>
            <w:tcW w:w="8852" w:type="dxa"/>
            <w:tcBorders>
              <w:top w:val="single" w:sz="4" w:space="0" w:color="auto"/>
              <w:left w:val="single" w:sz="4" w:space="0" w:color="auto"/>
              <w:bottom w:val="single" w:sz="4" w:space="0" w:color="auto"/>
              <w:right w:val="single" w:sz="4" w:space="0" w:color="auto"/>
            </w:tcBorders>
          </w:tcPr>
          <w:p>
            <w:pPr>
              <w:pStyle w:val="a3"/>
              <w:snapToGrid w:val="0"/>
              <w:rPr>
                <w:rFonts w:ascii="Times New Roman" w:hAnsi="Times New Roman"/>
              </w:rPr>
            </w:pPr>
            <w:r>
              <w:rPr>
                <w:rFonts w:ascii="Times New Roman" w:hAnsi="Times New Roman"/>
              </w:rPr>
              <w:t>监测项目：pH、BOD</w:t>
            </w:r>
            <w:r>
              <w:rPr>
                <w:rFonts w:ascii="Times New Roman" w:hAnsi="Times New Roman"/>
                <w:vertAlign w:val="subscript"/>
              </w:rPr>
              <w:t>5</w:t>
            </w:r>
            <w:r>
              <w:rPr>
                <w:rFonts w:ascii="Times New Roman" w:hAnsi="Times New Roman"/>
              </w:rPr>
              <w:t>、NH</w:t>
            </w:r>
            <w:r>
              <w:rPr>
                <w:rFonts w:ascii="Times New Roman" w:hAnsi="Times New Roman"/>
                <w:vertAlign w:val="subscript"/>
              </w:rPr>
              <w:t>3</w:t>
            </w:r>
            <w:r>
              <w:rPr>
                <w:rFonts w:ascii="Times New Roman" w:hAnsi="Times New Roman"/>
              </w:rPr>
              <w:t>-N、COD</w:t>
            </w:r>
            <w:r>
              <w:rPr>
                <w:rFonts w:ascii="Times New Roman" w:hAnsi="Times New Roman"/>
                <w:vertAlign w:val="subscript"/>
              </w:rPr>
              <w:t>C</w:t>
            </w:r>
            <w:r>
              <w:rPr>
                <w:rFonts w:ascii="Times New Roman" w:hAnsi="Times New Roman" w:hint="eastAsia"/>
                <w:vertAlign w:val="subscript"/>
              </w:rPr>
              <w:t>r</w:t>
            </w:r>
            <w:r>
              <w:rPr>
                <w:rFonts w:ascii="Times New Roman" w:hAnsi="Times New Roman"/>
              </w:rPr>
              <w:t>、石油类。</w:t>
            </w:r>
          </w:p>
          <w:p>
            <w:pPr>
              <w:pStyle w:val="a3"/>
              <w:snapToGrid w:val="0"/>
              <w:rPr>
                <w:rFonts w:ascii="Times New Roman" w:hAnsi="Times New Roman"/>
              </w:rPr>
            </w:pPr>
            <w:r>
              <w:rPr>
                <w:rFonts w:ascii="Times New Roman" w:hAnsi="Times New Roman"/>
              </w:rPr>
              <w:t>监测结果：地表水监测结果统计见表</w:t>
            </w:r>
            <w:r>
              <w:rPr>
                <w:rFonts w:ascii="Times New Roman" w:hAnsi="Times New Roman" w:hint="eastAsia"/>
              </w:rPr>
              <w:t>3-2</w:t>
            </w:r>
            <w:r>
              <w:rPr>
                <w:rFonts w:ascii="Times New Roman" w:hAnsi="Times New Roman"/>
              </w:rPr>
              <w:t>。</w:t>
            </w:r>
          </w:p>
          <w:p>
            <w:pPr>
              <w:pStyle w:val="BodyTextIndent"/>
              <w:adjustRightInd w:val="0"/>
              <w:snapToGrid w:val="0"/>
              <w:jc w:val="center"/>
              <w:rPr>
                <w:b/>
                <w:color w:val="auto"/>
                <w:sz w:val="21"/>
                <w:szCs w:val="21"/>
                <w:lang w:val="en-US" w:eastAsia="zh-CN"/>
              </w:rPr>
            </w:pPr>
            <w:r>
              <w:rPr>
                <w:b/>
                <w:color w:val="auto"/>
                <w:sz w:val="21"/>
                <w:szCs w:val="21"/>
                <w:lang w:val="en-US" w:eastAsia="zh-CN"/>
              </w:rPr>
              <w:t>表</w:t>
            </w:r>
            <w:r>
              <w:rPr>
                <w:rFonts w:hint="eastAsia"/>
                <w:b/>
                <w:color w:val="auto"/>
                <w:sz w:val="21"/>
                <w:szCs w:val="21"/>
                <w:lang w:val="en-US" w:eastAsia="zh-CN"/>
              </w:rPr>
              <w:t xml:space="preserve">3-2 </w:t>
            </w:r>
            <w:r>
              <w:rPr>
                <w:b/>
                <w:color w:val="auto"/>
                <w:sz w:val="21"/>
                <w:szCs w:val="21"/>
                <w:lang w:val="en-US" w:eastAsia="zh-CN"/>
              </w:rPr>
              <w:t>赣江南支滁槎断面水质现状评价结果表  单位：mg/L，pH无量纲</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35"/>
              <w:gridCol w:w="2109"/>
              <w:gridCol w:w="1870"/>
              <w:gridCol w:w="1870"/>
              <w:gridCol w:w="1872"/>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8"/>
                <w:jc w:val="center"/>
              </w:trPr>
              <w:tc>
                <w:tcPr>
                  <w:tcW w:w="1635"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监测断面</w:t>
                  </w: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污染物</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监测值</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标准值</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评价</w:t>
                  </w:r>
                  <w:r>
                    <w:rPr>
                      <w:rFonts w:hint="eastAsia"/>
                      <w:color w:val="auto"/>
                      <w:sz w:val="21"/>
                      <w:szCs w:val="21"/>
                      <w:lang w:val="en-US" w:eastAsia="zh-CN"/>
                    </w:rPr>
                    <w:t>指数</w:t>
                  </w:r>
                </w:p>
              </w:tc>
            </w:tr>
            <w:tr>
              <w:tblPrEx>
                <w:tblW w:w="9356" w:type="dxa"/>
                <w:jc w:val="center"/>
                <w:tblInd w:w="113" w:type="dxa"/>
                <w:tblLayout w:type="fixed"/>
                <w:tblCellMar>
                  <w:top w:w="0" w:type="dxa"/>
                  <w:left w:w="108" w:type="dxa"/>
                  <w:bottom w:w="0" w:type="dxa"/>
                  <w:right w:w="108" w:type="dxa"/>
                </w:tblCellMar>
                <w:tblLook w:val="0000"/>
              </w:tblPrEx>
              <w:trPr>
                <w:trHeight w:val="260"/>
                <w:jc w:val="center"/>
              </w:trPr>
              <w:tc>
                <w:tcPr>
                  <w:tcW w:w="1635" w:type="dxa"/>
                  <w:vMerge w:val="restart"/>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SW1滁槎断面</w:t>
                  </w: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pH</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7.22</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6—9</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0.11</w:t>
                  </w:r>
                </w:p>
              </w:tc>
            </w:tr>
            <w:tr>
              <w:tblPrEx>
                <w:tblW w:w="9356" w:type="dxa"/>
                <w:jc w:val="center"/>
                <w:tblInd w:w="113" w:type="dxa"/>
                <w:tblLayout w:type="fixed"/>
                <w:tblCellMar>
                  <w:top w:w="0" w:type="dxa"/>
                  <w:left w:w="108" w:type="dxa"/>
                  <w:bottom w:w="0" w:type="dxa"/>
                  <w:right w:w="108" w:type="dxa"/>
                </w:tblCellMar>
                <w:tblLook w:val="0000"/>
              </w:tblPrEx>
              <w:trPr>
                <w:trHeight w:val="260"/>
                <w:jc w:val="center"/>
              </w:trPr>
              <w:tc>
                <w:tcPr>
                  <w:tcW w:w="1635" w:type="dxa"/>
                  <w:vMerge/>
                  <w:vAlign w:val="center"/>
                </w:tcPr>
                <w:p>
                  <w:pPr>
                    <w:pStyle w:val="BodyTextIndent"/>
                    <w:adjustRightInd w:val="0"/>
                    <w:snapToGrid w:val="0"/>
                    <w:jc w:val="center"/>
                    <w:rPr>
                      <w:color w:val="auto"/>
                      <w:sz w:val="21"/>
                      <w:szCs w:val="21"/>
                      <w:lang w:val="en-US" w:eastAsia="zh-CN"/>
                    </w:rPr>
                  </w:pP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COD</w:t>
                  </w:r>
                  <w:r>
                    <w:rPr>
                      <w:color w:val="auto"/>
                      <w:sz w:val="21"/>
                      <w:szCs w:val="21"/>
                      <w:vertAlign w:val="subscript"/>
                      <w:lang w:val="en-US" w:eastAsia="zh-CN"/>
                    </w:rPr>
                    <w:t>C</w:t>
                  </w:r>
                  <w:r>
                    <w:rPr>
                      <w:rFonts w:hint="eastAsia"/>
                      <w:color w:val="auto"/>
                      <w:sz w:val="21"/>
                      <w:szCs w:val="21"/>
                      <w:vertAlign w:val="subscript"/>
                      <w:lang w:val="en-US" w:eastAsia="zh-CN"/>
                    </w:rPr>
                    <w:t>r</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16.2</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30</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0.54</w:t>
                  </w:r>
                </w:p>
              </w:tc>
            </w:tr>
            <w:tr>
              <w:tblPrEx>
                <w:tblW w:w="9356" w:type="dxa"/>
                <w:jc w:val="center"/>
                <w:tblInd w:w="113" w:type="dxa"/>
                <w:tblLayout w:type="fixed"/>
                <w:tblCellMar>
                  <w:top w:w="0" w:type="dxa"/>
                  <w:left w:w="108" w:type="dxa"/>
                  <w:bottom w:w="0" w:type="dxa"/>
                  <w:right w:w="108" w:type="dxa"/>
                </w:tblCellMar>
                <w:tblLook w:val="0000"/>
              </w:tblPrEx>
              <w:trPr>
                <w:trHeight w:val="273"/>
                <w:jc w:val="center"/>
              </w:trPr>
              <w:tc>
                <w:tcPr>
                  <w:tcW w:w="1635" w:type="dxa"/>
                  <w:vMerge/>
                  <w:vAlign w:val="center"/>
                </w:tcPr>
                <w:p>
                  <w:pPr>
                    <w:pStyle w:val="BodyTextIndent"/>
                    <w:adjustRightInd w:val="0"/>
                    <w:snapToGrid w:val="0"/>
                    <w:jc w:val="center"/>
                    <w:rPr>
                      <w:color w:val="auto"/>
                      <w:sz w:val="21"/>
                      <w:szCs w:val="21"/>
                      <w:lang w:val="en-US" w:eastAsia="zh-CN"/>
                    </w:rPr>
                  </w:pP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BOD</w:t>
                  </w:r>
                  <w:r>
                    <w:rPr>
                      <w:color w:val="auto"/>
                      <w:sz w:val="21"/>
                      <w:szCs w:val="21"/>
                      <w:vertAlign w:val="subscript"/>
                      <w:lang w:val="en-US" w:eastAsia="zh-CN"/>
                    </w:rPr>
                    <w:t>5</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2.3</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6</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0.38</w:t>
                  </w:r>
                </w:p>
              </w:tc>
            </w:tr>
            <w:tr>
              <w:tblPrEx>
                <w:tblW w:w="9356" w:type="dxa"/>
                <w:jc w:val="center"/>
                <w:tblInd w:w="113" w:type="dxa"/>
                <w:tblLayout w:type="fixed"/>
                <w:tblCellMar>
                  <w:top w:w="0" w:type="dxa"/>
                  <w:left w:w="108" w:type="dxa"/>
                  <w:bottom w:w="0" w:type="dxa"/>
                  <w:right w:w="108" w:type="dxa"/>
                </w:tblCellMar>
                <w:tblLook w:val="0000"/>
              </w:tblPrEx>
              <w:trPr>
                <w:trHeight w:val="260"/>
                <w:jc w:val="center"/>
              </w:trPr>
              <w:tc>
                <w:tcPr>
                  <w:tcW w:w="1635" w:type="dxa"/>
                  <w:vMerge/>
                  <w:vAlign w:val="center"/>
                </w:tcPr>
                <w:p>
                  <w:pPr>
                    <w:pStyle w:val="BodyTextIndent"/>
                    <w:adjustRightInd w:val="0"/>
                    <w:snapToGrid w:val="0"/>
                    <w:jc w:val="center"/>
                    <w:rPr>
                      <w:color w:val="auto"/>
                      <w:sz w:val="21"/>
                      <w:szCs w:val="21"/>
                      <w:lang w:val="en-US" w:eastAsia="zh-CN"/>
                    </w:rPr>
                  </w:pP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NH</w:t>
                  </w:r>
                  <w:r>
                    <w:rPr>
                      <w:color w:val="auto"/>
                      <w:sz w:val="21"/>
                      <w:szCs w:val="21"/>
                      <w:vertAlign w:val="subscript"/>
                      <w:lang w:val="en-US" w:eastAsia="zh-CN"/>
                    </w:rPr>
                    <w:t>3</w:t>
                  </w:r>
                  <w:r>
                    <w:rPr>
                      <w:color w:val="auto"/>
                      <w:sz w:val="21"/>
                      <w:szCs w:val="21"/>
                      <w:lang w:val="en-US" w:eastAsia="zh-CN"/>
                    </w:rPr>
                    <w:t>-N</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0.543</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1.5</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0.362</w:t>
                  </w:r>
                </w:p>
              </w:tc>
            </w:tr>
            <w:tr>
              <w:tblPrEx>
                <w:tblW w:w="9356" w:type="dxa"/>
                <w:jc w:val="center"/>
                <w:tblInd w:w="113" w:type="dxa"/>
                <w:tblLayout w:type="fixed"/>
                <w:tblCellMar>
                  <w:top w:w="0" w:type="dxa"/>
                  <w:left w:w="108" w:type="dxa"/>
                  <w:bottom w:w="0" w:type="dxa"/>
                  <w:right w:w="108" w:type="dxa"/>
                </w:tblCellMar>
                <w:tblLook w:val="0000"/>
              </w:tblPrEx>
              <w:trPr>
                <w:trHeight w:val="301"/>
                <w:jc w:val="center"/>
              </w:trPr>
              <w:tc>
                <w:tcPr>
                  <w:tcW w:w="1635" w:type="dxa"/>
                  <w:vMerge/>
                  <w:vAlign w:val="center"/>
                </w:tcPr>
                <w:p>
                  <w:pPr>
                    <w:pStyle w:val="BodyTextIndent"/>
                    <w:adjustRightInd w:val="0"/>
                    <w:snapToGrid w:val="0"/>
                    <w:jc w:val="center"/>
                    <w:rPr>
                      <w:color w:val="auto"/>
                      <w:sz w:val="21"/>
                      <w:szCs w:val="21"/>
                      <w:lang w:val="en-US" w:eastAsia="zh-CN"/>
                    </w:rPr>
                  </w:pPr>
                </w:p>
              </w:tc>
              <w:tc>
                <w:tcPr>
                  <w:tcW w:w="2109"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石油类</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未检出</w:t>
                  </w:r>
                </w:p>
              </w:tc>
              <w:tc>
                <w:tcPr>
                  <w:tcW w:w="1870"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0.5</w:t>
                  </w:r>
                </w:p>
              </w:tc>
              <w:tc>
                <w:tcPr>
                  <w:tcW w:w="1872" w:type="dxa"/>
                  <w:vAlign w:val="center"/>
                </w:tcPr>
                <w:p>
                  <w:pPr>
                    <w:pStyle w:val="BodyTextIndent"/>
                    <w:adjustRightInd w:val="0"/>
                    <w:snapToGrid w:val="0"/>
                    <w:ind w:firstLine="0"/>
                    <w:jc w:val="center"/>
                    <w:rPr>
                      <w:color w:val="auto"/>
                      <w:sz w:val="21"/>
                      <w:szCs w:val="21"/>
                      <w:lang w:val="en-US" w:eastAsia="zh-CN"/>
                    </w:rPr>
                  </w:pPr>
                  <w:r>
                    <w:rPr>
                      <w:color w:val="auto"/>
                      <w:sz w:val="21"/>
                      <w:szCs w:val="21"/>
                      <w:lang w:val="en-US" w:eastAsia="zh-CN"/>
                    </w:rPr>
                    <w:t>--</w:t>
                  </w:r>
                </w:p>
              </w:tc>
            </w:tr>
          </w:tbl>
          <w:p>
            <w:pPr>
              <w:pStyle w:val="a3"/>
              <w:snapToGrid w:val="0"/>
              <w:rPr>
                <w:rFonts w:ascii="Times New Roman" w:hAnsi="Times New Roman"/>
              </w:rPr>
            </w:pPr>
            <w:r>
              <w:rPr>
                <w:rFonts w:ascii="Times New Roman" w:hAnsi="Times New Roman" w:hint="eastAsia"/>
                <w:sz w:val="21"/>
                <w:szCs w:val="21"/>
              </w:rPr>
              <w:t>注：</w:t>
            </w:r>
            <w:r>
              <w:rPr>
                <w:rFonts w:ascii="Times New Roman" w:hAnsi="Times New Roman"/>
              </w:rPr>
              <w:t>执行标准为《地表水环境质量标准》GB3838－2002中Ⅳ类标准。</w:t>
            </w:r>
          </w:p>
          <w:p>
            <w:pPr>
              <w:pStyle w:val="a3"/>
              <w:snapToGrid w:val="0"/>
              <w:rPr>
                <w:rFonts w:ascii="Times New Roman" w:hAnsi="Times New Roman"/>
              </w:rPr>
            </w:pPr>
            <w:r>
              <w:rPr>
                <w:rFonts w:ascii="Times New Roman" w:hAnsi="Times New Roman"/>
              </w:rPr>
              <w:t>由表</w:t>
            </w:r>
            <w:r>
              <w:rPr>
                <w:rFonts w:ascii="Times New Roman" w:hAnsi="Times New Roman" w:hint="eastAsia"/>
              </w:rPr>
              <w:t>3-2</w:t>
            </w:r>
            <w:r>
              <w:rPr>
                <w:rFonts w:ascii="Times New Roman" w:hAnsi="Times New Roman"/>
              </w:rPr>
              <w:t>可知，，赣江南支水环境监测因子数据均可达到《地表水环境质量标准》（GB3838-2002）中Ⅳ类标准，地表水环境现状良好。</w:t>
            </w:r>
          </w:p>
          <w:p>
            <w:pPr>
              <w:pStyle w:val="a3"/>
              <w:snapToGrid w:val="0"/>
              <w:rPr>
                <w:rFonts w:ascii="Times New Roman" w:hAnsi="Times New Roman" w:hint="eastAsia"/>
                <w:b/>
              </w:rPr>
            </w:pPr>
            <w:r>
              <w:rPr>
                <w:rFonts w:ascii="Times New Roman" w:hAnsi="Times New Roman" w:hint="eastAsia"/>
                <w:b/>
              </w:rPr>
              <w:t>3、地下水环境质量</w:t>
            </w:r>
          </w:p>
          <w:p>
            <w:pPr>
              <w:pStyle w:val="a3"/>
              <w:snapToGrid w:val="0"/>
              <w:rPr>
                <w:rFonts w:ascii="Times New Roman" w:hAnsi="Times New Roman" w:hint="eastAsia"/>
              </w:rPr>
            </w:pPr>
            <w:r>
              <w:rPr>
                <w:rFonts w:ascii="Times New Roman" w:hAnsi="Times New Roman" w:hint="eastAsia"/>
              </w:rPr>
              <w:t>（1）引用地下水监测结果</w:t>
            </w:r>
          </w:p>
          <w:p>
            <w:pPr>
              <w:pStyle w:val="a3"/>
              <w:snapToGrid w:val="0"/>
              <w:rPr>
                <w:rFonts w:ascii="Times New Roman" w:hAnsi="Times New Roman" w:hint="eastAsia"/>
              </w:rPr>
            </w:pPr>
            <w:r>
              <w:rPr>
                <w:rFonts w:ascii="Times New Roman" w:hAnsi="Times New Roman" w:hint="eastAsia"/>
              </w:rPr>
              <w:t>为了解项目所在区域地下水环境现状，本次引用江西东海蓝玉光电科技有限公司《年产200万片大尺寸蓝宝石衬底晶片项目环境影响报告书》中的地下水监测结果。监测报告为江西省核工业地质局监测研究中心的环监字2016-047号报告，监测时间为2016年1月26日；另外，为了更好的反应地下水水质现状情况，本项目对厂区内点位补充监测地下水八大离子，监测时间为2017年1月4日及1月13日，具体监测结果见下表3-3。</w:t>
            </w:r>
          </w:p>
          <w:p>
            <w:pPr>
              <w:pStyle w:val="a3"/>
              <w:snapToGrid w:val="0"/>
              <w:jc w:val="center"/>
              <w:rPr>
                <w:rFonts w:ascii="Times New Roman" w:hAnsi="Times New Roman" w:hint="eastAsia"/>
                <w:b/>
                <w:sz w:val="21"/>
              </w:rPr>
            </w:pPr>
            <w:r>
              <w:rPr>
                <w:rFonts w:ascii="Times New Roman" w:hAnsi="Times New Roman" w:hint="eastAsia"/>
                <w:b/>
                <w:sz w:val="21"/>
              </w:rPr>
              <w:t>表3-3 地下水水质现状监测结果统计表（单位：mg/L、pH除外）</w:t>
            </w:r>
          </w:p>
          <w:tbl>
            <w:tblPr>
              <w:tblStyle w:val="TableNormal"/>
              <w:tblW w:w="9356"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1210"/>
              <w:gridCol w:w="850"/>
              <w:gridCol w:w="851"/>
              <w:gridCol w:w="829"/>
              <w:gridCol w:w="936"/>
              <w:gridCol w:w="936"/>
              <w:gridCol w:w="843"/>
              <w:gridCol w:w="992"/>
              <w:gridCol w:w="992"/>
              <w:gridCol w:w="917"/>
            </w:tblGrid>
            <w:tr>
              <w:tblPrEx>
                <w:tblW w:w="9356"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jc w:val="center"/>
              </w:trPr>
              <w:tc>
                <w:tcPr>
                  <w:tcW w:w="1210" w:type="dxa"/>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评价因子</w:t>
                  </w:r>
                </w:p>
              </w:tc>
              <w:tc>
                <w:tcPr>
                  <w:tcW w:w="3466" w:type="dxa"/>
                  <w:gridSpan w:val="4"/>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监测结果</w:t>
                  </w:r>
                </w:p>
              </w:tc>
              <w:tc>
                <w:tcPr>
                  <w:tcW w:w="3763" w:type="dxa"/>
                  <w:gridSpan w:val="4"/>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标准指数</w:t>
                  </w:r>
                </w:p>
              </w:tc>
              <w:tc>
                <w:tcPr>
                  <w:tcW w:w="917" w:type="dxa"/>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标准值</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Merge/>
                  <w:vAlign w:val="center"/>
                </w:tcPr>
                <w:p>
                  <w:pPr>
                    <w:pStyle w:val="a3"/>
                    <w:snapToGrid w:val="0"/>
                    <w:spacing w:line="240" w:lineRule="auto"/>
                    <w:ind w:firstLine="0"/>
                    <w:jc w:val="center"/>
                    <w:rPr>
                      <w:rFonts w:ascii="Times New Roman" w:hAnsi="Times New Roman" w:hint="eastAsia"/>
                      <w:sz w:val="21"/>
                      <w:szCs w:val="21"/>
                    </w:rPr>
                  </w:pP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古塘黄村GW1</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下范村GW2</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钱岗村GW3</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欧菲光厂区内GW4</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古塘黄村GW1</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下范村GW2</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钱岗村GW3</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欧菲光厂区内GW4</w:t>
                  </w:r>
                </w:p>
              </w:tc>
              <w:tc>
                <w:tcPr>
                  <w:tcW w:w="917" w:type="dxa"/>
                  <w:vMerge/>
                  <w:vAlign w:val="center"/>
                </w:tcPr>
                <w:p>
                  <w:pPr>
                    <w:pStyle w:val="a3"/>
                    <w:snapToGrid w:val="0"/>
                    <w:spacing w:line="240" w:lineRule="auto"/>
                    <w:ind w:firstLine="0"/>
                    <w:jc w:val="center"/>
                    <w:rPr>
                      <w:rFonts w:ascii="Times New Roman" w:hAnsi="Times New Roman" w:hint="eastAsia"/>
                      <w:sz w:val="21"/>
                      <w:szCs w:val="21"/>
                    </w:rPr>
                  </w:pP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pH值</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6.61</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6.65</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6.72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6.86</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0.78</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0.7</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0.56</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0.81</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6.5~8.5</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总硬度</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49.00</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34.71</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53.09</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0.11</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0.08</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0.12</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r>
                    <w:rPr>
                      <w:rFonts w:ascii="Times New Roman" w:hAnsi="Times New Roman" w:hint="eastAsia"/>
                      <w:sz w:val="21"/>
                      <w:szCs w:val="21"/>
                    </w:rPr>
                    <w:t>450</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高锰酸盐指数</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0.5L</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0.5L</w:t>
                  </w:r>
                </w:p>
                <w:p>
                  <w:pPr>
                    <w:pStyle w:val="a3"/>
                    <w:snapToGrid w:val="0"/>
                    <w:spacing w:line="240" w:lineRule="auto"/>
                    <w:ind w:firstLine="0"/>
                    <w:jc w:val="center"/>
                    <w:rPr>
                      <w:rFonts w:ascii="Times New Roman" w:hAnsi="Times New Roman" w:hint="eastAsia"/>
                      <w:sz w:val="21"/>
                      <w:szCs w:val="21"/>
                      <w:u w:val="single"/>
                    </w:rPr>
                  </w:pPr>
                  <w:r>
                    <w:rPr>
                      <w:rFonts w:ascii="Times New Roman" w:hAnsi="Times New Roman" w:hint="eastAsia"/>
                      <w:sz w:val="21"/>
                      <w:szCs w:val="21"/>
                      <w:u w:val="single"/>
                    </w:rPr>
                    <w:t>1.45</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0.5L</w:t>
                  </w:r>
                </w:p>
                <w:p>
                  <w:pPr>
                    <w:pStyle w:val="a3"/>
                    <w:snapToGrid w:val="0"/>
                    <w:spacing w:line="240" w:lineRule="auto"/>
                    <w:ind w:firstLine="0"/>
                    <w:jc w:val="center"/>
                    <w:rPr>
                      <w:rFonts w:ascii="Times New Roman" w:hAnsi="Times New Roman" w:hint="eastAsia"/>
                      <w:sz w:val="21"/>
                      <w:szCs w:val="21"/>
                      <w:u w:val="single"/>
                    </w:rPr>
                  </w:pPr>
                  <w:r>
                    <w:rPr>
                      <w:rFonts w:ascii="Times New Roman" w:hAnsi="Times New Roman" w:hint="eastAsia"/>
                      <w:sz w:val="21"/>
                      <w:szCs w:val="21"/>
                      <w:u w:val="single"/>
                    </w:rPr>
                    <w:t>2.01</w:t>
                  </w:r>
                </w:p>
              </w:tc>
              <w:tc>
                <w:tcPr>
                  <w:tcW w:w="936" w:type="dxa"/>
                  <w:vAlign w:val="center"/>
                </w:tcPr>
                <w:p>
                  <w:pPr>
                    <w:pStyle w:val="a3"/>
                    <w:snapToGrid w:val="0"/>
                    <w:spacing w:line="240" w:lineRule="auto"/>
                    <w:ind w:firstLine="0"/>
                    <w:jc w:val="center"/>
                    <w:rPr>
                      <w:rFonts w:ascii="Times New Roman" w:hAnsi="Times New Roman" w:hint="eastAsia"/>
                      <w:i/>
                      <w:sz w:val="21"/>
                      <w:szCs w:val="21"/>
                      <w:u w:val="single"/>
                    </w:rPr>
                  </w:pPr>
                  <w:r>
                    <w:rPr>
                      <w:rFonts w:ascii="Times New Roman" w:hAnsi="Times New Roman" w:hint="eastAsia"/>
                      <w:i/>
                      <w:sz w:val="21"/>
                      <w:szCs w:val="21"/>
                      <w:u w:val="single"/>
                    </w:rPr>
                    <w:t>2.38</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0.17</w:t>
                  </w:r>
                </w:p>
                <w:p>
                  <w:pPr>
                    <w:pStyle w:val="a3"/>
                    <w:snapToGrid w:val="0"/>
                    <w:spacing w:line="240" w:lineRule="auto"/>
                    <w:ind w:firstLine="0"/>
                    <w:jc w:val="center"/>
                    <w:rPr>
                      <w:rFonts w:ascii="Times New Roman" w:hAnsi="Times New Roman" w:hint="eastAsia"/>
                      <w:sz w:val="21"/>
                      <w:szCs w:val="21"/>
                      <w:u w:val="single"/>
                    </w:rPr>
                  </w:pPr>
                  <w:r>
                    <w:rPr>
                      <w:rFonts w:ascii="Times New Roman" w:hAnsi="Times New Roman" w:hint="eastAsia"/>
                      <w:sz w:val="21"/>
                      <w:szCs w:val="21"/>
                      <w:u w:val="single"/>
                    </w:rPr>
                    <w:t>0.48</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0.17</w:t>
                  </w:r>
                </w:p>
                <w:p>
                  <w:pPr>
                    <w:pStyle w:val="a3"/>
                    <w:snapToGrid w:val="0"/>
                    <w:spacing w:line="240" w:lineRule="auto"/>
                    <w:ind w:firstLine="0"/>
                    <w:jc w:val="center"/>
                    <w:rPr>
                      <w:rFonts w:ascii="Times New Roman" w:hAnsi="Times New Roman" w:hint="eastAsia"/>
                      <w:sz w:val="21"/>
                      <w:szCs w:val="21"/>
                      <w:u w:val="single"/>
                    </w:rPr>
                  </w:pPr>
                  <w:r>
                    <w:rPr>
                      <w:rFonts w:ascii="Times New Roman" w:hAnsi="Times New Roman" w:hint="eastAsia"/>
                      <w:sz w:val="21"/>
                      <w:szCs w:val="21"/>
                      <w:u w:val="single"/>
                    </w:rPr>
                    <w:t>0.67</w:t>
                  </w:r>
                </w:p>
              </w:tc>
              <w:tc>
                <w:tcPr>
                  <w:tcW w:w="992" w:type="dxa"/>
                  <w:vAlign w:val="center"/>
                </w:tcPr>
                <w:p>
                  <w:pPr>
                    <w:pStyle w:val="a3"/>
                    <w:snapToGrid w:val="0"/>
                    <w:spacing w:line="240" w:lineRule="auto"/>
                    <w:ind w:firstLine="0"/>
                    <w:jc w:val="center"/>
                    <w:rPr>
                      <w:rFonts w:ascii="Times New Roman" w:hAnsi="Times New Roman" w:hint="eastAsia"/>
                      <w:i/>
                      <w:sz w:val="21"/>
                      <w:szCs w:val="21"/>
                      <w:u w:val="single"/>
                    </w:rPr>
                  </w:pPr>
                  <w:r>
                    <w:rPr>
                      <w:rFonts w:ascii="Times New Roman" w:hAnsi="Times New Roman" w:hint="eastAsia"/>
                      <w:i/>
                      <w:sz w:val="21"/>
                      <w:szCs w:val="21"/>
                      <w:u w:val="single"/>
                    </w:rPr>
                    <w:t>0.79</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r>
                    <w:rPr>
                      <w:rFonts w:ascii="Times New Roman" w:hAnsi="Times New Roman" w:hint="eastAsia"/>
                      <w:sz w:val="21"/>
                      <w:szCs w:val="21"/>
                    </w:rPr>
                    <w:t>3.0</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氨氮</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0.05L</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0.190</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0.153</w:t>
                  </w:r>
                </w:p>
              </w:tc>
              <w:tc>
                <w:tcPr>
                  <w:tcW w:w="936" w:type="dxa"/>
                  <w:vAlign w:val="center"/>
                </w:tcPr>
                <w:p>
                  <w:pPr>
                    <w:pStyle w:val="a3"/>
                    <w:snapToGrid w:val="0"/>
                    <w:spacing w:line="240" w:lineRule="auto"/>
                    <w:ind w:firstLine="0"/>
                    <w:jc w:val="center"/>
                    <w:rPr>
                      <w:rFonts w:ascii="Times New Roman" w:hAnsi="Times New Roman" w:hint="eastAsia"/>
                      <w:i/>
                      <w:sz w:val="21"/>
                      <w:szCs w:val="21"/>
                      <w:u w:val="single"/>
                    </w:rPr>
                  </w:pPr>
                  <w:r>
                    <w:rPr>
                      <w:rFonts w:ascii="Times New Roman" w:hAnsi="Times New Roman" w:hint="eastAsia"/>
                      <w:i/>
                      <w:sz w:val="21"/>
                      <w:szCs w:val="21"/>
                      <w:u w:val="single"/>
                    </w:rPr>
                    <w:t>0.117</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0.95</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0.77</w:t>
                  </w:r>
                </w:p>
              </w:tc>
              <w:tc>
                <w:tcPr>
                  <w:tcW w:w="992" w:type="dxa"/>
                  <w:vAlign w:val="center"/>
                </w:tcPr>
                <w:p>
                  <w:pPr>
                    <w:pStyle w:val="a3"/>
                    <w:snapToGrid w:val="0"/>
                    <w:spacing w:line="240" w:lineRule="auto"/>
                    <w:ind w:firstLine="0"/>
                    <w:jc w:val="center"/>
                    <w:rPr>
                      <w:rFonts w:ascii="Times New Roman" w:hAnsi="Times New Roman" w:hint="eastAsia"/>
                      <w:i/>
                      <w:sz w:val="21"/>
                      <w:szCs w:val="21"/>
                      <w:u w:val="single"/>
                    </w:rPr>
                  </w:pPr>
                  <w:r>
                    <w:rPr>
                      <w:rFonts w:ascii="Times New Roman" w:hAnsi="Times New Roman" w:hint="eastAsia"/>
                      <w:i/>
                      <w:sz w:val="21"/>
                      <w:szCs w:val="21"/>
                      <w:u w:val="single"/>
                    </w:rPr>
                    <w:t>0.585</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r>
                    <w:rPr>
                      <w:rFonts w:ascii="Times New Roman" w:hAnsi="Times New Roman" w:hint="eastAsia"/>
                      <w:sz w:val="21"/>
                      <w:szCs w:val="21"/>
                    </w:rPr>
                    <w:t>0.2</w:t>
                  </w:r>
                </w:p>
              </w:tc>
            </w:tr>
            <w:tr>
              <w:tblPrEx>
                <w:tblW w:w="9356" w:type="dxa"/>
                <w:jc w:val="center"/>
                <w:tblInd w:w="62" w:type="dxa"/>
                <w:tblLayout w:type="fixed"/>
                <w:tblCellMar>
                  <w:top w:w="0" w:type="dxa"/>
                  <w:left w:w="57" w:type="dxa"/>
                  <w:bottom w:w="0" w:type="dxa"/>
                  <w:right w:w="57" w:type="dxa"/>
                </w:tblCellMar>
                <w:tblLook w:val="0000"/>
              </w:tblPrEx>
              <w:trPr>
                <w:trHeight w:val="367"/>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氯化物</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2.34</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19.14</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11.70</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0.01</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0.08</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0.05</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0.005</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r>
                    <w:rPr>
                      <w:rFonts w:ascii="Times New Roman" w:hAnsi="Times New Roman" w:hint="eastAsia"/>
                      <w:sz w:val="21"/>
                      <w:szCs w:val="21"/>
                    </w:rPr>
                    <w:t>250</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硫酸盐</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5.67</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25.69</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13.65</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6.25</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0.02</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0.10</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0.05</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0.025</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r>
                    <w:rPr>
                      <w:rFonts w:ascii="Times New Roman" w:hAnsi="Times New Roman" w:hint="eastAsia"/>
                      <w:sz w:val="21"/>
                      <w:szCs w:val="21"/>
                    </w:rPr>
                    <w:t>250</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钾离子</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1.29</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4.75</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2.43</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1.73</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钠离子</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11.92</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23.78</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13.00</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钙离子</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5.12</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44.31</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13.22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4.82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镁离子</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2.17</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11.74</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4.69</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0.912</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碳酸根</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r>
              <w:tblPrEx>
                <w:tblW w:w="9356" w:type="dxa"/>
                <w:jc w:val="center"/>
                <w:tblInd w:w="62" w:type="dxa"/>
                <w:tblLayout w:type="fixed"/>
                <w:tblCellMar>
                  <w:top w:w="0" w:type="dxa"/>
                  <w:left w:w="57" w:type="dxa"/>
                  <w:bottom w:w="0" w:type="dxa"/>
                  <w:right w:w="57" w:type="dxa"/>
                </w:tblCellMar>
                <w:tblLook w:val="0000"/>
              </w:tblPrEx>
              <w:trPr>
                <w:jc w:val="center"/>
              </w:trPr>
              <w:tc>
                <w:tcPr>
                  <w:tcW w:w="121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碳酸氢根</w:t>
                  </w:r>
                </w:p>
              </w:tc>
              <w:tc>
                <w:tcPr>
                  <w:tcW w:w="850"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44.91</w:t>
                  </w:r>
                </w:p>
              </w:tc>
              <w:tc>
                <w:tcPr>
                  <w:tcW w:w="85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147.2</w:t>
                  </w:r>
                </w:p>
              </w:tc>
              <w:tc>
                <w:tcPr>
                  <w:tcW w:w="82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68.46</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26.00</w:t>
                  </w:r>
                </w:p>
              </w:tc>
              <w:tc>
                <w:tcPr>
                  <w:tcW w:w="936"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843"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92"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c>
                <w:tcPr>
                  <w:tcW w:w="91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w:t>
                  </w:r>
                </w:p>
              </w:tc>
            </w:tr>
          </w:tbl>
          <w:p>
            <w:pPr>
              <w:pStyle w:val="a3"/>
              <w:snapToGrid w:val="0"/>
              <w:spacing w:after="0"/>
              <w:rPr>
                <w:rFonts w:ascii="Times New Roman" w:hAnsi="Times New Roman" w:hint="eastAsia"/>
                <w:sz w:val="21"/>
                <w:szCs w:val="21"/>
              </w:rPr>
            </w:pPr>
            <w:r>
              <w:rPr>
                <w:rFonts w:ascii="Times New Roman" w:hAnsi="Times New Roman" w:hint="eastAsia"/>
                <w:sz w:val="21"/>
                <w:szCs w:val="21"/>
              </w:rPr>
              <w:t>备注：（</w:t>
            </w:r>
            <w:r>
              <w:rPr>
                <w:rFonts w:ascii="Times New Roman" w:hAnsi="Times New Roman" w:hint="eastAsia"/>
                <w:sz w:val="21"/>
                <w:szCs w:val="21"/>
                <w:u w:val="single"/>
              </w:rPr>
              <w:t>*</w:t>
            </w:r>
          </w:p>
        </w:tc>
      </w:tr>
    </w:tbl>
    <w:p>
      <w:pPr>
        <w:sectPr>
          <w:headerReference w:type="default" r:id="rId43"/>
          <w:footerReference w:type="even" r:id="rId44"/>
          <w:footerReference w:type="default" r:id="rId45"/>
          <w:type w:val="nextPage"/>
          <w:pgSz w:w="11906" w:h="16838"/>
          <w:pgMar w:top="1440" w:right="1469" w:bottom="1440" w:left="1797" w:header="851" w:footer="992" w:gutter="0"/>
          <w:pgNumType w:start="14"/>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7"/>
          <w:jc w:val="center"/>
        </w:trPr>
        <w:tc>
          <w:tcPr>
            <w:tcW w:w="8852" w:type="dxa"/>
            <w:tcBorders>
              <w:top w:val="single" w:sz="4" w:space="0" w:color="auto"/>
              <w:left w:val="single" w:sz="4" w:space="0" w:color="auto"/>
              <w:bottom w:val="single" w:sz="4" w:space="0" w:color="auto"/>
              <w:right w:val="single" w:sz="4" w:space="0" w:color="auto"/>
            </w:tcBorders>
          </w:tcPr>
          <w:p>
            <w:pPr>
              <w:pStyle w:val="a3"/>
              <w:snapToGrid w:val="0"/>
              <w:spacing w:before="0"/>
              <w:rPr>
                <w:rFonts w:ascii="Times New Roman" w:hAnsi="Times New Roman" w:hint="eastAsia"/>
                <w:sz w:val="21"/>
                <w:szCs w:val="21"/>
              </w:rPr>
            </w:pPr>
            <w:r>
              <w:rPr>
                <w:rFonts w:ascii="Times New Roman" w:hAnsi="Times New Roman" w:hint="eastAsia"/>
                <w:sz w:val="21"/>
                <w:szCs w:val="21"/>
              </w:rPr>
              <w:t>）系引用2016年9月6日南昌市新建区环境保护监测站对《南昌欧菲生物识别技术有限公司年产12000万片指纹识别模组技改项目现状监测》地下水水质的现状监测结果，各监测点位高锰酸盐指数较当年1月份偏高，但均未超标。监测报告为新环监第（2016）HP-012。</w:t>
            </w:r>
          </w:p>
          <w:p>
            <w:pPr>
              <w:pStyle w:val="a3"/>
              <w:snapToGrid w:val="0"/>
              <w:rPr>
                <w:rFonts w:ascii="Times New Roman" w:hAnsi="Times New Roman" w:hint="eastAsia"/>
              </w:rPr>
            </w:pPr>
            <w:r>
              <w:rPr>
                <w:rFonts w:ascii="Times New Roman" w:hAnsi="Times New Roman" w:hint="eastAsia"/>
              </w:rPr>
              <w:t>由表3-3可知，区域地下水污染物标准指数均不大于1，项目所在区域地下水环境质量满足《地下水质量标准》（GB/T14848-93）中III类标准。</w:t>
            </w:r>
          </w:p>
          <w:p>
            <w:pPr>
              <w:pStyle w:val="a3"/>
              <w:snapToGrid w:val="0"/>
              <w:rPr>
                <w:rFonts w:ascii="Times New Roman" w:hAnsi="Times New Roman" w:hint="eastAsia"/>
              </w:rPr>
            </w:pPr>
            <w:r>
              <w:rPr>
                <w:rFonts w:ascii="Times New Roman" w:hAnsi="Times New Roman" w:hint="eastAsia"/>
              </w:rPr>
              <w:t>（2）地下水化学类型</w:t>
            </w:r>
          </w:p>
          <w:p>
            <w:pPr>
              <w:pStyle w:val="a3"/>
              <w:snapToGrid w:val="0"/>
              <w:rPr>
                <w:rFonts w:ascii="Times New Roman" w:hAnsi="Times New Roman" w:hint="eastAsia"/>
              </w:rPr>
            </w:pPr>
            <w:r>
              <w:rPr>
                <w:rFonts w:ascii="Times New Roman" w:hAnsi="Times New Roman" w:hint="eastAsia"/>
              </w:rPr>
              <w:t>本项目引用江西省勘察设计研究院在2016年8月编制《江西东海蓝玉光电科技有限公司年产200万片大尺寸蓝宝石衬底晶片项目地下水专题报告》中关于地下水化学成分类型分析表的数据，该项目位于本项目东北侧980.2m处,评价采用舒卡列夫分类方法对地下水中阴、阳离子分别计算毫克当量百分比，并按照地下水中阴阳离子含量＞25meq%的顺序排列确定地下水化学成分类型。各监测点阴、阳离子毫克当量百分比及化学成分类型确定结果见下表3-4。</w:t>
            </w:r>
          </w:p>
          <w:p>
            <w:pPr>
              <w:pStyle w:val="a3"/>
              <w:snapToGrid w:val="0"/>
              <w:jc w:val="center"/>
              <w:rPr>
                <w:rFonts w:ascii="Times New Roman" w:hAnsi="Times New Roman" w:hint="eastAsia"/>
                <w:b/>
                <w:sz w:val="21"/>
                <w:szCs w:val="21"/>
              </w:rPr>
            </w:pPr>
            <w:r>
              <w:rPr>
                <w:rFonts w:ascii="Times New Roman" w:hAnsi="Times New Roman" w:hint="eastAsia"/>
                <w:b/>
                <w:sz w:val="21"/>
                <w:szCs w:val="21"/>
              </w:rPr>
              <w:t>表3-4 地下水化学成分类型分析表</w:t>
            </w:r>
          </w:p>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4"/>
              <w:gridCol w:w="284"/>
              <w:gridCol w:w="567"/>
              <w:gridCol w:w="142"/>
              <w:gridCol w:w="1171"/>
              <w:gridCol w:w="813"/>
              <w:gridCol w:w="747"/>
              <w:gridCol w:w="812"/>
              <w:gridCol w:w="748"/>
              <w:gridCol w:w="1237"/>
              <w:gridCol w:w="322"/>
              <w:gridCol w:w="1559"/>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356" w:type="dxa"/>
                  <w:gridSpan w:val="12"/>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离子浓度（mg/L）</w:t>
                  </w:r>
                </w:p>
              </w:tc>
            </w:tr>
            <w:tr>
              <w:tblPrEx>
                <w:tblW w:w="9356" w:type="dxa"/>
                <w:tblInd w:w="113" w:type="dxa"/>
                <w:tblLayout w:type="fixed"/>
                <w:tblCellMar>
                  <w:top w:w="0" w:type="dxa"/>
                  <w:left w:w="108" w:type="dxa"/>
                  <w:bottom w:w="0" w:type="dxa"/>
                  <w:right w:w="108" w:type="dxa"/>
                </w:tblCellMar>
                <w:tblLook w:val="0000"/>
              </w:tblPrEx>
              <w:tc>
                <w:tcPr>
                  <w:tcW w:w="3118" w:type="dxa"/>
                  <w:gridSpan w:val="5"/>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监测点位</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GW1</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GW2</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GW3</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GW4</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阳离子</w:t>
                  </w:r>
                </w:p>
              </w:tc>
              <w:tc>
                <w:tcPr>
                  <w:tcW w:w="1880"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K</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1.29</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4.75</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2.43</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1.73</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Na</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11.92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23.78</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11.2</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Ca</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5.12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44.31</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13.22</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4.82</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Mg</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2.17</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11.74</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4.69</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0.912</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阴离子</w:t>
                  </w:r>
                </w:p>
              </w:tc>
              <w:tc>
                <w:tcPr>
                  <w:tcW w:w="1880"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CO</w:t>
                  </w:r>
                  <w:r>
                    <w:rPr>
                      <w:rFonts w:ascii="Times New Roman" w:hAnsi="Times New Roman" w:hint="eastAsia"/>
                      <w:sz w:val="21"/>
                      <w:szCs w:val="21"/>
                      <w:vertAlign w:val="subscript"/>
                    </w:rPr>
                    <w:t>3</w:t>
                  </w:r>
                  <w:r>
                    <w:rPr>
                      <w:rFonts w:ascii="Times New Roman" w:hAnsi="Times New Roman" w:hint="eastAsia"/>
                      <w:sz w:val="21"/>
                      <w:szCs w:val="21"/>
                      <w:vertAlign w:val="superscript"/>
                    </w:rPr>
                    <w:t>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未检出</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44.91</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147.2</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68.46</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26</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Cl</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2.34</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19.14</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11.7</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1.32</w:t>
                  </w:r>
                </w:p>
              </w:tc>
            </w:tr>
            <w:tr>
              <w:tblPrEx>
                <w:tblW w:w="9356" w:type="dxa"/>
                <w:tblInd w:w="113" w:type="dxa"/>
                <w:tblLayout w:type="fixed"/>
                <w:tblCellMar>
                  <w:top w:w="0" w:type="dxa"/>
                  <w:left w:w="108" w:type="dxa"/>
                  <w:bottom w:w="0" w:type="dxa"/>
                  <w:right w:w="108" w:type="dxa"/>
                </w:tblCellMar>
                <w:tblLook w:val="0000"/>
              </w:tblPrEx>
              <w:tc>
                <w:tcPr>
                  <w:tcW w:w="1238" w:type="dxa"/>
                  <w:gridSpan w:val="2"/>
                  <w:vMerge/>
                  <w:vAlign w:val="center"/>
                </w:tcPr>
                <w:p>
                  <w:pPr>
                    <w:pStyle w:val="a3"/>
                    <w:snapToGrid w:val="0"/>
                    <w:spacing w:line="240" w:lineRule="auto"/>
                    <w:ind w:firstLine="0"/>
                    <w:jc w:val="center"/>
                    <w:rPr>
                      <w:rFonts w:ascii="Times New Roman" w:hAnsi="Times New Roman" w:hint="eastAsia"/>
                      <w:sz w:val="21"/>
                      <w:szCs w:val="21"/>
                    </w:rPr>
                  </w:pPr>
                </w:p>
              </w:tc>
              <w:tc>
                <w:tcPr>
                  <w:tcW w:w="1880"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SO</w:t>
                  </w:r>
                  <w:r>
                    <w:rPr>
                      <w:rFonts w:ascii="Times New Roman" w:hAnsi="Times New Roman" w:hint="eastAsia"/>
                      <w:sz w:val="21"/>
                      <w:szCs w:val="21"/>
                      <w:vertAlign w:val="subscript"/>
                    </w:rPr>
                    <w:t>4</w:t>
                  </w:r>
                  <w:r>
                    <w:rPr>
                      <w:rFonts w:ascii="Times New Roman" w:hAnsi="Times New Roman" w:hint="eastAsia"/>
                      <w:sz w:val="21"/>
                      <w:szCs w:val="21"/>
                      <w:vertAlign w:val="superscript"/>
                    </w:rPr>
                    <w:t>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5.67</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25.69</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13.65</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6.25</w:t>
                  </w:r>
                </w:p>
              </w:tc>
            </w:tr>
            <w:tr>
              <w:tblPrEx>
                <w:tblW w:w="9356" w:type="dxa"/>
                <w:tblInd w:w="113" w:type="dxa"/>
                <w:tblLayout w:type="fixed"/>
                <w:tblCellMar>
                  <w:top w:w="0" w:type="dxa"/>
                  <w:left w:w="108" w:type="dxa"/>
                  <w:bottom w:w="0" w:type="dxa"/>
                  <w:right w:w="108" w:type="dxa"/>
                </w:tblCellMar>
                <w:tblLook w:val="0000"/>
              </w:tblPrEx>
              <w:tc>
                <w:tcPr>
                  <w:tcW w:w="9356" w:type="dxa"/>
                  <w:gridSpan w:val="1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离子毫克当量（meq/L）</w:t>
                  </w:r>
                </w:p>
              </w:tc>
            </w:tr>
            <w:tr>
              <w:tblPrEx>
                <w:tblW w:w="9356" w:type="dxa"/>
                <w:tblInd w:w="113" w:type="dxa"/>
                <w:tblLayout w:type="fixed"/>
                <w:tblCellMar>
                  <w:top w:w="0" w:type="dxa"/>
                  <w:left w:w="108" w:type="dxa"/>
                  <w:bottom w:w="0" w:type="dxa"/>
                  <w:right w:w="108" w:type="dxa"/>
                </w:tblCellMar>
                <w:tblLook w:val="0000"/>
              </w:tblPrEx>
              <w:tc>
                <w:tcPr>
                  <w:tcW w:w="3118" w:type="dxa"/>
                  <w:gridSpan w:val="5"/>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监测点位</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GW1</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GW2</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GW3</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GW4</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阳离子</w:t>
                  </w:r>
                </w:p>
              </w:tc>
              <w:tc>
                <w:tcPr>
                  <w:tcW w:w="1313"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K</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0.03</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0.12</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0.06</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0.04</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Na</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1.03</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0.57</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0.49</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Ca</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0.26</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2.22</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0.66</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0.24</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Mg</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0.18</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0.98</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0.39</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0.08</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hint="eastAsia"/>
                      <w:sz w:val="21"/>
                      <w:szCs w:val="21"/>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0.99</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4.35</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1.68</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0.85</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阴离子</w:t>
                  </w: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CO</w:t>
                  </w:r>
                  <w:r>
                    <w:rPr>
                      <w:rFonts w:ascii="Times New Roman" w:hAnsi="Times New Roman" w:hint="eastAsia"/>
                      <w:sz w:val="21"/>
                      <w:szCs w:val="21"/>
                      <w:vertAlign w:val="subscript"/>
                    </w:rPr>
                    <w:t>3</w:t>
                  </w:r>
                  <w:r>
                    <w:rPr>
                      <w:rFonts w:ascii="Times New Roman" w:hAnsi="Times New Roman" w:hint="eastAsia"/>
                      <w:sz w:val="21"/>
                      <w:szCs w:val="21"/>
                      <w:vertAlign w:val="superscript"/>
                    </w:rPr>
                    <w:t>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0.17</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0.74</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2.41</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1.12</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0.43</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Cl</w:t>
                  </w:r>
                  <w:r>
                    <w:rPr>
                      <w:rFonts w:ascii="Times New Roman" w:hAnsi="Times New Roman" w:hint="eastAsia"/>
                      <w:sz w:val="21"/>
                      <w:szCs w:val="21"/>
                      <w:vertAlign w:val="superscript"/>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0.07</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0.54</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0.33</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0.04</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SO</w:t>
                  </w:r>
                  <w:r>
                    <w:rPr>
                      <w:rFonts w:ascii="Times New Roman" w:hAnsi="Times New Roman" w:hint="eastAsia"/>
                      <w:sz w:val="21"/>
                      <w:szCs w:val="21"/>
                      <w:vertAlign w:val="subscript"/>
                    </w:rPr>
                    <w:t>4</w:t>
                  </w:r>
                  <w:r>
                    <w:rPr>
                      <w:rFonts w:ascii="Times New Roman" w:hAnsi="Times New Roman" w:hint="eastAsia"/>
                      <w:sz w:val="21"/>
                      <w:szCs w:val="21"/>
                      <w:vertAlign w:val="superscript"/>
                    </w:rPr>
                    <w:t>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0.54</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0.28</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0.13</w:t>
                  </w:r>
                </w:p>
              </w:tc>
            </w:tr>
            <w:tr>
              <w:tblPrEx>
                <w:tblW w:w="9356" w:type="dxa"/>
                <w:tblInd w:w="113" w:type="dxa"/>
                <w:tblLayout w:type="fixed"/>
                <w:tblCellMar>
                  <w:top w:w="0" w:type="dxa"/>
                  <w:left w:w="108" w:type="dxa"/>
                  <w:bottom w:w="0" w:type="dxa"/>
                  <w:right w:w="108" w:type="dxa"/>
                </w:tblCellMar>
                <w:tblLook w:val="0000"/>
              </w:tblPrEx>
              <w:tc>
                <w:tcPr>
                  <w:tcW w:w="1805" w:type="dxa"/>
                  <w:gridSpan w:val="3"/>
                  <w:vMerge/>
                  <w:vAlign w:val="center"/>
                </w:tcPr>
                <w:p>
                  <w:pPr>
                    <w:pStyle w:val="a3"/>
                    <w:snapToGrid w:val="0"/>
                    <w:spacing w:line="240" w:lineRule="auto"/>
                    <w:ind w:firstLine="0"/>
                    <w:jc w:val="center"/>
                    <w:rPr>
                      <w:rFonts w:ascii="Times New Roman" w:hAnsi="Times New Roman" w:hint="eastAsia"/>
                      <w:sz w:val="21"/>
                      <w:szCs w:val="21"/>
                    </w:rPr>
                  </w:pPr>
                </w:p>
              </w:tc>
              <w:tc>
                <w:tcPr>
                  <w:tcW w:w="1313" w:type="dxa"/>
                  <w:gridSpan w:val="2"/>
                </w:tcPr>
                <w:p>
                  <w:pPr>
                    <w:pStyle w:val="a3"/>
                    <w:snapToGrid w:val="0"/>
                    <w:spacing w:line="240" w:lineRule="auto"/>
                    <w:ind w:firstLine="0"/>
                    <w:jc w:val="center"/>
                    <w:rPr>
                      <w:rFonts w:ascii="Times New Roman" w:hAnsi="Times New Roman" w:hint="eastAsia"/>
                      <w:sz w:val="21"/>
                      <w:szCs w:val="21"/>
                    </w:rPr>
                  </w:pPr>
                  <w:r>
                    <w:rPr>
                      <w:rFonts w:hint="eastAsia"/>
                      <w:sz w:val="21"/>
                      <w:szCs w:val="21"/>
                    </w:rPr>
                    <w:t>∑</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0.92</w:t>
                  </w:r>
                </w:p>
              </w:tc>
              <w:tc>
                <w:tcPr>
                  <w:tcW w:w="1560"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3.49</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1.74</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0.77</w:t>
                  </w:r>
                </w:p>
              </w:tc>
            </w:tr>
            <w:tr>
              <w:tblPrEx>
                <w:tblW w:w="9356" w:type="dxa"/>
                <w:tblInd w:w="113" w:type="dxa"/>
                <w:tblLayout w:type="fixed"/>
                <w:tblCellMar>
                  <w:top w:w="0" w:type="dxa"/>
                  <w:left w:w="108" w:type="dxa"/>
                  <w:bottom w:w="0" w:type="dxa"/>
                  <w:right w:w="108" w:type="dxa"/>
                </w:tblCellMar>
                <w:tblLook w:val="0000"/>
              </w:tblPrEx>
              <w:tc>
                <w:tcPr>
                  <w:tcW w:w="9356" w:type="dxa"/>
                  <w:gridSpan w:val="1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离子毫克当量百分比（meq%）</w:t>
                  </w:r>
                </w:p>
              </w:tc>
            </w:tr>
            <w:tr>
              <w:tblPrEx>
                <w:tblW w:w="9356" w:type="dxa"/>
                <w:tblInd w:w="113" w:type="dxa"/>
                <w:tblLayout w:type="fixed"/>
                <w:tblCellMar>
                  <w:top w:w="0" w:type="dxa"/>
                  <w:left w:w="108" w:type="dxa"/>
                  <w:bottom w:w="0" w:type="dxa"/>
                  <w:right w:w="108" w:type="dxa"/>
                </w:tblCellMar>
                <w:tblLook w:val="0000"/>
              </w:tblPrEx>
              <w:tc>
                <w:tcPr>
                  <w:tcW w:w="1947" w:type="dxa"/>
                  <w:gridSpan w:val="4"/>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监测点位</w:t>
                  </w:r>
                </w:p>
              </w:tc>
              <w:tc>
                <w:tcPr>
                  <w:tcW w:w="1984"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GW1</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GW2</w:t>
                  </w:r>
                </w:p>
              </w:tc>
              <w:tc>
                <w:tcPr>
                  <w:tcW w:w="1985"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GW3</w:t>
                  </w:r>
                </w:p>
              </w:tc>
              <w:tc>
                <w:tcPr>
                  <w:tcW w:w="1881"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GW4</w:t>
                  </w:r>
                </w:p>
              </w:tc>
            </w:tr>
            <w:tr>
              <w:tblPrEx>
                <w:tblW w:w="9356" w:type="dxa"/>
                <w:tblInd w:w="113" w:type="dxa"/>
                <w:tblLayout w:type="fixed"/>
                <w:tblCellMar>
                  <w:top w:w="0" w:type="dxa"/>
                  <w:left w:w="108" w:type="dxa"/>
                  <w:bottom w:w="0" w:type="dxa"/>
                  <w:right w:w="108" w:type="dxa"/>
                </w:tblCellMar>
                <w:tblLook w:val="0000"/>
              </w:tblPrEx>
              <w:tc>
                <w:tcPr>
                  <w:tcW w:w="954" w:type="dxa"/>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阳离子</w:t>
                  </w:r>
                </w:p>
              </w:tc>
              <w:tc>
                <w:tcPr>
                  <w:tcW w:w="993"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K</w:t>
                  </w:r>
                  <w:r>
                    <w:rPr>
                      <w:rFonts w:ascii="Times New Roman" w:hAnsi="Times New Roman" w:hint="eastAsia"/>
                      <w:sz w:val="21"/>
                      <w:szCs w:val="21"/>
                      <w:vertAlign w:val="superscript"/>
                    </w:rPr>
                    <w:t>+</w:t>
                  </w:r>
                </w:p>
              </w:tc>
              <w:tc>
                <w:tcPr>
                  <w:tcW w:w="1984"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3.35</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2.80</w:t>
                  </w:r>
                </w:p>
              </w:tc>
              <w:tc>
                <w:tcPr>
                  <w:tcW w:w="1985"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3.71</w:t>
                  </w:r>
                </w:p>
              </w:tc>
              <w:tc>
                <w:tcPr>
                  <w:tcW w:w="1881"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4.71</w:t>
                  </w:r>
                </w:p>
              </w:tc>
            </w:tr>
            <w:tr>
              <w:tblPrEx>
                <w:tblW w:w="9356" w:type="dxa"/>
                <w:tblInd w:w="113" w:type="dxa"/>
                <w:tblLayout w:type="fixed"/>
                <w:tblCellMar>
                  <w:top w:w="0" w:type="dxa"/>
                  <w:left w:w="108" w:type="dxa"/>
                  <w:bottom w:w="0" w:type="dxa"/>
                  <w:right w:w="108" w:type="dxa"/>
                </w:tblCellMar>
                <w:tblLook w:val="0000"/>
              </w:tblPrEx>
              <w:tc>
                <w:tcPr>
                  <w:tcW w:w="954" w:type="dxa"/>
                  <w:vMerge/>
                  <w:shd w:val="clear" w:color="auto" w:fill="auto"/>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shd w:val="clear" w:color="auto" w:fill="auto"/>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Na</w:t>
                  </w:r>
                  <w:r>
                    <w:rPr>
                      <w:rFonts w:ascii="Times New Roman" w:hAnsi="Times New Roman" w:hint="eastAsia"/>
                      <w:sz w:val="21"/>
                      <w:szCs w:val="21"/>
                      <w:vertAlign w:val="superscript"/>
                    </w:rPr>
                    <w:t>+</w:t>
                  </w:r>
                </w:p>
              </w:tc>
              <w:tc>
                <w:tcPr>
                  <w:tcW w:w="1984"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52.45</w:t>
                  </w:r>
                </w:p>
              </w:tc>
              <w:tc>
                <w:tcPr>
                  <w:tcW w:w="1559" w:type="dxa"/>
                  <w:gridSpan w:val="2"/>
                  <w:tcBorders>
                    <w:bottom w:val="single" w:sz="4" w:space="0" w:color="auto"/>
                  </w:tcBorders>
                  <w:shd w:val="clear" w:color="auto" w:fill="auto"/>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23.77</w:t>
                  </w:r>
                </w:p>
              </w:tc>
              <w:tc>
                <w:tcPr>
                  <w:tcW w:w="1985" w:type="dxa"/>
                  <w:gridSpan w:val="2"/>
                  <w:tcBorders>
                    <w:bottom w:val="single" w:sz="4" w:space="0" w:color="auto"/>
                  </w:tcBorders>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33.66</w:t>
                  </w:r>
                </w:p>
              </w:tc>
              <w:tc>
                <w:tcPr>
                  <w:tcW w:w="1881" w:type="dxa"/>
                  <w:gridSpan w:val="2"/>
                  <w:tcBorders>
                    <w:bottom w:val="single" w:sz="4" w:space="0" w:color="auto"/>
                  </w:tcBorders>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57.65</w:t>
                  </w:r>
                </w:p>
              </w:tc>
            </w:tr>
            <w:tr>
              <w:tblPrEx>
                <w:tblW w:w="9356" w:type="dxa"/>
                <w:tblInd w:w="113" w:type="dxa"/>
                <w:tblLayout w:type="fixed"/>
                <w:tblCellMar>
                  <w:top w:w="0" w:type="dxa"/>
                  <w:left w:w="108" w:type="dxa"/>
                  <w:bottom w:w="0" w:type="dxa"/>
                  <w:right w:w="108" w:type="dxa"/>
                </w:tblCellMar>
                <w:tblLook w:val="0000"/>
              </w:tblPrEx>
              <w:tc>
                <w:tcPr>
                  <w:tcW w:w="954" w:type="dxa"/>
                  <w:vMerge/>
                  <w:shd w:val="clear" w:color="auto" w:fill="auto"/>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shd w:val="clear" w:color="auto" w:fill="auto"/>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Ca</w:t>
                  </w:r>
                  <w:r>
                    <w:rPr>
                      <w:rFonts w:ascii="Times New Roman" w:hAnsi="Times New Roman" w:hint="eastAsia"/>
                      <w:sz w:val="21"/>
                      <w:szCs w:val="21"/>
                      <w:vertAlign w:val="superscript"/>
                    </w:rPr>
                    <w:t>+</w:t>
                  </w:r>
                </w:p>
              </w:tc>
              <w:tc>
                <w:tcPr>
                  <w:tcW w:w="1984"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25.91</w:t>
                  </w:r>
                </w:p>
              </w:tc>
              <w:tc>
                <w:tcPr>
                  <w:tcW w:w="1559"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50.94</w:t>
                  </w:r>
                </w:p>
              </w:tc>
              <w:tc>
                <w:tcPr>
                  <w:tcW w:w="1985"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39.36</w:t>
                  </w:r>
                </w:p>
              </w:tc>
              <w:tc>
                <w:tcPr>
                  <w:tcW w:w="1881"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28.24</w:t>
                  </w:r>
                </w:p>
              </w:tc>
            </w:tr>
            <w:tr>
              <w:tblPrEx>
                <w:tblW w:w="9356" w:type="dxa"/>
                <w:tblInd w:w="113" w:type="dxa"/>
                <w:tblLayout w:type="fixed"/>
                <w:tblCellMar>
                  <w:top w:w="0" w:type="dxa"/>
                  <w:left w:w="108" w:type="dxa"/>
                  <w:bottom w:w="0" w:type="dxa"/>
                  <w:right w:w="108" w:type="dxa"/>
                </w:tblCellMar>
                <w:tblLook w:val="0000"/>
              </w:tblPrEx>
              <w:tc>
                <w:tcPr>
                  <w:tcW w:w="954" w:type="dxa"/>
                  <w:vMerge/>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Mg</w:t>
                  </w:r>
                  <w:r>
                    <w:rPr>
                      <w:rFonts w:ascii="Times New Roman" w:hAnsi="Times New Roman" w:hint="eastAsia"/>
                      <w:sz w:val="21"/>
                      <w:szCs w:val="21"/>
                      <w:vertAlign w:val="superscript"/>
                    </w:rPr>
                    <w:t>+</w:t>
                  </w:r>
                </w:p>
              </w:tc>
              <w:tc>
                <w:tcPr>
                  <w:tcW w:w="1984"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18.30</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22.49</w:t>
                  </w:r>
                </w:p>
              </w:tc>
              <w:tc>
                <w:tcPr>
                  <w:tcW w:w="1985"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23.27</w:t>
                  </w:r>
                </w:p>
              </w:tc>
              <w:tc>
                <w:tcPr>
                  <w:tcW w:w="1881"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9.41</w:t>
                  </w:r>
                </w:p>
              </w:tc>
            </w:tr>
            <w:tr>
              <w:tblPrEx>
                <w:tblW w:w="9356" w:type="dxa"/>
                <w:tblInd w:w="113" w:type="dxa"/>
                <w:tblLayout w:type="fixed"/>
                <w:tblCellMar>
                  <w:top w:w="0" w:type="dxa"/>
                  <w:left w:w="108" w:type="dxa"/>
                  <w:bottom w:w="0" w:type="dxa"/>
                  <w:right w:w="108" w:type="dxa"/>
                </w:tblCellMar>
                <w:tblLook w:val="0000"/>
              </w:tblPrEx>
              <w:tc>
                <w:tcPr>
                  <w:tcW w:w="954" w:type="dxa"/>
                  <w:vMerge w:val="restart"/>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阴离子</w:t>
                  </w:r>
                </w:p>
              </w:tc>
              <w:tc>
                <w:tcPr>
                  <w:tcW w:w="993"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CO</w:t>
                  </w:r>
                  <w:r>
                    <w:rPr>
                      <w:rFonts w:ascii="Times New Roman" w:hAnsi="Times New Roman" w:hint="eastAsia"/>
                      <w:sz w:val="21"/>
                      <w:szCs w:val="21"/>
                      <w:vertAlign w:val="subscript"/>
                    </w:rPr>
                    <w:t>3</w:t>
                  </w:r>
                  <w:r>
                    <w:rPr>
                      <w:rFonts w:ascii="Times New Roman" w:hAnsi="Times New Roman" w:hint="eastAsia"/>
                      <w:sz w:val="21"/>
                      <w:szCs w:val="21"/>
                      <w:vertAlign w:val="superscript"/>
                    </w:rPr>
                    <w:t>2-</w:t>
                  </w:r>
                </w:p>
              </w:tc>
              <w:tc>
                <w:tcPr>
                  <w:tcW w:w="1984"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559"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985"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0.00</w:t>
                  </w:r>
                </w:p>
              </w:tc>
              <w:tc>
                <w:tcPr>
                  <w:tcW w:w="1881" w:type="dxa"/>
                  <w:gridSpan w:val="2"/>
                  <w:tcBorders>
                    <w:bottom w:val="single" w:sz="4" w:space="0" w:color="auto"/>
                  </w:tcBorders>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22.08</w:t>
                  </w:r>
                </w:p>
              </w:tc>
            </w:tr>
            <w:tr>
              <w:tblPrEx>
                <w:tblW w:w="9356" w:type="dxa"/>
                <w:tblInd w:w="113" w:type="dxa"/>
                <w:tblLayout w:type="fixed"/>
                <w:tblCellMar>
                  <w:top w:w="0" w:type="dxa"/>
                  <w:left w:w="108" w:type="dxa"/>
                  <w:bottom w:w="0" w:type="dxa"/>
                  <w:right w:w="108" w:type="dxa"/>
                </w:tblCellMar>
                <w:tblLook w:val="0000"/>
              </w:tblPrEx>
              <w:tc>
                <w:tcPr>
                  <w:tcW w:w="954" w:type="dxa"/>
                  <w:vMerge/>
                  <w:shd w:val="clear" w:color="auto" w:fill="auto"/>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shd w:val="clear" w:color="auto" w:fill="auto"/>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vertAlign w:val="superscript"/>
                    </w:rPr>
                    <w:t>-</w:t>
                  </w:r>
                </w:p>
              </w:tc>
              <w:tc>
                <w:tcPr>
                  <w:tcW w:w="1984"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80.00</w:t>
                  </w:r>
                </w:p>
              </w:tc>
              <w:tc>
                <w:tcPr>
                  <w:tcW w:w="1559"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69.19</w:t>
                  </w:r>
                </w:p>
              </w:tc>
              <w:tc>
                <w:tcPr>
                  <w:tcW w:w="1985"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64.64</w:t>
                  </w:r>
                </w:p>
              </w:tc>
              <w:tc>
                <w:tcPr>
                  <w:tcW w:w="1881" w:type="dxa"/>
                  <w:gridSpan w:val="2"/>
                  <w:shd w:val="clear" w:color="auto" w:fill="BFBFBF"/>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55.84</w:t>
                  </w:r>
                </w:p>
              </w:tc>
            </w:tr>
            <w:tr>
              <w:tblPrEx>
                <w:tblW w:w="9356" w:type="dxa"/>
                <w:tblInd w:w="113" w:type="dxa"/>
                <w:tblLayout w:type="fixed"/>
                <w:tblCellMar>
                  <w:top w:w="0" w:type="dxa"/>
                  <w:left w:w="108" w:type="dxa"/>
                  <w:bottom w:w="0" w:type="dxa"/>
                  <w:right w:w="108" w:type="dxa"/>
                </w:tblCellMar>
                <w:tblLook w:val="0000"/>
              </w:tblPrEx>
              <w:tc>
                <w:tcPr>
                  <w:tcW w:w="954" w:type="dxa"/>
                  <w:vMerge/>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Cl</w:t>
                  </w:r>
                  <w:r>
                    <w:rPr>
                      <w:rFonts w:ascii="Times New Roman" w:hAnsi="Times New Roman" w:hint="eastAsia"/>
                      <w:sz w:val="21"/>
                      <w:szCs w:val="21"/>
                      <w:vertAlign w:val="superscript"/>
                    </w:rPr>
                    <w:t>-</w:t>
                  </w:r>
                </w:p>
              </w:tc>
              <w:tc>
                <w:tcPr>
                  <w:tcW w:w="1984"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7.16</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15.46</w:t>
                  </w:r>
                </w:p>
              </w:tc>
              <w:tc>
                <w:tcPr>
                  <w:tcW w:w="1985"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18.98</w:t>
                  </w:r>
                </w:p>
              </w:tc>
              <w:tc>
                <w:tcPr>
                  <w:tcW w:w="1881"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5.19</w:t>
                  </w:r>
                </w:p>
              </w:tc>
            </w:tr>
            <w:tr>
              <w:tblPrEx>
                <w:tblW w:w="9356" w:type="dxa"/>
                <w:tblInd w:w="113" w:type="dxa"/>
                <w:tblLayout w:type="fixed"/>
                <w:tblCellMar>
                  <w:top w:w="0" w:type="dxa"/>
                  <w:left w:w="108" w:type="dxa"/>
                  <w:bottom w:w="0" w:type="dxa"/>
                  <w:right w:w="108" w:type="dxa"/>
                </w:tblCellMar>
                <w:tblLook w:val="0000"/>
              </w:tblPrEx>
              <w:tc>
                <w:tcPr>
                  <w:tcW w:w="954" w:type="dxa"/>
                  <w:vMerge/>
                  <w:vAlign w:val="center"/>
                </w:tcPr>
                <w:p>
                  <w:pPr>
                    <w:pStyle w:val="a3"/>
                    <w:snapToGrid w:val="0"/>
                    <w:spacing w:line="240" w:lineRule="auto"/>
                    <w:ind w:firstLine="0"/>
                    <w:jc w:val="center"/>
                    <w:rPr>
                      <w:rFonts w:ascii="Times New Roman" w:hAnsi="Times New Roman" w:hint="eastAsia"/>
                      <w:sz w:val="21"/>
                      <w:szCs w:val="21"/>
                    </w:rPr>
                  </w:pPr>
                </w:p>
              </w:tc>
              <w:tc>
                <w:tcPr>
                  <w:tcW w:w="993" w:type="dxa"/>
                  <w:gridSpan w:val="3"/>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SO</w:t>
                  </w:r>
                  <w:r>
                    <w:rPr>
                      <w:rFonts w:ascii="Times New Roman" w:hAnsi="Times New Roman" w:hint="eastAsia"/>
                      <w:sz w:val="21"/>
                      <w:szCs w:val="21"/>
                      <w:vertAlign w:val="subscript"/>
                    </w:rPr>
                    <w:t>4</w:t>
                  </w:r>
                  <w:r>
                    <w:rPr>
                      <w:rFonts w:ascii="Times New Roman" w:hAnsi="Times New Roman" w:hint="eastAsia"/>
                      <w:sz w:val="21"/>
                      <w:szCs w:val="21"/>
                      <w:vertAlign w:val="superscript"/>
                    </w:rPr>
                    <w:t>2-</w:t>
                  </w:r>
                </w:p>
              </w:tc>
              <w:tc>
                <w:tcPr>
                  <w:tcW w:w="1984"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12.84</w:t>
                  </w:r>
                </w:p>
              </w:tc>
              <w:tc>
                <w:tcPr>
                  <w:tcW w:w="1559"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15.35</w:t>
                  </w:r>
                </w:p>
              </w:tc>
              <w:tc>
                <w:tcPr>
                  <w:tcW w:w="1985"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16.38</w:t>
                  </w:r>
                </w:p>
              </w:tc>
              <w:tc>
                <w:tcPr>
                  <w:tcW w:w="1881" w:type="dxa"/>
                  <w:gridSpan w:val="2"/>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16.88</w:t>
                  </w:r>
                </w:p>
              </w:tc>
            </w:tr>
          </w:tbl>
          <w:p/>
        </w:tc>
      </w:tr>
    </w:tbl>
    <w:p>
      <w:pPr>
        <w:sectPr>
          <w:headerReference w:type="default" r:id="rId46"/>
          <w:footerReference w:type="even" r:id="rId47"/>
          <w:footerReference w:type="default" r:id="rId48"/>
          <w:type w:val="nextPage"/>
          <w:pgSz w:w="11906" w:h="16838"/>
          <w:pgMar w:top="1440" w:right="1469" w:bottom="1440" w:left="1797" w:header="851" w:footer="992" w:gutter="0"/>
          <w:pgNumType w:start="15"/>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7"/>
          <w:jc w:val="center"/>
        </w:trPr>
        <w:tc>
          <w:tcPr>
            <w:tcW w:w="8852" w:type="dxa"/>
            <w:tcBorders>
              <w:top w:val="single" w:sz="4" w:space="0" w:color="auto"/>
              <w:left w:val="single" w:sz="4" w:space="0" w:color="auto"/>
              <w:bottom w:val="single" w:sz="4" w:space="0" w:color="auto"/>
              <w:right w:val="single" w:sz="4" w:space="0" w:color="auto"/>
            </w:tcBorders>
          </w:tcPr>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47"/>
              <w:gridCol w:w="1984"/>
              <w:gridCol w:w="1559"/>
              <w:gridCol w:w="1985"/>
              <w:gridCol w:w="1881"/>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947"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地下水化学成分类型</w:t>
                  </w:r>
                </w:p>
              </w:tc>
              <w:tc>
                <w:tcPr>
                  <w:tcW w:w="1984"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rPr>
                    <w:t>-Na</w:t>
                  </w:r>
                  <w:r>
                    <w:rPr>
                      <w:rFonts w:ascii="Times New Roman" w:hAnsi="Times New Roman" w:hint="eastAsia"/>
                      <w:sz w:val="21"/>
                      <w:szCs w:val="21"/>
                      <w:vertAlign w:val="superscript"/>
                    </w:rPr>
                    <w:t>+</w:t>
                  </w:r>
                  <w:r>
                    <w:rPr>
                      <w:rFonts w:ascii="Times New Roman" w:hAnsi="Times New Roman" w:hint="eastAsia"/>
                      <w:sz w:val="21"/>
                      <w:szCs w:val="21"/>
                    </w:rPr>
                    <w:t>-Ca</w:t>
                  </w:r>
                  <w:r>
                    <w:rPr>
                      <w:rFonts w:ascii="Times New Roman" w:hAnsi="Times New Roman" w:hint="eastAsia"/>
                      <w:sz w:val="21"/>
                      <w:szCs w:val="21"/>
                      <w:vertAlign w:val="superscript"/>
                    </w:rPr>
                    <w:t>2+</w:t>
                  </w:r>
                  <w:r>
                    <w:rPr>
                      <w:rFonts w:ascii="Times New Roman" w:hAnsi="Times New Roman" w:hint="eastAsia"/>
                      <w:sz w:val="21"/>
                      <w:szCs w:val="21"/>
                    </w:rPr>
                    <w:t>型</w:t>
                  </w:r>
                </w:p>
              </w:tc>
              <w:tc>
                <w:tcPr>
                  <w:tcW w:w="1559"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rPr>
                    <w:t>-Ca</w:t>
                  </w:r>
                  <w:r>
                    <w:rPr>
                      <w:rFonts w:ascii="Times New Roman" w:hAnsi="Times New Roman" w:hint="eastAsia"/>
                      <w:sz w:val="21"/>
                      <w:szCs w:val="21"/>
                      <w:vertAlign w:val="superscript"/>
                    </w:rPr>
                    <w:t>2+</w:t>
                  </w:r>
                  <w:r>
                    <w:rPr>
                      <w:rFonts w:ascii="Times New Roman" w:hAnsi="Times New Roman" w:hint="eastAsia"/>
                      <w:sz w:val="21"/>
                      <w:szCs w:val="21"/>
                    </w:rPr>
                    <w:t>型</w:t>
                  </w:r>
                </w:p>
              </w:tc>
              <w:tc>
                <w:tcPr>
                  <w:tcW w:w="1985"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rPr>
                    <w:t>-Ca</w:t>
                  </w:r>
                  <w:r>
                    <w:rPr>
                      <w:rFonts w:ascii="Times New Roman" w:hAnsi="Times New Roman" w:hint="eastAsia"/>
                      <w:sz w:val="21"/>
                      <w:szCs w:val="21"/>
                      <w:vertAlign w:val="superscript"/>
                    </w:rPr>
                    <w:t>2+</w:t>
                  </w:r>
                  <w:r>
                    <w:rPr>
                      <w:rFonts w:ascii="Times New Roman" w:hAnsi="Times New Roman" w:hint="eastAsia"/>
                      <w:sz w:val="21"/>
                      <w:szCs w:val="21"/>
                    </w:rPr>
                    <w:t>-Na</w:t>
                  </w:r>
                  <w:r>
                    <w:rPr>
                      <w:rFonts w:ascii="Times New Roman" w:hAnsi="Times New Roman" w:hint="eastAsia"/>
                      <w:sz w:val="21"/>
                      <w:szCs w:val="21"/>
                      <w:vertAlign w:val="superscript"/>
                    </w:rPr>
                    <w:t>+</w:t>
                  </w:r>
                  <w:r>
                    <w:rPr>
                      <w:rFonts w:ascii="Times New Roman" w:hAnsi="Times New Roman" w:hint="eastAsia"/>
                      <w:sz w:val="21"/>
                      <w:szCs w:val="21"/>
                    </w:rPr>
                    <w:t>型</w:t>
                  </w:r>
                </w:p>
              </w:tc>
              <w:tc>
                <w:tcPr>
                  <w:tcW w:w="1881" w:type="dxa"/>
                  <w:vAlign w:val="center"/>
                </w:tcPr>
                <w:p>
                  <w:pPr>
                    <w:pStyle w:val="a3"/>
                    <w:snapToGrid w:val="0"/>
                    <w:spacing w:line="240" w:lineRule="auto"/>
                    <w:ind w:firstLine="0"/>
                    <w:jc w:val="center"/>
                    <w:rPr>
                      <w:rFonts w:ascii="Times New Roman" w:hAnsi="Times New Roman" w:hint="eastAsia"/>
                      <w:sz w:val="21"/>
                      <w:szCs w:val="21"/>
                    </w:rPr>
                  </w:pPr>
                  <w:r>
                    <w:rPr>
                      <w:rFonts w:ascii="Times New Roman" w:hAnsi="Times New Roman" w:hint="eastAsia"/>
                      <w:sz w:val="21"/>
                      <w:szCs w:val="21"/>
                    </w:rPr>
                    <w:t>HCO</w:t>
                  </w:r>
                  <w:r>
                    <w:rPr>
                      <w:rFonts w:ascii="Times New Roman" w:hAnsi="Times New Roman" w:hint="eastAsia"/>
                      <w:sz w:val="21"/>
                      <w:szCs w:val="21"/>
                      <w:vertAlign w:val="subscript"/>
                    </w:rPr>
                    <w:t>3</w:t>
                  </w:r>
                  <w:r>
                    <w:rPr>
                      <w:rFonts w:ascii="Times New Roman" w:hAnsi="Times New Roman" w:hint="eastAsia"/>
                      <w:sz w:val="21"/>
                      <w:szCs w:val="21"/>
                    </w:rPr>
                    <w:t>-Na</w:t>
                  </w:r>
                  <w:r>
                    <w:rPr>
                      <w:rFonts w:ascii="Times New Roman" w:hAnsi="Times New Roman" w:hint="eastAsia"/>
                      <w:sz w:val="21"/>
                      <w:szCs w:val="21"/>
                      <w:vertAlign w:val="superscript"/>
                    </w:rPr>
                    <w:t>+</w:t>
                  </w:r>
                  <w:r>
                    <w:rPr>
                      <w:rFonts w:ascii="Times New Roman" w:hAnsi="Times New Roman" w:hint="eastAsia"/>
                      <w:sz w:val="21"/>
                      <w:szCs w:val="21"/>
                    </w:rPr>
                    <w:t>-Ca</w:t>
                  </w:r>
                  <w:r>
                    <w:rPr>
                      <w:rFonts w:ascii="Times New Roman" w:hAnsi="Times New Roman" w:hint="eastAsia"/>
                      <w:sz w:val="21"/>
                      <w:szCs w:val="21"/>
                      <w:vertAlign w:val="superscript"/>
                    </w:rPr>
                    <w:t>2+</w:t>
                  </w:r>
                  <w:r>
                    <w:rPr>
                      <w:rFonts w:ascii="Times New Roman" w:hAnsi="Times New Roman" w:hint="eastAsia"/>
                      <w:sz w:val="21"/>
                      <w:szCs w:val="21"/>
                    </w:rPr>
                    <w:t>型</w:t>
                  </w:r>
                </w:p>
              </w:tc>
            </w:tr>
          </w:tbl>
          <w:p>
            <w:pPr>
              <w:pStyle w:val="a3"/>
              <w:snapToGrid w:val="0"/>
              <w:jc w:val="left"/>
              <w:rPr>
                <w:rFonts w:ascii="Times New Roman" w:hAnsi="Times New Roman" w:hint="eastAsia"/>
              </w:rPr>
            </w:pPr>
            <w:r>
              <w:rPr>
                <w:rFonts w:ascii="Times New Roman" w:hAnsi="Times New Roman" w:hint="eastAsia"/>
              </w:rPr>
              <w:t>④</w:t>
            </w:r>
            <w:r>
              <w:rPr>
                <w:rFonts w:ascii="Times New Roman" w:hAnsi="Times New Roman" w:hint="eastAsia"/>
              </w:rPr>
              <w:t>地下水污染源调查</w:t>
            </w:r>
          </w:p>
          <w:p>
            <w:pPr>
              <w:pStyle w:val="a3"/>
              <w:snapToGrid w:val="0"/>
              <w:jc w:val="left"/>
              <w:rPr>
                <w:rFonts w:ascii="Times New Roman" w:hAnsi="Times New Roman" w:hint="eastAsia"/>
              </w:rPr>
            </w:pPr>
            <w:r>
              <w:rPr>
                <w:rFonts w:ascii="Times New Roman" w:hAnsi="Times New Roman" w:hint="eastAsia"/>
              </w:rPr>
              <w:t>通过对评价区内的调查，地下水污染源主要来自周边村庄村民的生活污水和企业生产废水。村民生活污水产生量相对较小，区内上部粉质粘土作为隔水层，防污能力很好，村民生活污水很难渗透过隔水层对地下水造成影响。大部分企业产生的废水经过企业内部的污水处理系统处理达标后，通过区内污水管道外排；或输送到瑶湖污水处理厂进行处理达标后外排。所以，正常情况下，周围地下水污染源不会对地下水造成影响。</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hint="eastAsia"/>
                <w:lang w:val="en-US" w:eastAsia="zh-CN"/>
              </w:rPr>
              <w:t>4</w:t>
            </w:r>
            <w:r>
              <w:rPr>
                <w:rFonts w:ascii="Times New Roman" w:hAnsi="Times New Roman"/>
                <w:lang w:val="en-US" w:eastAsia="zh-CN"/>
              </w:rPr>
              <w:t>、声环境质量现状</w:t>
            </w:r>
          </w:p>
          <w:p>
            <w:pPr>
              <w:spacing w:line="360" w:lineRule="auto"/>
              <w:ind w:firstLine="480" w:firstLineChars="200"/>
              <w:rPr>
                <w:sz w:val="24"/>
              </w:rPr>
            </w:pPr>
            <w:r>
              <w:rPr>
                <w:sz w:val="24"/>
              </w:rPr>
              <w:t>为了解项目所在区域周围声环境现状，</w:t>
            </w:r>
            <w:r>
              <w:rPr>
                <w:rFonts w:hint="eastAsia"/>
                <w:sz w:val="24"/>
              </w:rPr>
              <w:t>南昌</w:t>
            </w:r>
            <w:r>
              <w:rPr>
                <w:sz w:val="24"/>
              </w:rPr>
              <w:t>华标检测技术有限公司于2017年</w:t>
            </w:r>
            <w:r>
              <w:rPr>
                <w:rFonts w:hint="eastAsia"/>
                <w:sz w:val="24"/>
              </w:rPr>
              <w:t>9</w:t>
            </w:r>
            <w:r>
              <w:rPr>
                <w:sz w:val="24"/>
              </w:rPr>
              <w:t>月</w:t>
            </w:r>
            <w:r>
              <w:rPr>
                <w:rFonts w:hint="eastAsia"/>
                <w:sz w:val="24"/>
              </w:rPr>
              <w:t>8</w:t>
            </w:r>
            <w:r>
              <w:rPr>
                <w:sz w:val="24"/>
              </w:rPr>
              <w:t>日在项目场地周围区域进行了噪声环境现状监测，监测结果见</w:t>
            </w:r>
            <w:r>
              <w:rPr>
                <w:rFonts w:hint="eastAsia"/>
                <w:sz w:val="24"/>
              </w:rPr>
              <w:t>表3-3</w:t>
            </w:r>
            <w:r>
              <w:rPr>
                <w:sz w:val="24"/>
              </w:rPr>
              <w:t>。</w:t>
            </w:r>
          </w:p>
          <w:p>
            <w:pPr>
              <w:spacing w:line="360" w:lineRule="auto"/>
              <w:jc w:val="center"/>
              <w:rPr>
                <w:szCs w:val="21"/>
              </w:rPr>
            </w:pPr>
            <w:r>
              <w:rPr>
                <w:b/>
                <w:szCs w:val="21"/>
              </w:rPr>
              <w:t>表</w:t>
            </w:r>
            <w:r>
              <w:rPr>
                <w:rFonts w:hint="eastAsia"/>
                <w:b/>
                <w:szCs w:val="21"/>
              </w:rPr>
              <w:t xml:space="preserve">3-3 </w:t>
            </w:r>
            <w:r>
              <w:rPr>
                <w:b/>
                <w:szCs w:val="21"/>
              </w:rPr>
              <w:t>噪声质量现状监测结果  单位：dB（A）</w:t>
            </w:r>
          </w:p>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6"/>
              <w:gridCol w:w="2594"/>
              <w:gridCol w:w="1680"/>
              <w:gridCol w:w="1662"/>
              <w:gridCol w:w="2514"/>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Pr>
              <w:tc>
                <w:tcPr>
                  <w:tcW w:w="850" w:type="dxa"/>
                  <w:vAlign w:val="center"/>
                </w:tcPr>
                <w:p>
                  <w:pPr>
                    <w:snapToGrid w:val="0"/>
                    <w:jc w:val="center"/>
                    <w:rPr>
                      <w:szCs w:val="21"/>
                    </w:rPr>
                  </w:pPr>
                  <w:r>
                    <w:rPr>
                      <w:szCs w:val="21"/>
                    </w:rPr>
                    <w:t>编号</w:t>
                  </w:r>
                </w:p>
              </w:tc>
              <w:tc>
                <w:tcPr>
                  <w:tcW w:w="2433" w:type="dxa"/>
                  <w:vAlign w:val="center"/>
                </w:tcPr>
                <w:p>
                  <w:pPr>
                    <w:snapToGrid w:val="0"/>
                    <w:jc w:val="center"/>
                    <w:rPr>
                      <w:szCs w:val="21"/>
                    </w:rPr>
                  </w:pPr>
                  <w:r>
                    <w:rPr>
                      <w:szCs w:val="21"/>
                    </w:rPr>
                    <w:t>监测点</w:t>
                  </w:r>
                </w:p>
              </w:tc>
              <w:tc>
                <w:tcPr>
                  <w:tcW w:w="1576" w:type="dxa"/>
                  <w:vAlign w:val="center"/>
                </w:tcPr>
                <w:p>
                  <w:pPr>
                    <w:snapToGrid w:val="0"/>
                    <w:jc w:val="center"/>
                    <w:rPr>
                      <w:spacing w:val="6"/>
                      <w:szCs w:val="21"/>
                    </w:rPr>
                  </w:pPr>
                  <w:r>
                    <w:rPr>
                      <w:spacing w:val="6"/>
                      <w:szCs w:val="21"/>
                    </w:rPr>
                    <w:t>昼间dB(A)</w:t>
                  </w:r>
                </w:p>
              </w:tc>
              <w:tc>
                <w:tcPr>
                  <w:tcW w:w="1559" w:type="dxa"/>
                  <w:vAlign w:val="center"/>
                </w:tcPr>
                <w:p>
                  <w:pPr>
                    <w:snapToGrid w:val="0"/>
                    <w:jc w:val="center"/>
                    <w:rPr>
                      <w:szCs w:val="21"/>
                    </w:rPr>
                  </w:pPr>
                  <w:r>
                    <w:rPr>
                      <w:spacing w:val="6"/>
                      <w:szCs w:val="21"/>
                    </w:rPr>
                    <w:t>夜间dB(A)</w:t>
                  </w:r>
                </w:p>
              </w:tc>
              <w:tc>
                <w:tcPr>
                  <w:tcW w:w="2358" w:type="dxa"/>
                  <w:vAlign w:val="center"/>
                </w:tcPr>
                <w:p>
                  <w:pPr>
                    <w:snapToGrid w:val="0"/>
                    <w:jc w:val="center"/>
                    <w:rPr>
                      <w:szCs w:val="21"/>
                    </w:rPr>
                  </w:pPr>
                  <w:r>
                    <w:rPr>
                      <w:szCs w:val="21"/>
                    </w:rPr>
                    <w:t>标准值</w:t>
                  </w:r>
                </w:p>
              </w:tc>
            </w:tr>
            <w:tr>
              <w:tblPrEx>
                <w:tblW w:w="9356" w:type="dxa"/>
                <w:tblInd w:w="113" w:type="dxa"/>
                <w:tblLayout w:type="fixed"/>
                <w:tblCellMar>
                  <w:top w:w="0" w:type="dxa"/>
                  <w:left w:w="108" w:type="dxa"/>
                  <w:bottom w:w="0" w:type="dxa"/>
                  <w:right w:w="108" w:type="dxa"/>
                </w:tblCellMar>
                <w:tblLook w:val="0000"/>
              </w:tblPrEx>
              <w:trPr>
                <w:cantSplit/>
              </w:trPr>
              <w:tc>
                <w:tcPr>
                  <w:tcW w:w="850" w:type="dxa"/>
                  <w:vAlign w:val="center"/>
                </w:tcPr>
                <w:p>
                  <w:pPr>
                    <w:snapToGrid w:val="0"/>
                    <w:jc w:val="center"/>
                    <w:rPr>
                      <w:szCs w:val="21"/>
                    </w:rPr>
                  </w:pPr>
                  <w:r>
                    <w:rPr>
                      <w:szCs w:val="21"/>
                    </w:rPr>
                    <w:t>N</w:t>
                  </w:r>
                  <w:r>
                    <w:rPr>
                      <w:szCs w:val="21"/>
                      <w:vertAlign w:val="subscript"/>
                    </w:rPr>
                    <w:t>1</w:t>
                  </w:r>
                </w:p>
              </w:tc>
              <w:tc>
                <w:tcPr>
                  <w:tcW w:w="2433" w:type="dxa"/>
                  <w:vAlign w:val="center"/>
                </w:tcPr>
                <w:p>
                  <w:pPr>
                    <w:snapToGrid w:val="0"/>
                    <w:jc w:val="center"/>
                    <w:rPr>
                      <w:szCs w:val="21"/>
                    </w:rPr>
                  </w:pPr>
                  <w:r>
                    <w:rPr>
                      <w:szCs w:val="21"/>
                    </w:rPr>
                    <w:t>项目东北侧1m处</w:t>
                  </w:r>
                </w:p>
              </w:tc>
              <w:tc>
                <w:tcPr>
                  <w:tcW w:w="1576" w:type="dxa"/>
                  <w:vAlign w:val="center"/>
                </w:tcPr>
                <w:p>
                  <w:pPr>
                    <w:snapToGrid w:val="0"/>
                    <w:jc w:val="center"/>
                    <w:rPr>
                      <w:szCs w:val="21"/>
                    </w:rPr>
                  </w:pPr>
                  <w:r>
                    <w:rPr>
                      <w:rFonts w:hint="eastAsia"/>
                      <w:szCs w:val="21"/>
                    </w:rPr>
                    <w:t>52.3</w:t>
                  </w:r>
                </w:p>
              </w:tc>
              <w:tc>
                <w:tcPr>
                  <w:tcW w:w="1559" w:type="dxa"/>
                  <w:vAlign w:val="center"/>
                </w:tcPr>
                <w:p>
                  <w:pPr>
                    <w:snapToGrid w:val="0"/>
                    <w:jc w:val="center"/>
                    <w:rPr>
                      <w:szCs w:val="21"/>
                    </w:rPr>
                  </w:pPr>
                  <w:r>
                    <w:rPr>
                      <w:rFonts w:hint="eastAsia"/>
                      <w:szCs w:val="21"/>
                    </w:rPr>
                    <w:t>41.7</w:t>
                  </w:r>
                </w:p>
              </w:tc>
              <w:tc>
                <w:tcPr>
                  <w:tcW w:w="2358" w:type="dxa"/>
                  <w:vMerge w:val="restart"/>
                  <w:vAlign w:val="center"/>
                </w:tcPr>
                <w:p>
                  <w:pPr>
                    <w:snapToGrid w:val="0"/>
                    <w:jc w:val="center"/>
                    <w:rPr>
                      <w:spacing w:val="6"/>
                      <w:szCs w:val="21"/>
                    </w:rPr>
                  </w:pPr>
                  <w:r>
                    <w:rPr>
                      <w:szCs w:val="21"/>
                    </w:rPr>
                    <w:t>昼间≤65</w:t>
                  </w:r>
                  <w:r>
                    <w:rPr>
                      <w:spacing w:val="6"/>
                      <w:szCs w:val="21"/>
                    </w:rPr>
                    <w:t>dB(A)</w:t>
                  </w:r>
                </w:p>
                <w:p>
                  <w:pPr>
                    <w:snapToGrid w:val="0"/>
                    <w:jc w:val="center"/>
                    <w:rPr>
                      <w:szCs w:val="21"/>
                    </w:rPr>
                  </w:pPr>
                  <w:r>
                    <w:rPr>
                      <w:spacing w:val="6"/>
                      <w:szCs w:val="21"/>
                    </w:rPr>
                    <w:t>夜间</w:t>
                  </w:r>
                  <w:r>
                    <w:rPr>
                      <w:szCs w:val="21"/>
                    </w:rPr>
                    <w:t>≤55</w:t>
                  </w:r>
                  <w:r>
                    <w:rPr>
                      <w:spacing w:val="6"/>
                      <w:szCs w:val="21"/>
                    </w:rPr>
                    <w:t>dB(A)</w:t>
                  </w:r>
                </w:p>
              </w:tc>
            </w:tr>
            <w:tr>
              <w:tblPrEx>
                <w:tblW w:w="9356" w:type="dxa"/>
                <w:tblInd w:w="113" w:type="dxa"/>
                <w:tblLayout w:type="fixed"/>
                <w:tblCellMar>
                  <w:top w:w="0" w:type="dxa"/>
                  <w:left w:w="108" w:type="dxa"/>
                  <w:bottom w:w="0" w:type="dxa"/>
                  <w:right w:w="108" w:type="dxa"/>
                </w:tblCellMar>
                <w:tblLook w:val="0000"/>
              </w:tblPrEx>
              <w:trPr>
                <w:cantSplit/>
              </w:trPr>
              <w:tc>
                <w:tcPr>
                  <w:tcW w:w="850" w:type="dxa"/>
                  <w:vAlign w:val="center"/>
                </w:tcPr>
                <w:p>
                  <w:pPr>
                    <w:snapToGrid w:val="0"/>
                    <w:jc w:val="center"/>
                    <w:rPr>
                      <w:szCs w:val="21"/>
                    </w:rPr>
                  </w:pPr>
                  <w:r>
                    <w:rPr>
                      <w:szCs w:val="21"/>
                    </w:rPr>
                    <w:t>N</w:t>
                  </w:r>
                  <w:r>
                    <w:rPr>
                      <w:szCs w:val="21"/>
                      <w:vertAlign w:val="subscript"/>
                    </w:rPr>
                    <w:t>2</w:t>
                  </w:r>
                </w:p>
              </w:tc>
              <w:tc>
                <w:tcPr>
                  <w:tcW w:w="2433" w:type="dxa"/>
                  <w:vAlign w:val="center"/>
                </w:tcPr>
                <w:p>
                  <w:pPr>
                    <w:snapToGrid w:val="0"/>
                    <w:jc w:val="center"/>
                    <w:rPr>
                      <w:szCs w:val="21"/>
                    </w:rPr>
                  </w:pPr>
                  <w:r>
                    <w:rPr>
                      <w:szCs w:val="21"/>
                    </w:rPr>
                    <w:t>项目</w:t>
                  </w:r>
                  <w:r>
                    <w:rPr>
                      <w:rFonts w:hint="eastAsia"/>
                      <w:szCs w:val="21"/>
                    </w:rPr>
                    <w:t>东南</w:t>
                  </w:r>
                  <w:r>
                    <w:rPr>
                      <w:szCs w:val="21"/>
                    </w:rPr>
                    <w:t>侧1m处</w:t>
                  </w:r>
                </w:p>
              </w:tc>
              <w:tc>
                <w:tcPr>
                  <w:tcW w:w="1576" w:type="dxa"/>
                  <w:vAlign w:val="center"/>
                </w:tcPr>
                <w:p>
                  <w:pPr>
                    <w:snapToGrid w:val="0"/>
                    <w:jc w:val="center"/>
                    <w:rPr>
                      <w:szCs w:val="21"/>
                    </w:rPr>
                  </w:pPr>
                  <w:r>
                    <w:rPr>
                      <w:rFonts w:hint="eastAsia"/>
                      <w:szCs w:val="21"/>
                    </w:rPr>
                    <w:t>50.2</w:t>
                  </w:r>
                </w:p>
              </w:tc>
              <w:tc>
                <w:tcPr>
                  <w:tcW w:w="1559" w:type="dxa"/>
                  <w:vAlign w:val="center"/>
                </w:tcPr>
                <w:p>
                  <w:pPr>
                    <w:snapToGrid w:val="0"/>
                    <w:jc w:val="center"/>
                    <w:rPr>
                      <w:szCs w:val="21"/>
                    </w:rPr>
                  </w:pPr>
                  <w:r>
                    <w:rPr>
                      <w:rFonts w:hint="eastAsia"/>
                      <w:szCs w:val="21"/>
                    </w:rPr>
                    <w:t>40.3</w:t>
                  </w:r>
                </w:p>
              </w:tc>
              <w:tc>
                <w:tcPr>
                  <w:tcW w:w="2358" w:type="dxa"/>
                  <w:vMerge/>
                  <w:vAlign w:val="center"/>
                </w:tcPr>
                <w:p>
                  <w:pPr>
                    <w:snapToGrid w:val="0"/>
                    <w:jc w:val="center"/>
                    <w:rPr>
                      <w:szCs w:val="21"/>
                    </w:rPr>
                  </w:pPr>
                </w:p>
              </w:tc>
            </w:tr>
            <w:tr>
              <w:tblPrEx>
                <w:tblW w:w="9356" w:type="dxa"/>
                <w:tblInd w:w="113" w:type="dxa"/>
                <w:tblLayout w:type="fixed"/>
                <w:tblCellMar>
                  <w:top w:w="0" w:type="dxa"/>
                  <w:left w:w="108" w:type="dxa"/>
                  <w:bottom w:w="0" w:type="dxa"/>
                  <w:right w:w="108" w:type="dxa"/>
                </w:tblCellMar>
                <w:tblLook w:val="0000"/>
              </w:tblPrEx>
              <w:trPr>
                <w:cantSplit/>
              </w:trPr>
              <w:tc>
                <w:tcPr>
                  <w:tcW w:w="850" w:type="dxa"/>
                  <w:vAlign w:val="center"/>
                </w:tcPr>
                <w:p>
                  <w:pPr>
                    <w:snapToGrid w:val="0"/>
                    <w:jc w:val="center"/>
                    <w:rPr>
                      <w:szCs w:val="21"/>
                    </w:rPr>
                  </w:pPr>
                  <w:r>
                    <w:rPr>
                      <w:szCs w:val="21"/>
                    </w:rPr>
                    <w:t>N</w:t>
                  </w:r>
                  <w:r>
                    <w:rPr>
                      <w:szCs w:val="21"/>
                      <w:vertAlign w:val="subscript"/>
                    </w:rPr>
                    <w:t>3</w:t>
                  </w:r>
                </w:p>
              </w:tc>
              <w:tc>
                <w:tcPr>
                  <w:tcW w:w="2433" w:type="dxa"/>
                  <w:vAlign w:val="center"/>
                </w:tcPr>
                <w:p>
                  <w:pPr>
                    <w:snapToGrid w:val="0"/>
                    <w:jc w:val="center"/>
                    <w:rPr>
                      <w:szCs w:val="21"/>
                    </w:rPr>
                  </w:pPr>
                  <w:r>
                    <w:rPr>
                      <w:szCs w:val="21"/>
                    </w:rPr>
                    <w:t>项目西</w:t>
                  </w:r>
                  <w:r>
                    <w:rPr>
                      <w:rFonts w:hint="eastAsia"/>
                      <w:szCs w:val="21"/>
                    </w:rPr>
                    <w:t>南</w:t>
                  </w:r>
                  <w:r>
                    <w:rPr>
                      <w:szCs w:val="21"/>
                    </w:rPr>
                    <w:t>侧1m处</w:t>
                  </w:r>
                </w:p>
              </w:tc>
              <w:tc>
                <w:tcPr>
                  <w:tcW w:w="1576" w:type="dxa"/>
                  <w:vAlign w:val="center"/>
                </w:tcPr>
                <w:p>
                  <w:pPr>
                    <w:snapToGrid w:val="0"/>
                    <w:jc w:val="center"/>
                    <w:rPr>
                      <w:szCs w:val="21"/>
                    </w:rPr>
                  </w:pPr>
                  <w:r>
                    <w:rPr>
                      <w:rFonts w:hint="eastAsia"/>
                      <w:szCs w:val="21"/>
                    </w:rPr>
                    <w:t>51.6</w:t>
                  </w:r>
                </w:p>
              </w:tc>
              <w:tc>
                <w:tcPr>
                  <w:tcW w:w="1559" w:type="dxa"/>
                  <w:vAlign w:val="center"/>
                </w:tcPr>
                <w:p>
                  <w:pPr>
                    <w:snapToGrid w:val="0"/>
                    <w:jc w:val="center"/>
                    <w:rPr>
                      <w:szCs w:val="21"/>
                    </w:rPr>
                  </w:pPr>
                  <w:r>
                    <w:rPr>
                      <w:rFonts w:hint="eastAsia"/>
                      <w:szCs w:val="21"/>
                    </w:rPr>
                    <w:t>41.4</w:t>
                  </w:r>
                </w:p>
              </w:tc>
              <w:tc>
                <w:tcPr>
                  <w:tcW w:w="2358" w:type="dxa"/>
                  <w:vMerge/>
                  <w:vAlign w:val="center"/>
                </w:tcPr>
                <w:p>
                  <w:pPr>
                    <w:snapToGrid w:val="0"/>
                    <w:jc w:val="center"/>
                    <w:rPr>
                      <w:szCs w:val="21"/>
                    </w:rPr>
                  </w:pPr>
                </w:p>
              </w:tc>
            </w:tr>
            <w:tr>
              <w:tblPrEx>
                <w:tblW w:w="9356" w:type="dxa"/>
                <w:tblInd w:w="113" w:type="dxa"/>
                <w:tblLayout w:type="fixed"/>
                <w:tblCellMar>
                  <w:top w:w="0" w:type="dxa"/>
                  <w:left w:w="108" w:type="dxa"/>
                  <w:bottom w:w="0" w:type="dxa"/>
                  <w:right w:w="108" w:type="dxa"/>
                </w:tblCellMar>
                <w:tblLook w:val="0000"/>
              </w:tblPrEx>
              <w:trPr>
                <w:cantSplit/>
              </w:trPr>
              <w:tc>
                <w:tcPr>
                  <w:tcW w:w="850" w:type="dxa"/>
                  <w:vAlign w:val="center"/>
                </w:tcPr>
                <w:p>
                  <w:pPr>
                    <w:snapToGrid w:val="0"/>
                    <w:jc w:val="center"/>
                    <w:rPr>
                      <w:szCs w:val="21"/>
                    </w:rPr>
                  </w:pPr>
                  <w:r>
                    <w:rPr>
                      <w:szCs w:val="21"/>
                    </w:rPr>
                    <w:t>N</w:t>
                  </w:r>
                  <w:r>
                    <w:rPr>
                      <w:szCs w:val="21"/>
                      <w:vertAlign w:val="subscript"/>
                    </w:rPr>
                    <w:t>4</w:t>
                  </w:r>
                </w:p>
              </w:tc>
              <w:tc>
                <w:tcPr>
                  <w:tcW w:w="2433" w:type="dxa"/>
                  <w:vAlign w:val="center"/>
                </w:tcPr>
                <w:p>
                  <w:pPr>
                    <w:snapToGrid w:val="0"/>
                    <w:jc w:val="center"/>
                    <w:rPr>
                      <w:szCs w:val="21"/>
                    </w:rPr>
                  </w:pPr>
                  <w:r>
                    <w:rPr>
                      <w:szCs w:val="21"/>
                    </w:rPr>
                    <w:t>项目</w:t>
                  </w:r>
                  <w:r>
                    <w:rPr>
                      <w:rFonts w:hint="eastAsia"/>
                      <w:szCs w:val="21"/>
                    </w:rPr>
                    <w:t>西北</w:t>
                  </w:r>
                  <w:r>
                    <w:rPr>
                      <w:szCs w:val="21"/>
                    </w:rPr>
                    <w:t>侧1m处</w:t>
                  </w:r>
                </w:p>
              </w:tc>
              <w:tc>
                <w:tcPr>
                  <w:tcW w:w="1576" w:type="dxa"/>
                  <w:vAlign w:val="center"/>
                </w:tcPr>
                <w:p>
                  <w:pPr>
                    <w:snapToGrid w:val="0"/>
                    <w:jc w:val="center"/>
                    <w:rPr>
                      <w:szCs w:val="21"/>
                    </w:rPr>
                  </w:pPr>
                  <w:r>
                    <w:rPr>
                      <w:rFonts w:hint="eastAsia"/>
                      <w:szCs w:val="21"/>
                    </w:rPr>
                    <w:t>50.8</w:t>
                  </w:r>
                </w:p>
              </w:tc>
              <w:tc>
                <w:tcPr>
                  <w:tcW w:w="1559" w:type="dxa"/>
                  <w:vAlign w:val="center"/>
                </w:tcPr>
                <w:p>
                  <w:pPr>
                    <w:snapToGrid w:val="0"/>
                    <w:jc w:val="center"/>
                    <w:rPr>
                      <w:szCs w:val="21"/>
                    </w:rPr>
                  </w:pPr>
                  <w:r>
                    <w:rPr>
                      <w:rFonts w:hint="eastAsia"/>
                      <w:szCs w:val="21"/>
                    </w:rPr>
                    <w:t>40.5</w:t>
                  </w:r>
                </w:p>
              </w:tc>
              <w:tc>
                <w:tcPr>
                  <w:tcW w:w="2358" w:type="dxa"/>
                  <w:vMerge/>
                  <w:vAlign w:val="center"/>
                </w:tcPr>
                <w:p>
                  <w:pPr>
                    <w:snapToGrid w:val="0"/>
                    <w:jc w:val="center"/>
                    <w:rPr>
                      <w:szCs w:val="21"/>
                    </w:rPr>
                  </w:pPr>
                </w:p>
              </w:tc>
            </w:tr>
          </w:tbl>
          <w:p>
            <w:pPr>
              <w:adjustRightInd w:val="0"/>
              <w:snapToGrid w:val="0"/>
              <w:spacing w:line="360" w:lineRule="auto"/>
              <w:ind w:firstLine="480" w:firstLineChars="200"/>
              <w:rPr>
                <w:sz w:val="24"/>
              </w:rPr>
            </w:pPr>
            <w:r>
              <w:rPr>
                <w:sz w:val="24"/>
              </w:rPr>
              <w:t>由上表可知，项目各监测点噪声可满足《声环境质量标准》(GB3096-2008)中的3类区标准的要求，声环境质量较好。</w:t>
            </w:r>
          </w:p>
        </w:tc>
      </w:tr>
      <w:tr>
        <w:tblPrEx>
          <w:tblW w:w="9639" w:type="dxa"/>
          <w:jc w:val="center"/>
          <w:tblLayout w:type="fixed"/>
          <w:tblCellMar>
            <w:top w:w="0" w:type="dxa"/>
            <w:left w:w="108" w:type="dxa"/>
            <w:bottom w:w="0" w:type="dxa"/>
            <w:right w:w="108" w:type="dxa"/>
          </w:tblCellMar>
          <w:tblLook w:val="0000"/>
        </w:tblPrEx>
        <w:trPr>
          <w:trHeight w:val="2638"/>
          <w:jc w:val="center"/>
        </w:trPr>
        <w:tc>
          <w:tcPr>
            <w:tcW w:w="8852" w:type="dxa"/>
            <w:tcBorders>
              <w:top w:val="single" w:sz="4" w:space="0" w:color="auto"/>
              <w:left w:val="single" w:sz="4" w:space="0" w:color="auto"/>
              <w:bottom w:val="single" w:sz="4" w:space="0" w:color="auto"/>
              <w:right w:val="single" w:sz="4" w:space="0" w:color="auto"/>
            </w:tcBorders>
          </w:tcPr>
          <w:p>
            <w:pPr>
              <w:snapToGrid w:val="0"/>
              <w:spacing w:line="400" w:lineRule="exact"/>
              <w:rPr>
                <w:b/>
                <w:sz w:val="30"/>
                <w:szCs w:val="30"/>
              </w:rPr>
            </w:pPr>
            <w:r>
              <w:rPr>
                <w:b/>
                <w:sz w:val="30"/>
                <w:szCs w:val="30"/>
              </w:rPr>
              <w:t>主要环境保护目标（列出名单及保护级别）</w:t>
            </w:r>
          </w:p>
          <w:p>
            <w:pPr>
              <w:snapToGrid w:val="0"/>
              <w:spacing w:line="360" w:lineRule="auto"/>
              <w:ind w:firstLine="480" w:firstLineChars="200"/>
              <w:rPr>
                <w:sz w:val="24"/>
              </w:rPr>
            </w:pPr>
            <w:r>
              <w:rPr>
                <w:sz w:val="24"/>
              </w:rPr>
              <w:t>根据现场调查，项目主要环境保护目标为周边的民居，具体情况见表</w:t>
            </w:r>
            <w:r>
              <w:rPr>
                <w:rFonts w:hint="eastAsia"/>
                <w:sz w:val="24"/>
              </w:rPr>
              <w:t>3-5</w:t>
            </w:r>
            <w:r>
              <w:rPr>
                <w:sz w:val="24"/>
              </w:rPr>
              <w:t>。</w:t>
            </w:r>
          </w:p>
          <w:p>
            <w:pPr>
              <w:pStyle w:val="NormalWeb"/>
              <w:snapToGrid w:val="0"/>
              <w:spacing w:before="0" w:beforeAutospacing="0" w:after="0" w:afterAutospacing="0" w:line="360" w:lineRule="auto"/>
              <w:jc w:val="center"/>
              <w:rPr>
                <w:rFonts w:ascii="Times New Roman" w:hAnsi="Times New Roman"/>
                <w:b/>
                <w:color w:val="auto"/>
                <w:sz w:val="21"/>
                <w:szCs w:val="21"/>
              </w:rPr>
            </w:pPr>
            <w:r>
              <w:rPr>
                <w:rFonts w:ascii="Times New Roman" w:hAnsi="Times New Roman"/>
                <w:b/>
                <w:color w:val="auto"/>
                <w:sz w:val="21"/>
                <w:szCs w:val="21"/>
              </w:rPr>
              <w:t>表</w:t>
            </w:r>
            <w:r>
              <w:rPr>
                <w:rFonts w:ascii="Times New Roman" w:hAnsi="Times New Roman" w:hint="eastAsia"/>
                <w:b/>
                <w:color w:val="auto"/>
                <w:sz w:val="21"/>
                <w:szCs w:val="21"/>
              </w:rPr>
              <w:t>3-5</w:t>
            </w:r>
            <w:r>
              <w:rPr>
                <w:rFonts w:ascii="Times New Roman" w:hAnsi="Times New Roman"/>
                <w:b/>
                <w:color w:val="auto"/>
                <w:sz w:val="21"/>
                <w:szCs w:val="21"/>
              </w:rPr>
              <w:t xml:space="preserve"> 项目主要环境保护目标一览表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68"/>
              <w:gridCol w:w="2410"/>
              <w:gridCol w:w="992"/>
              <w:gridCol w:w="1134"/>
              <w:gridCol w:w="1134"/>
              <w:gridCol w:w="2618"/>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blHeader/>
                <w:jc w:val="center"/>
              </w:trPr>
              <w:tc>
                <w:tcPr>
                  <w:tcW w:w="1068" w:type="dxa"/>
                  <w:vAlign w:val="center"/>
                </w:tcPr>
                <w:p>
                  <w:pPr>
                    <w:adjustRightInd w:val="0"/>
                    <w:snapToGrid w:val="0"/>
                    <w:jc w:val="center"/>
                  </w:pPr>
                  <w:r>
                    <w:t>环境要素</w:t>
                  </w:r>
                </w:p>
              </w:tc>
              <w:tc>
                <w:tcPr>
                  <w:tcW w:w="2410" w:type="dxa"/>
                  <w:vAlign w:val="center"/>
                </w:tcPr>
                <w:p>
                  <w:pPr>
                    <w:adjustRightInd w:val="0"/>
                    <w:snapToGrid w:val="0"/>
                    <w:jc w:val="center"/>
                  </w:pPr>
                  <w:r>
                    <w:t>环境保护目标</w:t>
                  </w:r>
                </w:p>
              </w:tc>
              <w:tc>
                <w:tcPr>
                  <w:tcW w:w="992" w:type="dxa"/>
                  <w:vAlign w:val="center"/>
                </w:tcPr>
                <w:p>
                  <w:pPr>
                    <w:adjustRightInd w:val="0"/>
                    <w:snapToGrid w:val="0"/>
                    <w:jc w:val="center"/>
                  </w:pPr>
                  <w:r>
                    <w:t>方位</w:t>
                  </w:r>
                </w:p>
              </w:tc>
              <w:tc>
                <w:tcPr>
                  <w:tcW w:w="1134" w:type="dxa"/>
                  <w:vAlign w:val="center"/>
                </w:tcPr>
                <w:p>
                  <w:pPr>
                    <w:adjustRightInd w:val="0"/>
                    <w:snapToGrid w:val="0"/>
                    <w:jc w:val="center"/>
                  </w:pPr>
                  <w:r>
                    <w:t>距离（m）</w:t>
                  </w:r>
                </w:p>
              </w:tc>
              <w:tc>
                <w:tcPr>
                  <w:tcW w:w="1134" w:type="dxa"/>
                  <w:vAlign w:val="center"/>
                </w:tcPr>
                <w:p>
                  <w:pPr>
                    <w:adjustRightInd w:val="0"/>
                    <w:snapToGrid w:val="0"/>
                    <w:jc w:val="center"/>
                  </w:pPr>
                  <w:r>
                    <w:t>规模（人）</w:t>
                  </w:r>
                </w:p>
              </w:tc>
              <w:tc>
                <w:tcPr>
                  <w:tcW w:w="2618" w:type="dxa"/>
                  <w:vAlign w:val="center"/>
                </w:tcPr>
                <w:p>
                  <w:pPr>
                    <w:adjustRightInd w:val="0"/>
                    <w:snapToGrid w:val="0"/>
                    <w:jc w:val="center"/>
                  </w:pPr>
                  <w:r>
                    <w:t>环境功能</w:t>
                  </w: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restart"/>
                  <w:vAlign w:val="center"/>
                </w:tcPr>
                <w:p>
                  <w:pPr>
                    <w:adjustRightInd w:val="0"/>
                    <w:snapToGrid w:val="0"/>
                    <w:jc w:val="center"/>
                  </w:pPr>
                  <w:r>
                    <w:t>大气环境</w:t>
                  </w:r>
                </w:p>
              </w:tc>
              <w:tc>
                <w:tcPr>
                  <w:tcW w:w="2410" w:type="dxa"/>
                  <w:vAlign w:val="center"/>
                </w:tcPr>
                <w:p>
                  <w:pPr>
                    <w:adjustRightInd w:val="0"/>
                    <w:snapToGrid w:val="0"/>
                    <w:jc w:val="center"/>
                  </w:pPr>
                  <w:r>
                    <w:t>石熊村</w:t>
                  </w:r>
                </w:p>
              </w:tc>
              <w:tc>
                <w:tcPr>
                  <w:tcW w:w="992" w:type="dxa"/>
                  <w:vAlign w:val="center"/>
                </w:tcPr>
                <w:p>
                  <w:pPr>
                    <w:adjustRightInd w:val="0"/>
                    <w:snapToGrid w:val="0"/>
                    <w:jc w:val="center"/>
                  </w:pPr>
                  <w:r>
                    <w:t>东北</w:t>
                  </w:r>
                </w:p>
              </w:tc>
              <w:tc>
                <w:tcPr>
                  <w:tcW w:w="1134" w:type="dxa"/>
                  <w:vAlign w:val="center"/>
                </w:tcPr>
                <w:p>
                  <w:pPr>
                    <w:adjustRightInd w:val="0"/>
                    <w:snapToGrid w:val="0"/>
                    <w:jc w:val="center"/>
                  </w:pPr>
                  <w:r>
                    <w:rPr>
                      <w:rFonts w:hint="eastAsia"/>
                    </w:rPr>
                    <w:t>1430</w:t>
                  </w:r>
                </w:p>
              </w:tc>
              <w:tc>
                <w:tcPr>
                  <w:tcW w:w="1134" w:type="dxa"/>
                  <w:vAlign w:val="center"/>
                </w:tcPr>
                <w:p>
                  <w:pPr>
                    <w:adjustRightInd w:val="0"/>
                    <w:snapToGrid w:val="0"/>
                    <w:jc w:val="center"/>
                  </w:pPr>
                  <w:r>
                    <w:rPr>
                      <w:rFonts w:hint="eastAsia"/>
                    </w:rPr>
                    <w:t>130</w:t>
                  </w:r>
                </w:p>
              </w:tc>
              <w:tc>
                <w:tcPr>
                  <w:tcW w:w="2618" w:type="dxa"/>
                  <w:vMerge w:val="restart"/>
                  <w:vAlign w:val="center"/>
                </w:tcPr>
                <w:p>
                  <w:pPr>
                    <w:adjustRightInd w:val="0"/>
                    <w:snapToGrid w:val="0"/>
                    <w:jc w:val="center"/>
                    <w:rPr>
                      <w:szCs w:val="21"/>
                    </w:rPr>
                  </w:pPr>
                  <w:r>
                    <w:rPr>
                      <w:szCs w:val="21"/>
                    </w:rPr>
                    <w:t>《环境空气质量标准》（GB3095-2012）二类区</w:t>
                  </w: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巷口村</w:t>
                  </w:r>
                </w:p>
              </w:tc>
              <w:tc>
                <w:tcPr>
                  <w:tcW w:w="992" w:type="dxa"/>
                  <w:vAlign w:val="center"/>
                </w:tcPr>
                <w:p>
                  <w:pPr>
                    <w:adjustRightInd w:val="0"/>
                    <w:snapToGrid w:val="0"/>
                    <w:jc w:val="center"/>
                  </w:pPr>
                  <w:r>
                    <w:t>东北</w:t>
                  </w:r>
                </w:p>
              </w:tc>
              <w:tc>
                <w:tcPr>
                  <w:tcW w:w="1134" w:type="dxa"/>
                  <w:vAlign w:val="center"/>
                </w:tcPr>
                <w:p>
                  <w:pPr>
                    <w:adjustRightInd w:val="0"/>
                    <w:snapToGrid w:val="0"/>
                    <w:jc w:val="center"/>
                  </w:pPr>
                  <w:r>
                    <w:rPr>
                      <w:rFonts w:hint="eastAsia"/>
                    </w:rPr>
                    <w:t>1580</w:t>
                  </w:r>
                </w:p>
              </w:tc>
              <w:tc>
                <w:tcPr>
                  <w:tcW w:w="1134" w:type="dxa"/>
                  <w:vAlign w:val="center"/>
                </w:tcPr>
                <w:p>
                  <w:pPr>
                    <w:adjustRightInd w:val="0"/>
                    <w:snapToGrid w:val="0"/>
                    <w:jc w:val="center"/>
                  </w:pPr>
                  <w:r>
                    <w:rPr>
                      <w:rFonts w:hint="eastAsia"/>
                    </w:rPr>
                    <w:t>300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古塘黄家</w:t>
                  </w:r>
                </w:p>
              </w:tc>
              <w:tc>
                <w:tcPr>
                  <w:tcW w:w="992" w:type="dxa"/>
                  <w:vAlign w:val="center"/>
                </w:tcPr>
                <w:p>
                  <w:pPr>
                    <w:adjustRightInd w:val="0"/>
                    <w:snapToGrid w:val="0"/>
                    <w:jc w:val="center"/>
                  </w:pPr>
                  <w:r>
                    <w:t>东北</w:t>
                  </w:r>
                </w:p>
              </w:tc>
              <w:tc>
                <w:tcPr>
                  <w:tcW w:w="1134" w:type="dxa"/>
                  <w:vAlign w:val="center"/>
                </w:tcPr>
                <w:p>
                  <w:pPr>
                    <w:adjustRightInd w:val="0"/>
                    <w:snapToGrid w:val="0"/>
                    <w:jc w:val="center"/>
                  </w:pPr>
                  <w:r>
                    <w:rPr>
                      <w:rFonts w:hint="eastAsia"/>
                    </w:rPr>
                    <w:t>1260</w:t>
                  </w:r>
                </w:p>
              </w:tc>
              <w:tc>
                <w:tcPr>
                  <w:tcW w:w="1134" w:type="dxa"/>
                  <w:vAlign w:val="center"/>
                </w:tcPr>
                <w:p>
                  <w:pPr>
                    <w:adjustRightInd w:val="0"/>
                    <w:snapToGrid w:val="0"/>
                    <w:jc w:val="center"/>
                  </w:pPr>
                  <w:r>
                    <w:rPr>
                      <w:rFonts w:hint="eastAsia"/>
                    </w:rPr>
                    <w:t>550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77"/>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rPr>
                      <w:rFonts w:hint="eastAsia"/>
                    </w:rPr>
                    <w:t>临时安置点钱岗村安溪</w:t>
                  </w:r>
                </w:p>
              </w:tc>
              <w:tc>
                <w:tcPr>
                  <w:tcW w:w="992" w:type="dxa"/>
                  <w:vAlign w:val="center"/>
                </w:tcPr>
                <w:p>
                  <w:pPr>
                    <w:adjustRightInd w:val="0"/>
                    <w:snapToGrid w:val="0"/>
                    <w:jc w:val="center"/>
                  </w:pPr>
                  <w:r>
                    <w:t>东</w:t>
                  </w:r>
                </w:p>
              </w:tc>
              <w:tc>
                <w:tcPr>
                  <w:tcW w:w="1134" w:type="dxa"/>
                  <w:vAlign w:val="center"/>
                </w:tcPr>
                <w:p>
                  <w:pPr>
                    <w:adjustRightInd w:val="0"/>
                    <w:snapToGrid w:val="0"/>
                    <w:jc w:val="center"/>
                  </w:pPr>
                  <w:r>
                    <w:rPr>
                      <w:rFonts w:hint="eastAsia"/>
                    </w:rPr>
                    <w:t>350</w:t>
                  </w:r>
                </w:p>
              </w:tc>
              <w:tc>
                <w:tcPr>
                  <w:tcW w:w="1134" w:type="dxa"/>
                  <w:vAlign w:val="center"/>
                </w:tcPr>
                <w:p>
                  <w:pPr>
                    <w:adjustRightInd w:val="0"/>
                    <w:snapToGrid w:val="0"/>
                    <w:jc w:val="center"/>
                  </w:pPr>
                  <w:r>
                    <w:rPr>
                      <w:rFonts w:hint="eastAsia"/>
                    </w:rPr>
                    <w:t>150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安溪熊家</w:t>
                  </w:r>
                </w:p>
              </w:tc>
              <w:tc>
                <w:tcPr>
                  <w:tcW w:w="992" w:type="dxa"/>
                  <w:vAlign w:val="center"/>
                </w:tcPr>
                <w:p>
                  <w:pPr>
                    <w:adjustRightInd w:val="0"/>
                    <w:snapToGrid w:val="0"/>
                    <w:jc w:val="center"/>
                  </w:pPr>
                  <w:r>
                    <w:rPr>
                      <w:rFonts w:hint="eastAsia"/>
                    </w:rPr>
                    <w:t>东</w:t>
                  </w:r>
                  <w:r>
                    <w:t>南</w:t>
                  </w:r>
                </w:p>
              </w:tc>
              <w:tc>
                <w:tcPr>
                  <w:tcW w:w="1134" w:type="dxa"/>
                  <w:vAlign w:val="center"/>
                </w:tcPr>
                <w:p>
                  <w:pPr>
                    <w:adjustRightInd w:val="0"/>
                    <w:snapToGrid w:val="0"/>
                    <w:jc w:val="center"/>
                  </w:pPr>
                  <w:r>
                    <w:rPr>
                      <w:rFonts w:hint="eastAsia"/>
                    </w:rPr>
                    <w:t>1100</w:t>
                  </w:r>
                </w:p>
              </w:tc>
              <w:tc>
                <w:tcPr>
                  <w:tcW w:w="1134" w:type="dxa"/>
                  <w:vAlign w:val="center"/>
                </w:tcPr>
                <w:p>
                  <w:pPr>
                    <w:adjustRightInd w:val="0"/>
                    <w:snapToGrid w:val="0"/>
                    <w:jc w:val="center"/>
                  </w:pPr>
                  <w:r>
                    <w:rPr>
                      <w:rFonts w:hint="eastAsia"/>
                    </w:rPr>
                    <w:t>600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尤口村</w:t>
                  </w:r>
                </w:p>
              </w:tc>
              <w:tc>
                <w:tcPr>
                  <w:tcW w:w="992" w:type="dxa"/>
                  <w:vAlign w:val="center"/>
                </w:tcPr>
                <w:p>
                  <w:pPr>
                    <w:adjustRightInd w:val="0"/>
                    <w:snapToGrid w:val="0"/>
                    <w:jc w:val="center"/>
                  </w:pPr>
                  <w:r>
                    <w:t>西南</w:t>
                  </w:r>
                </w:p>
              </w:tc>
              <w:tc>
                <w:tcPr>
                  <w:tcW w:w="1134" w:type="dxa"/>
                  <w:vAlign w:val="center"/>
                </w:tcPr>
                <w:p>
                  <w:pPr>
                    <w:adjustRightInd w:val="0"/>
                    <w:snapToGrid w:val="0"/>
                    <w:jc w:val="center"/>
                  </w:pPr>
                  <w:r>
                    <w:rPr>
                      <w:rFonts w:hint="eastAsia"/>
                    </w:rPr>
                    <w:t>1700</w:t>
                  </w:r>
                </w:p>
              </w:tc>
              <w:tc>
                <w:tcPr>
                  <w:tcW w:w="1134" w:type="dxa"/>
                  <w:vAlign w:val="center"/>
                </w:tcPr>
                <w:p>
                  <w:pPr>
                    <w:adjustRightInd w:val="0"/>
                    <w:snapToGrid w:val="0"/>
                    <w:jc w:val="center"/>
                  </w:pPr>
                  <w:r>
                    <w:rPr>
                      <w:rFonts w:hint="eastAsia"/>
                    </w:rPr>
                    <w:t>900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下范村</w:t>
                  </w:r>
                </w:p>
              </w:tc>
              <w:tc>
                <w:tcPr>
                  <w:tcW w:w="992" w:type="dxa"/>
                  <w:vAlign w:val="center"/>
                </w:tcPr>
                <w:p>
                  <w:pPr>
                    <w:adjustRightInd w:val="0"/>
                    <w:snapToGrid w:val="0"/>
                    <w:jc w:val="center"/>
                  </w:pPr>
                  <w:r>
                    <w:t>西南</w:t>
                  </w:r>
                </w:p>
              </w:tc>
              <w:tc>
                <w:tcPr>
                  <w:tcW w:w="1134" w:type="dxa"/>
                  <w:vAlign w:val="center"/>
                </w:tcPr>
                <w:p>
                  <w:pPr>
                    <w:adjustRightInd w:val="0"/>
                    <w:snapToGrid w:val="0"/>
                    <w:jc w:val="center"/>
                  </w:pPr>
                  <w:r>
                    <w:rPr>
                      <w:rFonts w:hint="eastAsia"/>
                    </w:rPr>
                    <w:t>1000</w:t>
                  </w:r>
                </w:p>
              </w:tc>
              <w:tc>
                <w:tcPr>
                  <w:tcW w:w="1134" w:type="dxa"/>
                  <w:vAlign w:val="center"/>
                </w:tcPr>
                <w:p>
                  <w:pPr>
                    <w:adjustRightInd w:val="0"/>
                    <w:snapToGrid w:val="0"/>
                    <w:jc w:val="center"/>
                  </w:pPr>
                  <w:r>
                    <w:rPr>
                      <w:rFonts w:hint="eastAsia"/>
                    </w:rPr>
                    <w:t>250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南房刘家</w:t>
                  </w:r>
                </w:p>
              </w:tc>
              <w:tc>
                <w:tcPr>
                  <w:tcW w:w="992" w:type="dxa"/>
                  <w:vAlign w:val="center"/>
                </w:tcPr>
                <w:p>
                  <w:pPr>
                    <w:adjustRightInd w:val="0"/>
                    <w:snapToGrid w:val="0"/>
                    <w:jc w:val="center"/>
                  </w:pPr>
                  <w:r>
                    <w:t>西北</w:t>
                  </w:r>
                </w:p>
              </w:tc>
              <w:tc>
                <w:tcPr>
                  <w:tcW w:w="1134" w:type="dxa"/>
                  <w:vAlign w:val="center"/>
                </w:tcPr>
                <w:p>
                  <w:pPr>
                    <w:adjustRightInd w:val="0"/>
                    <w:snapToGrid w:val="0"/>
                    <w:jc w:val="center"/>
                  </w:pPr>
                  <w:r>
                    <w:rPr>
                      <w:rFonts w:hint="eastAsia"/>
                    </w:rPr>
                    <w:t>920</w:t>
                  </w:r>
                </w:p>
              </w:tc>
              <w:tc>
                <w:tcPr>
                  <w:tcW w:w="1134" w:type="dxa"/>
                  <w:vAlign w:val="center"/>
                </w:tcPr>
                <w:p>
                  <w:pPr>
                    <w:adjustRightInd w:val="0"/>
                    <w:snapToGrid w:val="0"/>
                    <w:jc w:val="center"/>
                  </w:pPr>
                  <w:r>
                    <w:rPr>
                      <w:rFonts w:hint="eastAsia"/>
                    </w:rPr>
                    <w:t>180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rPr>
                      <w:rFonts w:hint="eastAsia"/>
                    </w:rPr>
                    <w:t>钱岗</w:t>
                  </w:r>
                  <w:r>
                    <w:t>村</w:t>
                  </w:r>
                </w:p>
              </w:tc>
              <w:tc>
                <w:tcPr>
                  <w:tcW w:w="992" w:type="dxa"/>
                  <w:vAlign w:val="center"/>
                </w:tcPr>
                <w:p>
                  <w:pPr>
                    <w:adjustRightInd w:val="0"/>
                    <w:snapToGrid w:val="0"/>
                    <w:jc w:val="center"/>
                  </w:pPr>
                  <w:r>
                    <w:t>西北</w:t>
                  </w:r>
                </w:p>
              </w:tc>
              <w:tc>
                <w:tcPr>
                  <w:tcW w:w="1134" w:type="dxa"/>
                  <w:vAlign w:val="center"/>
                </w:tcPr>
                <w:p>
                  <w:pPr>
                    <w:adjustRightInd w:val="0"/>
                    <w:snapToGrid w:val="0"/>
                    <w:jc w:val="center"/>
                  </w:pPr>
                  <w:r>
                    <w:rPr>
                      <w:rFonts w:hint="eastAsia"/>
                    </w:rPr>
                    <w:t>900</w:t>
                  </w:r>
                </w:p>
              </w:tc>
              <w:tc>
                <w:tcPr>
                  <w:tcW w:w="1134" w:type="dxa"/>
                  <w:vAlign w:val="center"/>
                </w:tcPr>
                <w:p>
                  <w:pPr>
                    <w:adjustRightInd w:val="0"/>
                    <w:snapToGrid w:val="0"/>
                    <w:jc w:val="center"/>
                  </w:pPr>
                  <w:r>
                    <w:rPr>
                      <w:rFonts w:hint="eastAsia"/>
                    </w:rPr>
                    <w:t>600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rPr>
                      <w:rFonts w:hint="eastAsia"/>
                    </w:rPr>
                  </w:pPr>
                  <w:r>
                    <w:rPr>
                      <w:rFonts w:hint="eastAsia"/>
                    </w:rPr>
                    <w:t>钱岗小学</w:t>
                  </w:r>
                </w:p>
              </w:tc>
              <w:tc>
                <w:tcPr>
                  <w:tcW w:w="992" w:type="dxa"/>
                  <w:vAlign w:val="center"/>
                </w:tcPr>
                <w:p>
                  <w:pPr>
                    <w:adjustRightInd w:val="0"/>
                    <w:snapToGrid w:val="0"/>
                    <w:jc w:val="center"/>
                  </w:pPr>
                  <w:r>
                    <w:t>西北</w:t>
                  </w:r>
                </w:p>
              </w:tc>
              <w:tc>
                <w:tcPr>
                  <w:tcW w:w="1134" w:type="dxa"/>
                  <w:vAlign w:val="center"/>
                </w:tcPr>
                <w:p>
                  <w:pPr>
                    <w:adjustRightInd w:val="0"/>
                    <w:snapToGrid w:val="0"/>
                    <w:jc w:val="center"/>
                    <w:rPr>
                      <w:rFonts w:hint="eastAsia"/>
                    </w:rPr>
                  </w:pPr>
                  <w:r>
                    <w:rPr>
                      <w:rFonts w:hint="eastAsia"/>
                    </w:rPr>
                    <w:t>1080</w:t>
                  </w:r>
                </w:p>
              </w:tc>
              <w:tc>
                <w:tcPr>
                  <w:tcW w:w="1134" w:type="dxa"/>
                  <w:vAlign w:val="center"/>
                </w:tcPr>
                <w:p>
                  <w:pPr>
                    <w:adjustRightInd w:val="0"/>
                    <w:snapToGrid w:val="0"/>
                    <w:jc w:val="center"/>
                    <w:rPr>
                      <w:rFonts w:hint="eastAsia"/>
                    </w:rPr>
                  </w:pPr>
                  <w:r>
                    <w:rPr>
                      <w:rFonts w:hint="eastAsia"/>
                    </w:rPr>
                    <w:t>300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rPr>
                      <w:rFonts w:hint="eastAsia"/>
                    </w:rPr>
                  </w:pPr>
                  <w:r>
                    <w:rPr>
                      <w:rFonts w:hint="eastAsia"/>
                    </w:rPr>
                    <w:t>巷口赵家</w:t>
                  </w:r>
                </w:p>
              </w:tc>
              <w:tc>
                <w:tcPr>
                  <w:tcW w:w="992" w:type="dxa"/>
                  <w:vAlign w:val="center"/>
                </w:tcPr>
                <w:p>
                  <w:pPr>
                    <w:adjustRightInd w:val="0"/>
                    <w:snapToGrid w:val="0"/>
                    <w:jc w:val="center"/>
                  </w:pPr>
                  <w:r>
                    <w:t>北</w:t>
                  </w:r>
                </w:p>
              </w:tc>
              <w:tc>
                <w:tcPr>
                  <w:tcW w:w="1134" w:type="dxa"/>
                  <w:vAlign w:val="center"/>
                </w:tcPr>
                <w:p>
                  <w:pPr>
                    <w:adjustRightInd w:val="0"/>
                    <w:snapToGrid w:val="0"/>
                    <w:jc w:val="center"/>
                    <w:rPr>
                      <w:rFonts w:hint="eastAsia"/>
                    </w:rPr>
                  </w:pPr>
                  <w:r>
                    <w:rPr>
                      <w:rFonts w:hint="eastAsia"/>
                    </w:rPr>
                    <w:t>1500</w:t>
                  </w:r>
                </w:p>
              </w:tc>
              <w:tc>
                <w:tcPr>
                  <w:tcW w:w="1134" w:type="dxa"/>
                  <w:vAlign w:val="center"/>
                </w:tcPr>
                <w:p>
                  <w:pPr>
                    <w:adjustRightInd w:val="0"/>
                    <w:snapToGrid w:val="0"/>
                    <w:jc w:val="center"/>
                    <w:rPr>
                      <w:rFonts w:hint="eastAsia"/>
                    </w:rPr>
                  </w:pPr>
                  <w:r>
                    <w:rPr>
                      <w:rFonts w:hint="eastAsia"/>
                    </w:rPr>
                    <w:t>650</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20"/>
                <w:tblHeader/>
                <w:jc w:val="center"/>
              </w:trPr>
              <w:tc>
                <w:tcPr>
                  <w:tcW w:w="1068" w:type="dxa"/>
                  <w:vMerge w:val="restart"/>
                  <w:vAlign w:val="center"/>
                </w:tcPr>
                <w:p>
                  <w:pPr>
                    <w:adjustRightInd w:val="0"/>
                    <w:snapToGrid w:val="0"/>
                    <w:jc w:val="center"/>
                  </w:pPr>
                  <w:r>
                    <w:t>地表水环境</w:t>
                  </w:r>
                </w:p>
              </w:tc>
              <w:tc>
                <w:tcPr>
                  <w:tcW w:w="2410" w:type="dxa"/>
                  <w:vAlign w:val="center"/>
                </w:tcPr>
                <w:p>
                  <w:pPr>
                    <w:adjustRightInd w:val="0"/>
                    <w:snapToGrid w:val="0"/>
                    <w:jc w:val="center"/>
                  </w:pPr>
                  <w:r>
                    <w:t>赣江南支</w:t>
                  </w:r>
                </w:p>
              </w:tc>
              <w:tc>
                <w:tcPr>
                  <w:tcW w:w="992" w:type="dxa"/>
                  <w:vAlign w:val="center"/>
                </w:tcPr>
                <w:p>
                  <w:pPr>
                    <w:adjustRightInd w:val="0"/>
                    <w:snapToGrid w:val="0"/>
                    <w:jc w:val="center"/>
                  </w:pPr>
                  <w:r>
                    <w:t>西北</w:t>
                  </w:r>
                </w:p>
              </w:tc>
              <w:tc>
                <w:tcPr>
                  <w:tcW w:w="1134" w:type="dxa"/>
                  <w:vAlign w:val="center"/>
                </w:tcPr>
                <w:p>
                  <w:pPr>
                    <w:adjustRightInd w:val="0"/>
                    <w:snapToGrid w:val="0"/>
                    <w:jc w:val="center"/>
                  </w:pPr>
                  <w:r>
                    <w:t>约</w:t>
                  </w:r>
                  <w:r>
                    <w:rPr>
                      <w:rFonts w:hint="eastAsia"/>
                    </w:rPr>
                    <w:t>1250</w:t>
                  </w:r>
                </w:p>
              </w:tc>
              <w:tc>
                <w:tcPr>
                  <w:tcW w:w="1134" w:type="dxa"/>
                  <w:vAlign w:val="center"/>
                </w:tcPr>
                <w:p>
                  <w:pPr>
                    <w:adjustRightInd w:val="0"/>
                    <w:snapToGrid w:val="0"/>
                    <w:jc w:val="center"/>
                  </w:pPr>
                  <w:r>
                    <w:t>大河</w:t>
                  </w:r>
                </w:p>
              </w:tc>
              <w:tc>
                <w:tcPr>
                  <w:tcW w:w="2618" w:type="dxa"/>
                  <w:vMerge w:val="restart"/>
                  <w:vAlign w:val="center"/>
                </w:tcPr>
                <w:p>
                  <w:pPr>
                    <w:adjustRightInd w:val="0"/>
                    <w:snapToGrid w:val="0"/>
                    <w:jc w:val="center"/>
                  </w:pPr>
                  <w:r>
                    <w:t>《地表水环境质量标准》（GB3838-2002）Ⅳ类水体</w:t>
                  </w:r>
                </w:p>
              </w:tc>
            </w:tr>
            <w:tr>
              <w:tblPrEx>
                <w:tblW w:w="9356" w:type="dxa"/>
                <w:jc w:val="center"/>
                <w:tblInd w:w="113" w:type="dxa"/>
                <w:tblLayout w:type="fixed"/>
                <w:tblCellMar>
                  <w:top w:w="0" w:type="dxa"/>
                  <w:left w:w="108" w:type="dxa"/>
                  <w:bottom w:w="0" w:type="dxa"/>
                  <w:right w:w="108" w:type="dxa"/>
                </w:tblCellMar>
                <w:tblLook w:val="0000"/>
              </w:tblPrEx>
              <w:trPr>
                <w:trHeight w:val="77"/>
                <w:tblHeader/>
                <w:jc w:val="center"/>
              </w:trPr>
              <w:tc>
                <w:tcPr>
                  <w:tcW w:w="1068" w:type="dxa"/>
                  <w:vMerge/>
                  <w:vAlign w:val="center"/>
                </w:tcPr>
                <w:p>
                  <w:pPr>
                    <w:adjustRightInd w:val="0"/>
                    <w:snapToGrid w:val="0"/>
                    <w:jc w:val="center"/>
                  </w:pPr>
                </w:p>
              </w:tc>
              <w:tc>
                <w:tcPr>
                  <w:tcW w:w="2410" w:type="dxa"/>
                  <w:vAlign w:val="center"/>
                </w:tcPr>
                <w:p>
                  <w:pPr>
                    <w:adjustRightInd w:val="0"/>
                    <w:snapToGrid w:val="0"/>
                    <w:jc w:val="center"/>
                  </w:pPr>
                  <w:r>
                    <w:t>瑶湖</w:t>
                  </w:r>
                </w:p>
              </w:tc>
              <w:tc>
                <w:tcPr>
                  <w:tcW w:w="992" w:type="dxa"/>
                  <w:vAlign w:val="center"/>
                </w:tcPr>
                <w:p>
                  <w:pPr>
                    <w:adjustRightInd w:val="0"/>
                    <w:snapToGrid w:val="0"/>
                    <w:jc w:val="center"/>
                  </w:pPr>
                  <w:r>
                    <w:rPr>
                      <w:rFonts w:hint="eastAsia"/>
                    </w:rPr>
                    <w:t>东南</w:t>
                  </w:r>
                </w:p>
              </w:tc>
              <w:tc>
                <w:tcPr>
                  <w:tcW w:w="1134" w:type="dxa"/>
                  <w:vAlign w:val="center"/>
                </w:tcPr>
                <w:p>
                  <w:pPr>
                    <w:adjustRightInd w:val="0"/>
                    <w:snapToGrid w:val="0"/>
                    <w:jc w:val="center"/>
                  </w:pPr>
                  <w:r>
                    <w:rPr>
                      <w:rFonts w:hint="eastAsia"/>
                    </w:rPr>
                    <w:t>约1500</w:t>
                  </w:r>
                </w:p>
              </w:tc>
              <w:tc>
                <w:tcPr>
                  <w:tcW w:w="1134" w:type="dxa"/>
                  <w:vAlign w:val="center"/>
                </w:tcPr>
                <w:p>
                  <w:pPr>
                    <w:adjustRightInd w:val="0"/>
                    <w:snapToGrid w:val="0"/>
                    <w:jc w:val="center"/>
                  </w:pPr>
                  <w:r>
                    <w:t>/</w:t>
                  </w:r>
                </w:p>
              </w:tc>
              <w:tc>
                <w:tcPr>
                  <w:tcW w:w="2618" w:type="dxa"/>
                  <w:vMerge/>
                  <w:vAlign w:val="center"/>
                </w:tcPr>
                <w:p>
                  <w:pPr>
                    <w:adjustRightInd w:val="0"/>
                    <w:snapToGrid w:val="0"/>
                    <w:jc w:val="center"/>
                  </w:pPr>
                </w:p>
              </w:tc>
            </w:tr>
            <w:tr>
              <w:tblPrEx>
                <w:tblW w:w="9356" w:type="dxa"/>
                <w:jc w:val="center"/>
                <w:tblInd w:w="113" w:type="dxa"/>
                <w:tblLayout w:type="fixed"/>
                <w:tblCellMar>
                  <w:top w:w="0" w:type="dxa"/>
                  <w:left w:w="108" w:type="dxa"/>
                  <w:bottom w:w="0" w:type="dxa"/>
                  <w:right w:w="108" w:type="dxa"/>
                </w:tblCellMar>
                <w:tblLook w:val="0000"/>
              </w:tblPrEx>
              <w:trPr>
                <w:trHeight w:val="464"/>
                <w:tblHeader/>
                <w:jc w:val="center"/>
              </w:trPr>
              <w:tc>
                <w:tcPr>
                  <w:tcW w:w="1068" w:type="dxa"/>
                  <w:vAlign w:val="center"/>
                </w:tcPr>
                <w:p>
                  <w:pPr>
                    <w:adjustRightInd w:val="0"/>
                    <w:snapToGrid w:val="0"/>
                    <w:jc w:val="center"/>
                  </w:pPr>
                  <w:r>
                    <w:t>地下水</w:t>
                  </w:r>
                </w:p>
              </w:tc>
              <w:tc>
                <w:tcPr>
                  <w:tcW w:w="2410" w:type="dxa"/>
                  <w:vAlign w:val="center"/>
                </w:tcPr>
                <w:p>
                  <w:pPr>
                    <w:adjustRightInd w:val="0"/>
                    <w:snapToGrid w:val="0"/>
                    <w:jc w:val="center"/>
                  </w:pPr>
                  <w:r>
                    <w:t>第四系含水层</w:t>
                  </w:r>
                </w:p>
              </w:tc>
              <w:tc>
                <w:tcPr>
                  <w:tcW w:w="992" w:type="dxa"/>
                  <w:vAlign w:val="center"/>
                </w:tcPr>
                <w:p>
                  <w:pPr>
                    <w:adjustRightInd w:val="0"/>
                    <w:snapToGrid w:val="0"/>
                    <w:jc w:val="center"/>
                    <w:rPr>
                      <w:rFonts w:hint="eastAsia"/>
                    </w:rPr>
                  </w:pPr>
                  <w:r>
                    <w:rPr>
                      <w:rFonts w:hint="eastAsia"/>
                    </w:rPr>
                    <w:t>/</w:t>
                  </w:r>
                </w:p>
              </w:tc>
              <w:tc>
                <w:tcPr>
                  <w:tcW w:w="1134" w:type="dxa"/>
                  <w:vAlign w:val="center"/>
                </w:tcPr>
                <w:p>
                  <w:pPr>
                    <w:adjustRightInd w:val="0"/>
                    <w:snapToGrid w:val="0"/>
                    <w:jc w:val="center"/>
                    <w:rPr>
                      <w:rFonts w:hint="eastAsia"/>
                    </w:rPr>
                  </w:pPr>
                  <w:r>
                    <w:rPr>
                      <w:rFonts w:hint="eastAsia"/>
                    </w:rPr>
                    <w:t>/</w:t>
                  </w:r>
                </w:p>
              </w:tc>
              <w:tc>
                <w:tcPr>
                  <w:tcW w:w="1134" w:type="dxa"/>
                  <w:vAlign w:val="center"/>
                </w:tcPr>
                <w:p>
                  <w:pPr>
                    <w:adjustRightInd w:val="0"/>
                    <w:snapToGrid w:val="0"/>
                    <w:jc w:val="center"/>
                  </w:pPr>
                  <w:r>
                    <w:rPr>
                      <w:rFonts w:hint="eastAsia"/>
                    </w:rPr>
                    <w:t>/</w:t>
                  </w:r>
                </w:p>
              </w:tc>
              <w:tc>
                <w:tcPr>
                  <w:tcW w:w="2618" w:type="dxa"/>
                  <w:vAlign w:val="center"/>
                </w:tcPr>
                <w:p>
                  <w:pPr>
                    <w:adjustRightInd w:val="0"/>
                    <w:snapToGrid w:val="0"/>
                    <w:jc w:val="center"/>
                  </w:pPr>
                  <w:r>
                    <w:rPr>
                      <w:rFonts w:hint="eastAsia"/>
                    </w:rPr>
                    <w:t>《地下水质量标准》（GB/T14848-93）中III类</w:t>
                  </w:r>
                </w:p>
              </w:tc>
            </w:tr>
          </w:tbl>
          <w:p/>
        </w:tc>
      </w:tr>
    </w:tbl>
    <w:p>
      <w:pPr>
        <w:sectPr>
          <w:headerReference w:type="default" r:id="rId49"/>
          <w:footerReference w:type="even" r:id="rId50"/>
          <w:footerReference w:type="default" r:id="rId51"/>
          <w:type w:val="nextPage"/>
          <w:pgSz w:w="11906" w:h="16838"/>
          <w:pgMar w:top="1440" w:right="1469" w:bottom="1440" w:left="1797" w:header="851" w:footer="992" w:gutter="0"/>
          <w:pgNumType w:start="16"/>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38"/>
          <w:jc w:val="center"/>
        </w:trPr>
        <w:tc>
          <w:tcPr>
            <w:tcW w:w="8852" w:type="dxa"/>
            <w:tcBorders>
              <w:top w:val="single" w:sz="4" w:space="0" w:color="auto"/>
              <w:left w:val="single" w:sz="4" w:space="0" w:color="auto"/>
              <w:bottom w:val="single" w:sz="4" w:space="0" w:color="auto"/>
              <w:right w:val="single" w:sz="4" w:space="0" w:color="auto"/>
            </w:tcBorders>
          </w:tcPr>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68"/>
              <w:gridCol w:w="2410"/>
              <w:gridCol w:w="992"/>
              <w:gridCol w:w="2268"/>
              <w:gridCol w:w="2618"/>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9"/>
                <w:tblHeader/>
                <w:jc w:val="center"/>
              </w:trPr>
              <w:tc>
                <w:tcPr>
                  <w:tcW w:w="1068" w:type="dxa"/>
                  <w:vAlign w:val="center"/>
                </w:tcPr>
                <w:p>
                  <w:pPr>
                    <w:adjustRightInd w:val="0"/>
                    <w:snapToGrid w:val="0"/>
                    <w:jc w:val="center"/>
                  </w:pPr>
                  <w:r>
                    <w:t>声环境</w:t>
                  </w:r>
                </w:p>
              </w:tc>
              <w:tc>
                <w:tcPr>
                  <w:tcW w:w="2410" w:type="dxa"/>
                  <w:vAlign w:val="center"/>
                </w:tcPr>
                <w:p>
                  <w:pPr>
                    <w:adjustRightInd w:val="0"/>
                    <w:snapToGrid w:val="0"/>
                    <w:jc w:val="center"/>
                  </w:pPr>
                  <w:r>
                    <w:t>项目周边区域</w:t>
                  </w:r>
                </w:p>
              </w:tc>
              <w:tc>
                <w:tcPr>
                  <w:tcW w:w="992" w:type="dxa"/>
                  <w:vAlign w:val="center"/>
                </w:tcPr>
                <w:p>
                  <w:pPr>
                    <w:adjustRightInd w:val="0"/>
                    <w:snapToGrid w:val="0"/>
                    <w:jc w:val="center"/>
                  </w:pPr>
                  <w:r>
                    <w:t>/</w:t>
                  </w:r>
                </w:p>
              </w:tc>
              <w:tc>
                <w:tcPr>
                  <w:tcW w:w="2268" w:type="dxa"/>
                  <w:vAlign w:val="center"/>
                </w:tcPr>
                <w:p>
                  <w:pPr>
                    <w:adjustRightInd w:val="0"/>
                    <w:snapToGrid w:val="0"/>
                    <w:jc w:val="center"/>
                  </w:pPr>
                  <w:r>
                    <w:t>厂界1m</w:t>
                  </w:r>
                </w:p>
              </w:tc>
              <w:tc>
                <w:tcPr>
                  <w:tcW w:w="2618" w:type="dxa"/>
                  <w:vAlign w:val="center"/>
                </w:tcPr>
                <w:p>
                  <w:pPr>
                    <w:adjustRightInd w:val="0"/>
                    <w:snapToGrid w:val="0"/>
                    <w:jc w:val="center"/>
                  </w:pPr>
                  <w:r>
                    <w:t>《声环境质量标准》</w:t>
                  </w:r>
                </w:p>
                <w:p>
                  <w:pPr>
                    <w:adjustRightInd w:val="0"/>
                    <w:snapToGrid w:val="0"/>
                    <w:jc w:val="center"/>
                  </w:pPr>
                  <w:r>
                    <w:t>（GB3096-2008）</w:t>
                  </w:r>
                  <w:r>
                    <w:rPr>
                      <w:rFonts w:hint="eastAsia"/>
                    </w:rPr>
                    <w:t>3</w:t>
                  </w:r>
                  <w:r>
                    <w:t>类</w:t>
                  </w:r>
                </w:p>
              </w:tc>
            </w:tr>
          </w:tbl>
          <w:p>
            <w:pPr>
              <w:snapToGrid w:val="0"/>
              <w:spacing w:line="360" w:lineRule="auto"/>
              <w:ind w:firstLine="480" w:firstLineChars="200"/>
              <w:rPr>
                <w:rFonts w:hint="eastAsia"/>
                <w:sz w:val="24"/>
              </w:rPr>
            </w:pPr>
          </w:p>
          <w:p>
            <w:pPr>
              <w:snapToGrid w:val="0"/>
              <w:spacing w:line="360" w:lineRule="auto"/>
              <w:ind w:firstLine="480" w:firstLineChars="200"/>
              <w:rPr>
                <w:sz w:val="24"/>
              </w:rPr>
            </w:pPr>
            <w:r>
              <w:rPr>
                <w:rFonts w:hint="eastAsia"/>
                <w:sz w:val="24"/>
              </w:rPr>
              <w:t>营运期主要环境保护目标：</w:t>
            </w:r>
          </w:p>
          <w:p>
            <w:pPr>
              <w:snapToGrid w:val="0"/>
              <w:spacing w:line="360" w:lineRule="auto"/>
              <w:ind w:firstLine="480" w:firstLineChars="200"/>
              <w:rPr>
                <w:sz w:val="24"/>
              </w:rPr>
            </w:pPr>
            <w:r>
              <w:rPr>
                <w:sz w:val="24"/>
              </w:rPr>
              <w:t>一、保护当地大气环境达到《环境空气质量标准》（GB3095-2012）中二级标准。</w:t>
            </w:r>
          </w:p>
          <w:p>
            <w:pPr>
              <w:snapToGrid w:val="0"/>
              <w:spacing w:line="360" w:lineRule="auto"/>
              <w:ind w:firstLine="480" w:firstLineChars="200"/>
              <w:rPr>
                <w:sz w:val="24"/>
              </w:rPr>
            </w:pPr>
            <w:r>
              <w:rPr>
                <w:sz w:val="24"/>
              </w:rPr>
              <w:t>二、严格控制噪声源，确保厂界噪声满足《声环境质量标准》（GB3096-2008）中3类标准，不对周围环境保护目标造成影响。</w:t>
            </w:r>
          </w:p>
          <w:p>
            <w:pPr>
              <w:snapToGrid w:val="0"/>
              <w:spacing w:line="360" w:lineRule="auto"/>
              <w:ind w:firstLine="480" w:firstLineChars="200"/>
              <w:rPr>
                <w:sz w:val="24"/>
              </w:rPr>
            </w:pPr>
            <w:r>
              <w:rPr>
                <w:sz w:val="24"/>
              </w:rPr>
              <w:t>三、项目废水经污水处理设施处理后进入瑶湖污水处理厂，保障赣江南支水环境功能区划达到《地表水环境质量标准》（GB3838-2002）中Ⅳ类标准。</w:t>
            </w:r>
          </w:p>
          <w:p>
            <w:pPr>
              <w:snapToGrid w:val="0"/>
              <w:spacing w:line="360" w:lineRule="auto"/>
              <w:ind w:firstLine="480" w:firstLineChars="200"/>
              <w:rPr>
                <w:rFonts w:hint="eastAsia"/>
                <w:sz w:val="24"/>
              </w:rPr>
            </w:pPr>
            <w:r>
              <w:rPr>
                <w:sz w:val="24"/>
              </w:rPr>
              <w:t>四、保障当地地下水环境达到《地下水质量标准》（GB/T14848-93）中III类标准。</w:t>
            </w: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p>
            <w:pPr>
              <w:snapToGrid w:val="0"/>
              <w:spacing w:line="360" w:lineRule="auto"/>
              <w:ind w:firstLine="480" w:firstLineChars="200"/>
              <w:rPr>
                <w:rFonts w:hint="eastAsia"/>
                <w:sz w:val="24"/>
              </w:rPr>
            </w:pPr>
          </w:p>
        </w:tc>
      </w:tr>
    </w:tbl>
    <w:p>
      <w:pPr>
        <w:sectPr>
          <w:headerReference w:type="default" r:id="rId52"/>
          <w:footerReference w:type="even" r:id="rId53"/>
          <w:footerReference w:type="default" r:id="rId54"/>
          <w:type w:val="nextPage"/>
          <w:pgSz w:w="11906" w:h="16838"/>
          <w:pgMar w:top="1440" w:right="1469" w:bottom="1440" w:left="1797" w:header="851" w:footer="992" w:gutter="0"/>
          <w:pgNumType w:start="17"/>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38"/>
          <w:jc w:val="center"/>
        </w:trPr>
        <w:tc>
          <w:tcPr>
            <w:tcW w:w="8852" w:type="dxa"/>
            <w:tcBorders>
              <w:top w:val="single" w:sz="4" w:space="0" w:color="auto"/>
              <w:left w:val="single" w:sz="4" w:space="0" w:color="auto"/>
              <w:bottom w:val="single" w:sz="4" w:space="0" w:color="auto"/>
              <w:right w:val="single" w:sz="4" w:space="0" w:color="auto"/>
            </w:tcBorders>
          </w:tcPr>
          <w:p>
            <w:pPr>
              <w:snapToGrid w:val="0"/>
              <w:spacing w:line="360" w:lineRule="auto"/>
              <w:ind w:firstLine="480" w:firstLineChars="200"/>
              <w:rPr>
                <w:rFonts w:hint="eastAsia"/>
                <w:sz w:val="24"/>
              </w:rPr>
            </w:pPr>
          </w:p>
          <w:p>
            <w:pPr>
              <w:snapToGrid w:val="0"/>
              <w:spacing w:line="360" w:lineRule="auto"/>
              <w:ind w:firstLine="480" w:firstLineChars="200"/>
              <w:rPr>
                <w:sz w:val="24"/>
              </w:rPr>
            </w:pPr>
          </w:p>
        </w:tc>
      </w:tr>
    </w:tbl>
    <w:p>
      <w:pPr>
        <w:pStyle w:val="Title"/>
        <w:snapToGrid w:val="0"/>
        <w:spacing w:before="0" w:after="0"/>
        <w:rPr>
          <w:rFonts w:ascii="Times New Roman" w:hAnsi="Times New Roman"/>
        </w:rPr>
        <w:sectPr>
          <w:headerReference w:type="default" r:id="rId55"/>
          <w:footerReference w:type="even" r:id="rId56"/>
          <w:footerReference w:type="default" r:id="rId57"/>
          <w:type w:val="nextPage"/>
          <w:pgSz w:w="11906" w:h="16838"/>
          <w:pgMar w:top="1440" w:right="1469" w:bottom="1440" w:left="1797" w:header="851" w:footer="992" w:gutter="0"/>
          <w:pgNumType w:start="18"/>
          <w:cols w:space="708"/>
          <w:titlePg w:val="0"/>
          <w:docGrid w:type="lines" w:linePitch="312"/>
        </w:sectPr>
      </w:pPr>
    </w:p>
    <w:p>
      <w:pPr>
        <w:pStyle w:val="Title"/>
        <w:snapToGrid w:val="0"/>
        <w:spacing w:before="0" w:after="0"/>
        <w:ind w:left="-420" w:leftChars="-200"/>
        <w:rPr>
          <w:rFonts w:ascii="Times New Roman" w:hAnsi="Times New Roman"/>
        </w:rPr>
      </w:pPr>
      <w:r>
        <w:rPr>
          <w:rFonts w:ascii="Times New Roman" w:hAnsi="Times New Roman"/>
        </w:rPr>
        <w:t>四</w:t>
      </w:r>
      <w:r>
        <w:rPr>
          <w:rFonts w:ascii="Times New Roman" w:hAnsi="Times New Roman" w:hint="eastAsia"/>
          <w:lang w:eastAsia="zh-CN"/>
        </w:rPr>
        <w:t>、</w:t>
      </w:r>
      <w:r>
        <w:rPr>
          <w:rFonts w:ascii="Times New Roman" w:hAnsi="Times New Roman"/>
        </w:rPr>
        <w:t>评价适用标准</w:t>
      </w:r>
    </w:p>
    <w:tbl>
      <w:tblPr>
        <w:tblStyle w:val="TableNormal"/>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8"/>
        <w:gridCol w:w="9101"/>
      </w:tblGrid>
      <w:tr>
        <w:tblPrEx>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679"/>
          <w:jc w:val="center"/>
        </w:trPr>
        <w:tc>
          <w:tcPr>
            <w:tcW w:w="494" w:type="dxa"/>
            <w:vAlign w:val="center"/>
          </w:tcPr>
          <w:p>
            <w:pPr>
              <w:snapToGrid w:val="0"/>
              <w:jc w:val="center"/>
              <w:rPr>
                <w:b/>
                <w:sz w:val="28"/>
                <w:szCs w:val="28"/>
              </w:rPr>
            </w:pPr>
            <w:r>
              <w:rPr>
                <w:b/>
                <w:sz w:val="28"/>
                <w:szCs w:val="28"/>
              </w:rPr>
              <w:t>环境质量标准</w:t>
            </w:r>
          </w:p>
        </w:tc>
        <w:tc>
          <w:tcPr>
            <w:tcW w:w="8362" w:type="dxa"/>
          </w:tcPr>
          <w:p>
            <w:pPr>
              <w:pStyle w:val="Heading2"/>
              <w:spacing w:before="0" w:after="0" w:line="360" w:lineRule="auto"/>
              <w:ind w:left="210" w:right="210"/>
              <w:rPr>
                <w:rFonts w:ascii="Times New Roman" w:hAnsi="Times New Roman"/>
                <w:lang w:val="en-US" w:eastAsia="zh-CN"/>
              </w:rPr>
            </w:pPr>
            <w:r>
              <w:rPr>
                <w:rFonts w:ascii="Times New Roman" w:hAnsi="Times New Roman"/>
                <w:lang w:val="en-US" w:eastAsia="zh-CN"/>
              </w:rPr>
              <w:t>1、环境空气质量标准</w:t>
            </w:r>
          </w:p>
          <w:p>
            <w:pPr>
              <w:adjustRightInd w:val="0"/>
              <w:spacing w:line="360" w:lineRule="auto"/>
              <w:ind w:firstLine="480" w:firstLineChars="200"/>
              <w:rPr>
                <w:sz w:val="24"/>
              </w:rPr>
            </w:pPr>
            <w:r>
              <w:rPr>
                <w:sz w:val="24"/>
              </w:rPr>
              <w:t>根据环境空气功能区划，项目所在区域属于二类环境空气质量功能区，环境空气质量执行国家《环境空气质量标准》（GB3095-2012）中二级标准，</w:t>
            </w:r>
            <w:r>
              <w:rPr>
                <w:rFonts w:hint="eastAsia"/>
                <w:sz w:val="24"/>
              </w:rPr>
              <w:t xml:space="preserve"> VOCs参照《室内空气质量标准》（GB/T18883-2002）中TVOC相关标准，</w:t>
            </w:r>
            <w:r>
              <w:rPr>
                <w:sz w:val="24"/>
              </w:rPr>
              <w:t>具体标准值表</w:t>
            </w:r>
            <w:r>
              <w:rPr>
                <w:rFonts w:hint="eastAsia"/>
                <w:sz w:val="24"/>
              </w:rPr>
              <w:t>4-1</w:t>
            </w:r>
            <w:r>
              <w:rPr>
                <w:sz w:val="24"/>
              </w:rPr>
              <w:t>。</w:t>
            </w:r>
          </w:p>
          <w:p>
            <w:pPr>
              <w:adjustRightInd w:val="0"/>
              <w:snapToGrid w:val="0"/>
              <w:spacing w:line="360" w:lineRule="auto"/>
              <w:ind w:firstLine="420" w:firstLineChars="200"/>
              <w:jc w:val="center"/>
              <w:rPr>
                <w:sz w:val="24"/>
              </w:rPr>
            </w:pPr>
            <w:r>
              <w:rPr>
                <w:b/>
                <w:szCs w:val="21"/>
              </w:rPr>
              <w:t>表</w:t>
            </w:r>
            <w:r>
              <w:rPr>
                <w:rFonts w:hint="eastAsia"/>
                <w:b/>
                <w:szCs w:val="21"/>
              </w:rPr>
              <w:t>4-1</w:t>
            </w:r>
            <w:r>
              <w:rPr>
                <w:b/>
                <w:szCs w:val="21"/>
              </w:rPr>
              <w:t xml:space="preserve"> 环境空气质量标准单位：μg/m</w:t>
            </w:r>
            <w:r>
              <w:rPr>
                <w:b/>
                <w:szCs w:val="21"/>
                <w:vertAlign w:val="superscript"/>
              </w:rPr>
              <w:t>3</w:t>
            </w:r>
          </w:p>
          <w:tbl>
            <w:tblPr>
              <w:tblStyle w:val="TableNormal"/>
              <w:tblW w:w="0" w:type="auto"/>
              <w:tblInd w:w="1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1397"/>
              <w:gridCol w:w="1573"/>
              <w:gridCol w:w="1444"/>
              <w:gridCol w:w="1441"/>
              <w:gridCol w:w="2973"/>
            </w:tblGrid>
            <w:tr>
              <w:tblPrEx>
                <w:tblW w:w="0" w:type="auto"/>
                <w:tblInd w:w="1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395"/>
              </w:trPr>
              <w:tc>
                <w:tcPr>
                  <w:tcW w:w="1397" w:type="dxa"/>
                  <w:vMerge w:val="restart"/>
                  <w:vAlign w:val="center"/>
                </w:tcPr>
                <w:p>
                  <w:pPr>
                    <w:adjustRightInd w:val="0"/>
                    <w:snapToGrid w:val="0"/>
                    <w:jc w:val="center"/>
                    <w:rPr>
                      <w:szCs w:val="21"/>
                    </w:rPr>
                  </w:pPr>
                  <w:r>
                    <w:rPr>
                      <w:szCs w:val="21"/>
                    </w:rPr>
                    <w:t>污染因子</w:t>
                  </w:r>
                </w:p>
              </w:tc>
              <w:tc>
                <w:tcPr>
                  <w:tcW w:w="4458" w:type="dxa"/>
                  <w:gridSpan w:val="3"/>
                  <w:vAlign w:val="center"/>
                </w:tcPr>
                <w:p>
                  <w:pPr>
                    <w:adjustRightInd w:val="0"/>
                    <w:snapToGrid w:val="0"/>
                    <w:ind w:firstLine="420" w:firstLineChars="200"/>
                    <w:jc w:val="center"/>
                    <w:rPr>
                      <w:szCs w:val="21"/>
                      <w:vertAlign w:val="superscript"/>
                    </w:rPr>
                  </w:pPr>
                  <w:r>
                    <w:rPr>
                      <w:szCs w:val="21"/>
                    </w:rPr>
                    <w:t>各项污染物的浓度限值（μg/m</w:t>
                  </w:r>
                  <w:r>
                    <w:rPr>
                      <w:szCs w:val="21"/>
                      <w:vertAlign w:val="superscript"/>
                    </w:rPr>
                    <w:t>3</w:t>
                  </w:r>
                  <w:r>
                    <w:rPr>
                      <w:szCs w:val="21"/>
                    </w:rPr>
                    <w:t>）</w:t>
                  </w:r>
                </w:p>
              </w:tc>
              <w:tc>
                <w:tcPr>
                  <w:tcW w:w="2973" w:type="dxa"/>
                  <w:vMerge w:val="restart"/>
                  <w:vAlign w:val="center"/>
                </w:tcPr>
                <w:p>
                  <w:pPr>
                    <w:adjustRightInd w:val="0"/>
                    <w:snapToGrid w:val="0"/>
                    <w:ind w:firstLine="420" w:firstLineChars="200"/>
                    <w:jc w:val="center"/>
                    <w:rPr>
                      <w:szCs w:val="21"/>
                    </w:rPr>
                  </w:pPr>
                  <w:r>
                    <w:rPr>
                      <w:szCs w:val="21"/>
                    </w:rPr>
                    <w:t>标准来源</w:t>
                  </w:r>
                </w:p>
              </w:tc>
            </w:tr>
            <w:tr>
              <w:tblPrEx>
                <w:tblW w:w="0" w:type="auto"/>
                <w:tblInd w:w="111" w:type="dxa"/>
                <w:tblLayout w:type="fixed"/>
                <w:tblCellMar>
                  <w:top w:w="0" w:type="dxa"/>
                  <w:left w:w="108" w:type="dxa"/>
                  <w:bottom w:w="0" w:type="dxa"/>
                  <w:right w:w="108" w:type="dxa"/>
                </w:tblCellMar>
                <w:tblLook w:val="0000"/>
              </w:tblPrEx>
              <w:trPr>
                <w:trHeight w:val="133"/>
              </w:trPr>
              <w:tc>
                <w:tcPr>
                  <w:tcW w:w="1397" w:type="dxa"/>
                  <w:vMerge/>
                  <w:vAlign w:val="center"/>
                </w:tcPr>
                <w:p>
                  <w:pPr>
                    <w:adjustRightInd w:val="0"/>
                    <w:snapToGrid w:val="0"/>
                    <w:ind w:firstLine="420" w:firstLineChars="200"/>
                    <w:jc w:val="center"/>
                    <w:rPr>
                      <w:szCs w:val="21"/>
                    </w:rPr>
                  </w:pPr>
                </w:p>
              </w:tc>
              <w:tc>
                <w:tcPr>
                  <w:tcW w:w="1573" w:type="dxa"/>
                  <w:vAlign w:val="center"/>
                </w:tcPr>
                <w:p>
                  <w:pPr>
                    <w:adjustRightInd w:val="0"/>
                    <w:snapToGrid w:val="0"/>
                    <w:jc w:val="center"/>
                    <w:rPr>
                      <w:szCs w:val="21"/>
                    </w:rPr>
                  </w:pPr>
                  <w:r>
                    <w:rPr>
                      <w:szCs w:val="21"/>
                    </w:rPr>
                    <w:t>1小时平均</w:t>
                  </w:r>
                </w:p>
              </w:tc>
              <w:tc>
                <w:tcPr>
                  <w:tcW w:w="1444" w:type="dxa"/>
                  <w:vAlign w:val="center"/>
                </w:tcPr>
                <w:p>
                  <w:pPr>
                    <w:adjustRightInd w:val="0"/>
                    <w:snapToGrid w:val="0"/>
                    <w:jc w:val="center"/>
                    <w:rPr>
                      <w:szCs w:val="21"/>
                    </w:rPr>
                  </w:pPr>
                  <w:r>
                    <w:rPr>
                      <w:szCs w:val="21"/>
                    </w:rPr>
                    <w:t>24小时平均</w:t>
                  </w:r>
                </w:p>
              </w:tc>
              <w:tc>
                <w:tcPr>
                  <w:tcW w:w="1441" w:type="dxa"/>
                  <w:vAlign w:val="center"/>
                </w:tcPr>
                <w:p>
                  <w:pPr>
                    <w:adjustRightInd w:val="0"/>
                    <w:snapToGrid w:val="0"/>
                    <w:jc w:val="center"/>
                    <w:rPr>
                      <w:szCs w:val="21"/>
                    </w:rPr>
                  </w:pPr>
                  <w:r>
                    <w:rPr>
                      <w:szCs w:val="21"/>
                    </w:rPr>
                    <w:t>年平均</w:t>
                  </w:r>
                </w:p>
              </w:tc>
              <w:tc>
                <w:tcPr>
                  <w:tcW w:w="2973" w:type="dxa"/>
                  <w:vMerge/>
                  <w:vAlign w:val="center"/>
                </w:tcPr>
                <w:p>
                  <w:pPr>
                    <w:adjustRightInd w:val="0"/>
                    <w:snapToGrid w:val="0"/>
                    <w:ind w:firstLine="420" w:firstLineChars="200"/>
                    <w:jc w:val="center"/>
                    <w:rPr>
                      <w:szCs w:val="21"/>
                    </w:rPr>
                  </w:pPr>
                </w:p>
              </w:tc>
            </w:tr>
            <w:tr>
              <w:tblPrEx>
                <w:tblW w:w="0" w:type="auto"/>
                <w:tblInd w:w="111" w:type="dxa"/>
                <w:tblLayout w:type="fixed"/>
                <w:tblCellMar>
                  <w:top w:w="0" w:type="dxa"/>
                  <w:left w:w="108" w:type="dxa"/>
                  <w:bottom w:w="0" w:type="dxa"/>
                  <w:right w:w="108" w:type="dxa"/>
                </w:tblCellMar>
                <w:tblLook w:val="0000"/>
              </w:tblPrEx>
              <w:trPr>
                <w:trHeight w:val="247"/>
              </w:trPr>
              <w:tc>
                <w:tcPr>
                  <w:tcW w:w="1397" w:type="dxa"/>
                  <w:vAlign w:val="center"/>
                </w:tcPr>
                <w:p>
                  <w:pPr>
                    <w:adjustRightInd w:val="0"/>
                    <w:snapToGrid w:val="0"/>
                    <w:ind w:firstLine="420" w:firstLineChars="200"/>
                    <w:jc w:val="center"/>
                    <w:rPr>
                      <w:szCs w:val="21"/>
                    </w:rPr>
                  </w:pPr>
                  <w:r>
                    <w:rPr>
                      <w:szCs w:val="21"/>
                    </w:rPr>
                    <w:t>SO</w:t>
                  </w:r>
                  <w:r>
                    <w:rPr>
                      <w:szCs w:val="21"/>
                      <w:vertAlign w:val="subscript"/>
                    </w:rPr>
                    <w:t>2</w:t>
                  </w:r>
                </w:p>
              </w:tc>
              <w:tc>
                <w:tcPr>
                  <w:tcW w:w="1573" w:type="dxa"/>
                  <w:vAlign w:val="center"/>
                </w:tcPr>
                <w:p>
                  <w:pPr>
                    <w:adjustRightInd w:val="0"/>
                    <w:snapToGrid w:val="0"/>
                    <w:ind w:firstLine="420" w:firstLineChars="200"/>
                    <w:jc w:val="center"/>
                    <w:rPr>
                      <w:szCs w:val="21"/>
                    </w:rPr>
                  </w:pPr>
                  <w:r>
                    <w:rPr>
                      <w:szCs w:val="21"/>
                    </w:rPr>
                    <w:t>500</w:t>
                  </w:r>
                </w:p>
              </w:tc>
              <w:tc>
                <w:tcPr>
                  <w:tcW w:w="1444" w:type="dxa"/>
                  <w:vAlign w:val="center"/>
                </w:tcPr>
                <w:p>
                  <w:pPr>
                    <w:adjustRightInd w:val="0"/>
                    <w:snapToGrid w:val="0"/>
                    <w:ind w:firstLine="420" w:firstLineChars="200"/>
                    <w:jc w:val="center"/>
                    <w:rPr>
                      <w:szCs w:val="21"/>
                    </w:rPr>
                  </w:pPr>
                  <w:r>
                    <w:rPr>
                      <w:szCs w:val="21"/>
                    </w:rPr>
                    <w:t>150</w:t>
                  </w:r>
                </w:p>
              </w:tc>
              <w:tc>
                <w:tcPr>
                  <w:tcW w:w="1441" w:type="dxa"/>
                  <w:vAlign w:val="center"/>
                </w:tcPr>
                <w:p>
                  <w:pPr>
                    <w:adjustRightInd w:val="0"/>
                    <w:snapToGrid w:val="0"/>
                    <w:ind w:firstLine="420" w:firstLineChars="200"/>
                    <w:jc w:val="center"/>
                    <w:rPr>
                      <w:szCs w:val="21"/>
                    </w:rPr>
                  </w:pPr>
                  <w:r>
                    <w:rPr>
                      <w:szCs w:val="21"/>
                    </w:rPr>
                    <w:t>60</w:t>
                  </w:r>
                </w:p>
              </w:tc>
              <w:tc>
                <w:tcPr>
                  <w:tcW w:w="2973" w:type="dxa"/>
                  <w:vMerge w:val="restart"/>
                  <w:vAlign w:val="center"/>
                </w:tcPr>
                <w:p>
                  <w:pPr>
                    <w:adjustRightInd w:val="0"/>
                    <w:snapToGrid w:val="0"/>
                    <w:jc w:val="center"/>
                    <w:rPr>
                      <w:szCs w:val="21"/>
                    </w:rPr>
                  </w:pPr>
                  <w:r>
                    <w:rPr>
                      <w:szCs w:val="21"/>
                    </w:rPr>
                    <w:t>《环境空气质量标准》（GB3095-2012）二级标准</w:t>
                  </w:r>
                </w:p>
              </w:tc>
            </w:tr>
            <w:tr>
              <w:tblPrEx>
                <w:tblW w:w="0" w:type="auto"/>
                <w:tblInd w:w="111" w:type="dxa"/>
                <w:tblLayout w:type="fixed"/>
                <w:tblCellMar>
                  <w:top w:w="0" w:type="dxa"/>
                  <w:left w:w="108" w:type="dxa"/>
                  <w:bottom w:w="0" w:type="dxa"/>
                  <w:right w:w="108" w:type="dxa"/>
                </w:tblCellMar>
                <w:tblLook w:val="0000"/>
              </w:tblPrEx>
              <w:trPr>
                <w:trHeight w:val="86"/>
              </w:trPr>
              <w:tc>
                <w:tcPr>
                  <w:tcW w:w="1397" w:type="dxa"/>
                  <w:vAlign w:val="center"/>
                </w:tcPr>
                <w:p>
                  <w:pPr>
                    <w:adjustRightInd w:val="0"/>
                    <w:snapToGrid w:val="0"/>
                    <w:ind w:firstLine="420" w:firstLineChars="200"/>
                    <w:jc w:val="center"/>
                    <w:rPr>
                      <w:szCs w:val="21"/>
                    </w:rPr>
                  </w:pPr>
                  <w:r>
                    <w:rPr>
                      <w:szCs w:val="21"/>
                    </w:rPr>
                    <w:t>NO</w:t>
                  </w:r>
                  <w:r>
                    <w:rPr>
                      <w:szCs w:val="21"/>
                      <w:vertAlign w:val="subscript"/>
                    </w:rPr>
                    <w:t>2</w:t>
                  </w:r>
                </w:p>
              </w:tc>
              <w:tc>
                <w:tcPr>
                  <w:tcW w:w="1573" w:type="dxa"/>
                  <w:vAlign w:val="center"/>
                </w:tcPr>
                <w:p>
                  <w:pPr>
                    <w:adjustRightInd w:val="0"/>
                    <w:snapToGrid w:val="0"/>
                    <w:ind w:firstLine="420" w:firstLineChars="200"/>
                    <w:jc w:val="center"/>
                    <w:rPr>
                      <w:szCs w:val="21"/>
                    </w:rPr>
                  </w:pPr>
                  <w:r>
                    <w:rPr>
                      <w:szCs w:val="21"/>
                    </w:rPr>
                    <w:t>200</w:t>
                  </w:r>
                </w:p>
              </w:tc>
              <w:tc>
                <w:tcPr>
                  <w:tcW w:w="1444" w:type="dxa"/>
                  <w:vAlign w:val="center"/>
                </w:tcPr>
                <w:p>
                  <w:pPr>
                    <w:adjustRightInd w:val="0"/>
                    <w:snapToGrid w:val="0"/>
                    <w:ind w:firstLine="420" w:firstLineChars="200"/>
                    <w:jc w:val="center"/>
                    <w:rPr>
                      <w:szCs w:val="21"/>
                    </w:rPr>
                  </w:pPr>
                  <w:r>
                    <w:rPr>
                      <w:szCs w:val="21"/>
                    </w:rPr>
                    <w:t>80</w:t>
                  </w:r>
                </w:p>
              </w:tc>
              <w:tc>
                <w:tcPr>
                  <w:tcW w:w="1441" w:type="dxa"/>
                  <w:vAlign w:val="center"/>
                </w:tcPr>
                <w:p>
                  <w:pPr>
                    <w:adjustRightInd w:val="0"/>
                    <w:snapToGrid w:val="0"/>
                    <w:ind w:firstLine="420" w:firstLineChars="200"/>
                    <w:jc w:val="center"/>
                    <w:rPr>
                      <w:szCs w:val="21"/>
                    </w:rPr>
                  </w:pPr>
                  <w:r>
                    <w:rPr>
                      <w:szCs w:val="21"/>
                    </w:rPr>
                    <w:t>40</w:t>
                  </w:r>
                </w:p>
              </w:tc>
              <w:tc>
                <w:tcPr>
                  <w:tcW w:w="2973" w:type="dxa"/>
                  <w:vMerge/>
                  <w:vAlign w:val="center"/>
                </w:tcPr>
                <w:p>
                  <w:pPr>
                    <w:adjustRightInd w:val="0"/>
                    <w:snapToGrid w:val="0"/>
                    <w:ind w:firstLine="420" w:firstLineChars="200"/>
                    <w:jc w:val="center"/>
                    <w:rPr>
                      <w:szCs w:val="21"/>
                    </w:rPr>
                  </w:pPr>
                </w:p>
              </w:tc>
            </w:tr>
            <w:tr>
              <w:tblPrEx>
                <w:tblW w:w="0" w:type="auto"/>
                <w:tblInd w:w="111" w:type="dxa"/>
                <w:tblLayout w:type="fixed"/>
                <w:tblCellMar>
                  <w:top w:w="0" w:type="dxa"/>
                  <w:left w:w="108" w:type="dxa"/>
                  <w:bottom w:w="0" w:type="dxa"/>
                  <w:right w:w="108" w:type="dxa"/>
                </w:tblCellMar>
                <w:tblLook w:val="0000"/>
              </w:tblPrEx>
              <w:trPr>
                <w:trHeight w:val="233"/>
              </w:trPr>
              <w:tc>
                <w:tcPr>
                  <w:tcW w:w="1397" w:type="dxa"/>
                  <w:vAlign w:val="center"/>
                </w:tcPr>
                <w:p>
                  <w:pPr>
                    <w:adjustRightInd w:val="0"/>
                    <w:snapToGrid w:val="0"/>
                    <w:ind w:firstLine="420" w:firstLineChars="200"/>
                    <w:jc w:val="center"/>
                    <w:rPr>
                      <w:szCs w:val="21"/>
                    </w:rPr>
                  </w:pPr>
                  <w:r>
                    <w:rPr>
                      <w:szCs w:val="21"/>
                    </w:rPr>
                    <w:t>PM</w:t>
                  </w:r>
                  <w:r>
                    <w:rPr>
                      <w:szCs w:val="21"/>
                      <w:vertAlign w:val="subscript"/>
                    </w:rPr>
                    <w:t>10</w:t>
                  </w:r>
                </w:p>
              </w:tc>
              <w:tc>
                <w:tcPr>
                  <w:tcW w:w="1573" w:type="dxa"/>
                  <w:vAlign w:val="center"/>
                </w:tcPr>
                <w:p>
                  <w:pPr>
                    <w:adjustRightInd w:val="0"/>
                    <w:snapToGrid w:val="0"/>
                    <w:ind w:firstLine="420" w:firstLineChars="200"/>
                    <w:jc w:val="center"/>
                    <w:rPr>
                      <w:szCs w:val="21"/>
                    </w:rPr>
                  </w:pPr>
                  <w:r>
                    <w:rPr>
                      <w:szCs w:val="21"/>
                    </w:rPr>
                    <w:t>—</w:t>
                  </w:r>
                </w:p>
              </w:tc>
              <w:tc>
                <w:tcPr>
                  <w:tcW w:w="1444" w:type="dxa"/>
                  <w:vAlign w:val="center"/>
                </w:tcPr>
                <w:p>
                  <w:pPr>
                    <w:adjustRightInd w:val="0"/>
                    <w:snapToGrid w:val="0"/>
                    <w:ind w:firstLine="420" w:firstLineChars="200"/>
                    <w:jc w:val="center"/>
                    <w:rPr>
                      <w:szCs w:val="21"/>
                    </w:rPr>
                  </w:pPr>
                  <w:r>
                    <w:rPr>
                      <w:szCs w:val="21"/>
                    </w:rPr>
                    <w:t>150</w:t>
                  </w:r>
                </w:p>
              </w:tc>
              <w:tc>
                <w:tcPr>
                  <w:tcW w:w="1441" w:type="dxa"/>
                  <w:vAlign w:val="center"/>
                </w:tcPr>
                <w:p>
                  <w:pPr>
                    <w:adjustRightInd w:val="0"/>
                    <w:snapToGrid w:val="0"/>
                    <w:ind w:firstLine="420" w:firstLineChars="200"/>
                    <w:jc w:val="center"/>
                    <w:rPr>
                      <w:szCs w:val="21"/>
                    </w:rPr>
                  </w:pPr>
                  <w:r>
                    <w:rPr>
                      <w:szCs w:val="21"/>
                    </w:rPr>
                    <w:t>70</w:t>
                  </w:r>
                </w:p>
              </w:tc>
              <w:tc>
                <w:tcPr>
                  <w:tcW w:w="2973" w:type="dxa"/>
                  <w:vMerge/>
                  <w:vAlign w:val="center"/>
                </w:tcPr>
                <w:p>
                  <w:pPr>
                    <w:adjustRightInd w:val="0"/>
                    <w:snapToGrid w:val="0"/>
                    <w:ind w:firstLine="420" w:firstLineChars="200"/>
                    <w:jc w:val="center"/>
                    <w:rPr>
                      <w:szCs w:val="21"/>
                    </w:rPr>
                  </w:pPr>
                </w:p>
              </w:tc>
            </w:tr>
            <w:tr>
              <w:tblPrEx>
                <w:tblW w:w="0" w:type="auto"/>
                <w:tblInd w:w="111" w:type="dxa"/>
                <w:tblLayout w:type="fixed"/>
                <w:tblCellMar>
                  <w:top w:w="0" w:type="dxa"/>
                  <w:left w:w="108" w:type="dxa"/>
                  <w:bottom w:w="0" w:type="dxa"/>
                  <w:right w:w="108" w:type="dxa"/>
                </w:tblCellMar>
                <w:tblLook w:val="0000"/>
              </w:tblPrEx>
              <w:trPr>
                <w:trHeight w:val="233"/>
              </w:trPr>
              <w:tc>
                <w:tcPr>
                  <w:tcW w:w="1397" w:type="dxa"/>
                  <w:vAlign w:val="center"/>
                </w:tcPr>
                <w:p>
                  <w:pPr>
                    <w:adjustRightInd w:val="0"/>
                    <w:snapToGrid w:val="0"/>
                    <w:ind w:firstLine="420" w:firstLineChars="200"/>
                    <w:jc w:val="center"/>
                    <w:rPr>
                      <w:szCs w:val="21"/>
                    </w:rPr>
                  </w:pPr>
                  <w:r>
                    <w:rPr>
                      <w:szCs w:val="21"/>
                    </w:rPr>
                    <w:t>PM2.5</w:t>
                  </w:r>
                </w:p>
              </w:tc>
              <w:tc>
                <w:tcPr>
                  <w:tcW w:w="1573" w:type="dxa"/>
                  <w:vAlign w:val="center"/>
                </w:tcPr>
                <w:p>
                  <w:pPr>
                    <w:adjustRightInd w:val="0"/>
                    <w:snapToGrid w:val="0"/>
                    <w:ind w:firstLine="420" w:firstLineChars="200"/>
                    <w:jc w:val="center"/>
                    <w:rPr>
                      <w:szCs w:val="21"/>
                    </w:rPr>
                  </w:pPr>
                  <w:r>
                    <w:rPr>
                      <w:szCs w:val="21"/>
                    </w:rPr>
                    <w:t>—</w:t>
                  </w:r>
                </w:p>
              </w:tc>
              <w:tc>
                <w:tcPr>
                  <w:tcW w:w="1444" w:type="dxa"/>
                  <w:vAlign w:val="center"/>
                </w:tcPr>
                <w:p>
                  <w:pPr>
                    <w:adjustRightInd w:val="0"/>
                    <w:snapToGrid w:val="0"/>
                    <w:ind w:firstLine="420" w:firstLineChars="200"/>
                    <w:jc w:val="center"/>
                    <w:rPr>
                      <w:szCs w:val="21"/>
                    </w:rPr>
                  </w:pPr>
                  <w:r>
                    <w:rPr>
                      <w:szCs w:val="21"/>
                    </w:rPr>
                    <w:t>75</w:t>
                  </w:r>
                </w:p>
              </w:tc>
              <w:tc>
                <w:tcPr>
                  <w:tcW w:w="1441" w:type="dxa"/>
                  <w:vAlign w:val="center"/>
                </w:tcPr>
                <w:p>
                  <w:pPr>
                    <w:adjustRightInd w:val="0"/>
                    <w:snapToGrid w:val="0"/>
                    <w:ind w:firstLine="420" w:firstLineChars="200"/>
                    <w:jc w:val="center"/>
                    <w:rPr>
                      <w:szCs w:val="21"/>
                    </w:rPr>
                  </w:pPr>
                  <w:r>
                    <w:rPr>
                      <w:szCs w:val="21"/>
                    </w:rPr>
                    <w:t>35</w:t>
                  </w:r>
                </w:p>
              </w:tc>
              <w:tc>
                <w:tcPr>
                  <w:tcW w:w="2973" w:type="dxa"/>
                  <w:vMerge/>
                  <w:vAlign w:val="center"/>
                </w:tcPr>
                <w:p>
                  <w:pPr>
                    <w:adjustRightInd w:val="0"/>
                    <w:snapToGrid w:val="0"/>
                    <w:ind w:firstLine="420" w:firstLineChars="200"/>
                    <w:jc w:val="center"/>
                    <w:rPr>
                      <w:szCs w:val="21"/>
                    </w:rPr>
                  </w:pPr>
                </w:p>
              </w:tc>
            </w:tr>
            <w:tr>
              <w:tblPrEx>
                <w:tblW w:w="0" w:type="auto"/>
                <w:tblInd w:w="111" w:type="dxa"/>
                <w:tblLayout w:type="fixed"/>
                <w:tblCellMar>
                  <w:top w:w="0" w:type="dxa"/>
                  <w:left w:w="108" w:type="dxa"/>
                  <w:bottom w:w="0" w:type="dxa"/>
                  <w:right w:w="108" w:type="dxa"/>
                </w:tblCellMar>
                <w:tblLook w:val="0000"/>
              </w:tblPrEx>
              <w:trPr>
                <w:trHeight w:val="368"/>
              </w:trPr>
              <w:tc>
                <w:tcPr>
                  <w:tcW w:w="1397" w:type="dxa"/>
                  <w:vAlign w:val="center"/>
                </w:tcPr>
                <w:p>
                  <w:pPr>
                    <w:adjustRightInd w:val="0"/>
                    <w:snapToGrid w:val="0"/>
                    <w:ind w:firstLine="420" w:firstLineChars="200"/>
                    <w:jc w:val="center"/>
                    <w:rPr>
                      <w:szCs w:val="21"/>
                    </w:rPr>
                  </w:pPr>
                  <w:r>
                    <w:rPr>
                      <w:szCs w:val="21"/>
                    </w:rPr>
                    <w:t>TSP</w:t>
                  </w:r>
                </w:p>
              </w:tc>
              <w:tc>
                <w:tcPr>
                  <w:tcW w:w="1573" w:type="dxa"/>
                  <w:vAlign w:val="center"/>
                </w:tcPr>
                <w:p>
                  <w:pPr>
                    <w:adjustRightInd w:val="0"/>
                    <w:snapToGrid w:val="0"/>
                    <w:ind w:firstLine="420" w:firstLineChars="200"/>
                    <w:jc w:val="center"/>
                    <w:rPr>
                      <w:szCs w:val="21"/>
                    </w:rPr>
                  </w:pPr>
                  <w:r>
                    <w:rPr>
                      <w:szCs w:val="21"/>
                    </w:rPr>
                    <w:t>—</w:t>
                  </w:r>
                </w:p>
              </w:tc>
              <w:tc>
                <w:tcPr>
                  <w:tcW w:w="1444" w:type="dxa"/>
                  <w:vAlign w:val="center"/>
                </w:tcPr>
                <w:p>
                  <w:pPr>
                    <w:adjustRightInd w:val="0"/>
                    <w:snapToGrid w:val="0"/>
                    <w:ind w:firstLine="420" w:firstLineChars="200"/>
                    <w:jc w:val="center"/>
                    <w:rPr>
                      <w:szCs w:val="21"/>
                    </w:rPr>
                  </w:pPr>
                  <w:r>
                    <w:rPr>
                      <w:szCs w:val="21"/>
                    </w:rPr>
                    <w:t>300</w:t>
                  </w:r>
                </w:p>
              </w:tc>
              <w:tc>
                <w:tcPr>
                  <w:tcW w:w="1441" w:type="dxa"/>
                  <w:vAlign w:val="center"/>
                </w:tcPr>
                <w:p>
                  <w:pPr>
                    <w:adjustRightInd w:val="0"/>
                    <w:snapToGrid w:val="0"/>
                    <w:ind w:firstLine="420" w:firstLineChars="200"/>
                    <w:jc w:val="center"/>
                    <w:rPr>
                      <w:szCs w:val="21"/>
                    </w:rPr>
                  </w:pPr>
                  <w:r>
                    <w:rPr>
                      <w:szCs w:val="21"/>
                    </w:rPr>
                    <w:t>200</w:t>
                  </w:r>
                </w:p>
              </w:tc>
              <w:tc>
                <w:tcPr>
                  <w:tcW w:w="2973" w:type="dxa"/>
                  <w:vMerge/>
                  <w:vAlign w:val="center"/>
                </w:tcPr>
                <w:p>
                  <w:pPr>
                    <w:adjustRightInd w:val="0"/>
                    <w:snapToGrid w:val="0"/>
                    <w:ind w:firstLine="420" w:firstLineChars="200"/>
                    <w:jc w:val="center"/>
                    <w:rPr>
                      <w:szCs w:val="21"/>
                    </w:rPr>
                  </w:pPr>
                </w:p>
              </w:tc>
            </w:tr>
            <w:tr>
              <w:tblPrEx>
                <w:tblW w:w="0" w:type="auto"/>
                <w:tblInd w:w="111" w:type="dxa"/>
                <w:tblLayout w:type="fixed"/>
                <w:tblCellMar>
                  <w:top w:w="0" w:type="dxa"/>
                  <w:left w:w="108" w:type="dxa"/>
                  <w:bottom w:w="0" w:type="dxa"/>
                  <w:right w:w="108" w:type="dxa"/>
                </w:tblCellMar>
                <w:tblLook w:val="0000"/>
              </w:tblPrEx>
              <w:trPr>
                <w:trHeight w:val="368"/>
              </w:trPr>
              <w:tc>
                <w:tcPr>
                  <w:tcW w:w="1397" w:type="dxa"/>
                  <w:vAlign w:val="center"/>
                </w:tcPr>
                <w:p>
                  <w:pPr>
                    <w:adjustRightInd w:val="0"/>
                    <w:snapToGrid w:val="0"/>
                    <w:ind w:firstLine="420" w:firstLineChars="200"/>
                    <w:jc w:val="center"/>
                    <w:rPr>
                      <w:szCs w:val="21"/>
                    </w:rPr>
                  </w:pPr>
                  <w:r>
                    <w:rPr>
                      <w:rFonts w:hint="eastAsia"/>
                      <w:szCs w:val="21"/>
                    </w:rPr>
                    <w:t>TVOC</w:t>
                  </w:r>
                </w:p>
              </w:tc>
              <w:tc>
                <w:tcPr>
                  <w:tcW w:w="1573" w:type="dxa"/>
                  <w:vAlign w:val="center"/>
                </w:tcPr>
                <w:p>
                  <w:pPr>
                    <w:adjustRightInd w:val="0"/>
                    <w:snapToGrid w:val="0"/>
                    <w:jc w:val="center"/>
                    <w:rPr>
                      <w:szCs w:val="21"/>
                    </w:rPr>
                  </w:pPr>
                  <w:r>
                    <w:rPr>
                      <w:rFonts w:hint="eastAsia"/>
                      <w:szCs w:val="21"/>
                    </w:rPr>
                    <w:t>600</w:t>
                  </w:r>
                </w:p>
              </w:tc>
              <w:tc>
                <w:tcPr>
                  <w:tcW w:w="1444" w:type="dxa"/>
                  <w:vAlign w:val="center"/>
                </w:tcPr>
                <w:p>
                  <w:pPr>
                    <w:adjustRightInd w:val="0"/>
                    <w:snapToGrid w:val="0"/>
                    <w:ind w:firstLine="420" w:firstLineChars="200"/>
                    <w:jc w:val="center"/>
                    <w:rPr>
                      <w:szCs w:val="21"/>
                    </w:rPr>
                  </w:pPr>
                  <w:r>
                    <w:rPr>
                      <w:rFonts w:hint="eastAsia"/>
                      <w:szCs w:val="21"/>
                    </w:rPr>
                    <w:t>—</w:t>
                  </w:r>
                </w:p>
              </w:tc>
              <w:tc>
                <w:tcPr>
                  <w:tcW w:w="1441" w:type="dxa"/>
                  <w:vAlign w:val="center"/>
                </w:tcPr>
                <w:p>
                  <w:pPr>
                    <w:adjustRightInd w:val="0"/>
                    <w:snapToGrid w:val="0"/>
                    <w:jc w:val="center"/>
                    <w:rPr>
                      <w:szCs w:val="21"/>
                    </w:rPr>
                  </w:pPr>
                  <w:r>
                    <w:rPr>
                      <w:rFonts w:hint="eastAsia"/>
                      <w:szCs w:val="21"/>
                    </w:rPr>
                    <w:t>—</w:t>
                  </w:r>
                </w:p>
              </w:tc>
              <w:tc>
                <w:tcPr>
                  <w:tcW w:w="2973" w:type="dxa"/>
                  <w:vAlign w:val="center"/>
                </w:tcPr>
                <w:p>
                  <w:pPr>
                    <w:adjustRightInd w:val="0"/>
                    <w:snapToGrid w:val="0"/>
                    <w:ind w:firstLine="420" w:firstLineChars="200"/>
                    <w:jc w:val="center"/>
                    <w:rPr>
                      <w:szCs w:val="21"/>
                    </w:rPr>
                  </w:pPr>
                  <w:r>
                    <w:rPr>
                      <w:rFonts w:hint="eastAsia"/>
                      <w:szCs w:val="21"/>
                    </w:rPr>
                    <w:t>参照《室内空气质量标准》（GB/T18883-2002）标准</w:t>
                  </w:r>
                </w:p>
              </w:tc>
            </w:tr>
          </w:tbl>
          <w:p>
            <w:pPr>
              <w:pStyle w:val="Heading2"/>
              <w:spacing w:before="0" w:after="0" w:line="360" w:lineRule="auto"/>
              <w:ind w:left="210" w:right="210"/>
              <w:rPr>
                <w:rFonts w:ascii="Times New Roman" w:hAnsi="Times New Roman"/>
                <w:lang w:val="en-US" w:eastAsia="zh-CN"/>
              </w:rPr>
            </w:pPr>
            <w:r>
              <w:rPr>
                <w:rFonts w:ascii="Times New Roman" w:hAnsi="Times New Roman"/>
                <w:lang w:val="en-US" w:eastAsia="zh-CN"/>
              </w:rPr>
              <w:t>2、水环境质量标准</w:t>
            </w:r>
          </w:p>
          <w:p>
            <w:pPr>
              <w:adjustRightInd w:val="0"/>
              <w:spacing w:line="360" w:lineRule="auto"/>
              <w:ind w:firstLine="480" w:firstLineChars="200"/>
              <w:rPr>
                <w:sz w:val="24"/>
              </w:rPr>
            </w:pPr>
            <w:r>
              <w:rPr>
                <w:sz w:val="24"/>
              </w:rPr>
              <w:t>地表水执行《地表水环境质量标准》（GB3838-2002）中Ⅳ类标准，标准值见表</w:t>
            </w:r>
            <w:r>
              <w:rPr>
                <w:rFonts w:hint="eastAsia"/>
                <w:sz w:val="24"/>
              </w:rPr>
              <w:t>4-2</w:t>
            </w:r>
            <w:r>
              <w:rPr>
                <w:sz w:val="24"/>
              </w:rPr>
              <w:t>。</w:t>
            </w:r>
          </w:p>
          <w:p>
            <w:pPr>
              <w:adjustRightInd w:val="0"/>
              <w:snapToGrid w:val="0"/>
              <w:spacing w:line="360" w:lineRule="auto"/>
              <w:ind w:firstLine="420" w:firstLineChars="200"/>
              <w:jc w:val="center"/>
              <w:rPr>
                <w:b/>
                <w:szCs w:val="21"/>
              </w:rPr>
            </w:pPr>
            <w:r>
              <w:rPr>
                <w:b/>
                <w:szCs w:val="21"/>
              </w:rPr>
              <w:t>表</w:t>
            </w:r>
            <w:r>
              <w:rPr>
                <w:rFonts w:hint="eastAsia"/>
                <w:b/>
                <w:szCs w:val="21"/>
              </w:rPr>
              <w:t>4-2</w:t>
            </w:r>
            <w:r>
              <w:rPr>
                <w:b/>
                <w:szCs w:val="21"/>
              </w:rPr>
              <w:t xml:space="preserve"> 地表水环境质量标准</w:t>
            </w:r>
          </w:p>
          <w:tbl>
            <w:tblPr>
              <w:tblStyle w:val="TableNormal"/>
              <w:tblW w:w="0" w:type="auto"/>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406"/>
              <w:gridCol w:w="3201"/>
              <w:gridCol w:w="3204"/>
            </w:tblGrid>
            <w:tr>
              <w:tblPrEx>
                <w:tblW w:w="0" w:type="auto"/>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2"/>
              </w:trPr>
              <w:tc>
                <w:tcPr>
                  <w:tcW w:w="2406" w:type="dxa"/>
                  <w:vAlign w:val="center"/>
                </w:tcPr>
                <w:p>
                  <w:pPr>
                    <w:adjustRightInd w:val="0"/>
                    <w:snapToGrid w:val="0"/>
                    <w:ind w:firstLine="420" w:firstLineChars="200"/>
                    <w:jc w:val="center"/>
                    <w:rPr>
                      <w:szCs w:val="21"/>
                    </w:rPr>
                  </w:pPr>
                  <w:r>
                    <w:rPr>
                      <w:szCs w:val="21"/>
                    </w:rPr>
                    <w:t>指标</w:t>
                  </w:r>
                </w:p>
              </w:tc>
              <w:tc>
                <w:tcPr>
                  <w:tcW w:w="3201" w:type="dxa"/>
                  <w:vAlign w:val="center"/>
                </w:tcPr>
                <w:p>
                  <w:pPr>
                    <w:adjustRightInd w:val="0"/>
                    <w:snapToGrid w:val="0"/>
                    <w:ind w:firstLine="420" w:firstLineChars="200"/>
                    <w:jc w:val="center"/>
                    <w:rPr>
                      <w:szCs w:val="21"/>
                    </w:rPr>
                  </w:pPr>
                  <w:r>
                    <w:rPr>
                      <w:szCs w:val="21"/>
                    </w:rPr>
                    <w:t>标准值（mg/L）</w:t>
                  </w:r>
                </w:p>
              </w:tc>
              <w:tc>
                <w:tcPr>
                  <w:tcW w:w="3204" w:type="dxa"/>
                  <w:vAlign w:val="center"/>
                </w:tcPr>
                <w:p>
                  <w:pPr>
                    <w:adjustRightInd w:val="0"/>
                    <w:snapToGrid w:val="0"/>
                    <w:ind w:firstLine="420" w:firstLineChars="200"/>
                    <w:jc w:val="center"/>
                    <w:rPr>
                      <w:szCs w:val="21"/>
                    </w:rPr>
                  </w:pPr>
                  <w:r>
                    <w:rPr>
                      <w:szCs w:val="21"/>
                    </w:rPr>
                    <w:t>依据</w:t>
                  </w:r>
                </w:p>
              </w:tc>
            </w:tr>
            <w:tr>
              <w:tblPrEx>
                <w:tblW w:w="0" w:type="auto"/>
                <w:tblInd w:w="116" w:type="dxa"/>
                <w:tblLayout w:type="fixed"/>
                <w:tblCellMar>
                  <w:top w:w="0" w:type="dxa"/>
                  <w:left w:w="108" w:type="dxa"/>
                  <w:bottom w:w="0" w:type="dxa"/>
                  <w:right w:w="108" w:type="dxa"/>
                </w:tblCellMar>
                <w:tblLook w:val="0000"/>
              </w:tblPrEx>
              <w:trPr>
                <w:trHeight w:val="201"/>
              </w:trPr>
              <w:tc>
                <w:tcPr>
                  <w:tcW w:w="2406" w:type="dxa"/>
                  <w:vAlign w:val="center"/>
                </w:tcPr>
                <w:p>
                  <w:pPr>
                    <w:adjustRightInd w:val="0"/>
                    <w:snapToGrid w:val="0"/>
                    <w:ind w:firstLine="420" w:firstLineChars="200"/>
                    <w:jc w:val="center"/>
                    <w:rPr>
                      <w:szCs w:val="21"/>
                    </w:rPr>
                  </w:pPr>
                  <w:r>
                    <w:rPr>
                      <w:szCs w:val="21"/>
                    </w:rPr>
                    <w:t>pH</w:t>
                  </w:r>
                </w:p>
              </w:tc>
              <w:tc>
                <w:tcPr>
                  <w:tcW w:w="3201" w:type="dxa"/>
                  <w:vAlign w:val="center"/>
                </w:tcPr>
                <w:p>
                  <w:pPr>
                    <w:adjustRightInd w:val="0"/>
                    <w:snapToGrid w:val="0"/>
                    <w:ind w:firstLine="420" w:firstLineChars="200"/>
                    <w:jc w:val="center"/>
                    <w:rPr>
                      <w:szCs w:val="21"/>
                    </w:rPr>
                  </w:pPr>
                  <w:r>
                    <w:rPr>
                      <w:szCs w:val="21"/>
                    </w:rPr>
                    <w:t>6-9</w:t>
                  </w:r>
                </w:p>
              </w:tc>
              <w:tc>
                <w:tcPr>
                  <w:tcW w:w="3204" w:type="dxa"/>
                  <w:vMerge w:val="restart"/>
                  <w:vAlign w:val="center"/>
                </w:tcPr>
                <w:p>
                  <w:pPr>
                    <w:adjustRightInd w:val="0"/>
                    <w:snapToGrid w:val="0"/>
                    <w:jc w:val="center"/>
                    <w:rPr>
                      <w:szCs w:val="21"/>
                    </w:rPr>
                  </w:pPr>
                  <w:r>
                    <w:rPr>
                      <w:szCs w:val="21"/>
                    </w:rPr>
                    <w:t>《地表水环境质量标准》（GB3838-2002）中Ⅳ类标准</w:t>
                  </w:r>
                </w:p>
              </w:tc>
            </w:tr>
            <w:tr>
              <w:tblPrEx>
                <w:tblW w:w="0" w:type="auto"/>
                <w:tblInd w:w="116" w:type="dxa"/>
                <w:tblLayout w:type="fixed"/>
                <w:tblCellMar>
                  <w:top w:w="0" w:type="dxa"/>
                  <w:left w:w="108" w:type="dxa"/>
                  <w:bottom w:w="0" w:type="dxa"/>
                  <w:right w:w="108" w:type="dxa"/>
                </w:tblCellMar>
                <w:tblLook w:val="0000"/>
              </w:tblPrEx>
              <w:trPr>
                <w:trHeight w:val="17"/>
              </w:trPr>
              <w:tc>
                <w:tcPr>
                  <w:tcW w:w="2406" w:type="dxa"/>
                  <w:vAlign w:val="center"/>
                </w:tcPr>
                <w:p>
                  <w:pPr>
                    <w:adjustRightInd w:val="0"/>
                    <w:snapToGrid w:val="0"/>
                    <w:ind w:firstLine="420" w:firstLineChars="200"/>
                    <w:jc w:val="center"/>
                    <w:rPr>
                      <w:szCs w:val="21"/>
                    </w:rPr>
                  </w:pPr>
                  <w:r>
                    <w:rPr>
                      <w:szCs w:val="21"/>
                    </w:rPr>
                    <w:t>COD</w:t>
                  </w:r>
                  <w:r>
                    <w:rPr>
                      <w:szCs w:val="21"/>
                      <w:vertAlign w:val="subscript"/>
                    </w:rPr>
                    <w:t>Cr</w:t>
                  </w:r>
                </w:p>
              </w:tc>
              <w:tc>
                <w:tcPr>
                  <w:tcW w:w="3201" w:type="dxa"/>
                  <w:vAlign w:val="center"/>
                </w:tcPr>
                <w:p>
                  <w:pPr>
                    <w:adjustRightInd w:val="0"/>
                    <w:snapToGrid w:val="0"/>
                    <w:ind w:firstLine="420" w:firstLineChars="200"/>
                    <w:jc w:val="center"/>
                    <w:rPr>
                      <w:szCs w:val="21"/>
                    </w:rPr>
                  </w:pPr>
                  <w:r>
                    <w:rPr>
                      <w:szCs w:val="21"/>
                    </w:rPr>
                    <w:t>30</w:t>
                  </w:r>
                </w:p>
              </w:tc>
              <w:tc>
                <w:tcPr>
                  <w:tcW w:w="3204" w:type="dxa"/>
                  <w:vMerge/>
                  <w:vAlign w:val="center"/>
                </w:tcPr>
                <w:p>
                  <w:pPr>
                    <w:adjustRightInd w:val="0"/>
                    <w:snapToGrid w:val="0"/>
                    <w:ind w:firstLine="420" w:firstLineChars="200"/>
                    <w:jc w:val="center"/>
                    <w:rPr>
                      <w:szCs w:val="21"/>
                    </w:rPr>
                  </w:pPr>
                </w:p>
              </w:tc>
            </w:tr>
            <w:tr>
              <w:tblPrEx>
                <w:tblW w:w="0" w:type="auto"/>
                <w:tblInd w:w="116" w:type="dxa"/>
                <w:tblLayout w:type="fixed"/>
                <w:tblCellMar>
                  <w:top w:w="0" w:type="dxa"/>
                  <w:left w:w="108" w:type="dxa"/>
                  <w:bottom w:w="0" w:type="dxa"/>
                  <w:right w:w="108" w:type="dxa"/>
                </w:tblCellMar>
                <w:tblLook w:val="0000"/>
              </w:tblPrEx>
              <w:trPr>
                <w:trHeight w:val="17"/>
              </w:trPr>
              <w:tc>
                <w:tcPr>
                  <w:tcW w:w="2406" w:type="dxa"/>
                  <w:vAlign w:val="center"/>
                </w:tcPr>
                <w:p>
                  <w:pPr>
                    <w:adjustRightInd w:val="0"/>
                    <w:snapToGrid w:val="0"/>
                    <w:ind w:firstLine="420" w:firstLineChars="200"/>
                    <w:jc w:val="center"/>
                    <w:rPr>
                      <w:szCs w:val="21"/>
                    </w:rPr>
                  </w:pPr>
                  <w:r>
                    <w:rPr>
                      <w:szCs w:val="21"/>
                    </w:rPr>
                    <w:t>BOD</w:t>
                  </w:r>
                  <w:r>
                    <w:rPr>
                      <w:szCs w:val="21"/>
                      <w:vertAlign w:val="subscript"/>
                    </w:rPr>
                    <w:t>5</w:t>
                  </w:r>
                </w:p>
              </w:tc>
              <w:tc>
                <w:tcPr>
                  <w:tcW w:w="3201" w:type="dxa"/>
                  <w:vAlign w:val="center"/>
                </w:tcPr>
                <w:p>
                  <w:pPr>
                    <w:adjustRightInd w:val="0"/>
                    <w:snapToGrid w:val="0"/>
                    <w:ind w:firstLine="420" w:firstLineChars="200"/>
                    <w:jc w:val="center"/>
                    <w:rPr>
                      <w:szCs w:val="21"/>
                    </w:rPr>
                  </w:pPr>
                  <w:r>
                    <w:rPr>
                      <w:szCs w:val="21"/>
                    </w:rPr>
                    <w:t>6</w:t>
                  </w:r>
                </w:p>
              </w:tc>
              <w:tc>
                <w:tcPr>
                  <w:tcW w:w="3204" w:type="dxa"/>
                  <w:vMerge/>
                  <w:vAlign w:val="center"/>
                </w:tcPr>
                <w:p>
                  <w:pPr>
                    <w:adjustRightInd w:val="0"/>
                    <w:snapToGrid w:val="0"/>
                    <w:ind w:firstLine="420" w:firstLineChars="200"/>
                    <w:jc w:val="center"/>
                    <w:rPr>
                      <w:szCs w:val="21"/>
                    </w:rPr>
                  </w:pPr>
                </w:p>
              </w:tc>
            </w:tr>
            <w:tr>
              <w:tblPrEx>
                <w:tblW w:w="0" w:type="auto"/>
                <w:tblInd w:w="116" w:type="dxa"/>
                <w:tblLayout w:type="fixed"/>
                <w:tblCellMar>
                  <w:top w:w="0" w:type="dxa"/>
                  <w:left w:w="108" w:type="dxa"/>
                  <w:bottom w:w="0" w:type="dxa"/>
                  <w:right w:w="108" w:type="dxa"/>
                </w:tblCellMar>
                <w:tblLook w:val="0000"/>
              </w:tblPrEx>
              <w:trPr>
                <w:trHeight w:val="17"/>
              </w:trPr>
              <w:tc>
                <w:tcPr>
                  <w:tcW w:w="2406" w:type="dxa"/>
                  <w:vAlign w:val="center"/>
                </w:tcPr>
                <w:p>
                  <w:pPr>
                    <w:adjustRightInd w:val="0"/>
                    <w:snapToGrid w:val="0"/>
                    <w:ind w:firstLine="420" w:firstLineChars="200"/>
                    <w:jc w:val="center"/>
                    <w:rPr>
                      <w:szCs w:val="21"/>
                    </w:rPr>
                  </w:pPr>
                  <w:r>
                    <w:rPr>
                      <w:szCs w:val="21"/>
                    </w:rPr>
                    <w:t>NH</w:t>
                  </w:r>
                  <w:r>
                    <w:rPr>
                      <w:szCs w:val="21"/>
                      <w:vertAlign w:val="subscript"/>
                    </w:rPr>
                    <w:t>3</w:t>
                  </w:r>
                  <w:r>
                    <w:rPr>
                      <w:szCs w:val="21"/>
                    </w:rPr>
                    <w:t>-N</w:t>
                  </w:r>
                </w:p>
              </w:tc>
              <w:tc>
                <w:tcPr>
                  <w:tcW w:w="3201" w:type="dxa"/>
                  <w:vAlign w:val="center"/>
                </w:tcPr>
                <w:p>
                  <w:pPr>
                    <w:adjustRightInd w:val="0"/>
                    <w:snapToGrid w:val="0"/>
                    <w:ind w:firstLine="420" w:firstLineChars="200"/>
                    <w:jc w:val="center"/>
                    <w:rPr>
                      <w:szCs w:val="21"/>
                    </w:rPr>
                  </w:pPr>
                  <w:r>
                    <w:rPr>
                      <w:szCs w:val="21"/>
                    </w:rPr>
                    <w:t>1.5</w:t>
                  </w:r>
                </w:p>
              </w:tc>
              <w:tc>
                <w:tcPr>
                  <w:tcW w:w="3204" w:type="dxa"/>
                  <w:vMerge/>
                  <w:vAlign w:val="center"/>
                </w:tcPr>
                <w:p>
                  <w:pPr>
                    <w:adjustRightInd w:val="0"/>
                    <w:snapToGrid w:val="0"/>
                    <w:ind w:firstLine="420" w:firstLineChars="200"/>
                    <w:jc w:val="center"/>
                    <w:rPr>
                      <w:szCs w:val="21"/>
                    </w:rPr>
                  </w:pPr>
                </w:p>
              </w:tc>
            </w:tr>
          </w:tbl>
          <w:p>
            <w:pPr>
              <w:pStyle w:val="NormalIndent"/>
              <w:adjustRightInd w:val="0"/>
              <w:spacing w:line="360" w:lineRule="auto"/>
              <w:ind w:firstLine="480"/>
              <w:rPr>
                <w:sz w:val="24"/>
              </w:rPr>
            </w:pPr>
            <w:r>
              <w:rPr>
                <w:sz w:val="24"/>
              </w:rPr>
              <w:t>项目地下水环境执行《地下水质量标准》（GB/T14848-93）中Ⅲ类标准。各类地下水标准值见表</w:t>
            </w:r>
            <w:r>
              <w:rPr>
                <w:rFonts w:hint="eastAsia"/>
                <w:sz w:val="24"/>
              </w:rPr>
              <w:t>4-3</w:t>
            </w:r>
            <w:r>
              <w:rPr>
                <w:sz w:val="24"/>
              </w:rPr>
              <w:t>。</w:t>
            </w:r>
          </w:p>
          <w:p>
            <w:pPr>
              <w:pStyle w:val="NormalIndent"/>
              <w:adjustRightInd w:val="0"/>
              <w:spacing w:line="360" w:lineRule="auto"/>
              <w:ind w:firstLine="422"/>
              <w:jc w:val="center"/>
              <w:rPr>
                <w:b/>
                <w:szCs w:val="21"/>
              </w:rPr>
            </w:pPr>
            <w:r>
              <w:rPr>
                <w:b/>
                <w:szCs w:val="21"/>
              </w:rPr>
              <w:t>表</w:t>
            </w:r>
            <w:r>
              <w:rPr>
                <w:rFonts w:hint="eastAsia"/>
                <w:b/>
                <w:szCs w:val="21"/>
              </w:rPr>
              <w:t xml:space="preserve">4-3 </w:t>
            </w:r>
            <w:r>
              <w:rPr>
                <w:b/>
                <w:szCs w:val="21"/>
              </w:rPr>
              <w:t>地下水质量标准</w:t>
            </w:r>
          </w:p>
          <w:tbl>
            <w:tblPr>
              <w:tblStyle w:val="TableNormal"/>
              <w:tblW w:w="8741" w:type="dxa"/>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81"/>
              <w:gridCol w:w="1484"/>
              <w:gridCol w:w="2555"/>
              <w:gridCol w:w="2121"/>
            </w:tblGrid>
            <w:tr>
              <w:tblPrEx>
                <w:tblW w:w="8741" w:type="dxa"/>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8"/>
                <w:jc w:val="center"/>
              </w:trPr>
              <w:tc>
                <w:tcPr>
                  <w:tcW w:w="2581" w:type="dxa"/>
                  <w:vAlign w:val="center"/>
                </w:tcPr>
                <w:p>
                  <w:pPr>
                    <w:tabs>
                      <w:tab w:val="left" w:pos="1980"/>
                    </w:tabs>
                    <w:autoSpaceDE w:val="0"/>
                    <w:autoSpaceDN w:val="0"/>
                    <w:adjustRightInd w:val="0"/>
                    <w:snapToGrid w:val="0"/>
                    <w:jc w:val="center"/>
                    <w:rPr>
                      <w:b/>
                      <w:kern w:val="0"/>
                      <w:szCs w:val="21"/>
                    </w:rPr>
                  </w:pPr>
                  <w:r>
                    <w:rPr>
                      <w:b/>
                      <w:kern w:val="0"/>
                      <w:szCs w:val="21"/>
                    </w:rPr>
                    <w:t>执行标准</w:t>
                  </w:r>
                </w:p>
              </w:tc>
              <w:tc>
                <w:tcPr>
                  <w:tcW w:w="1484" w:type="dxa"/>
                  <w:vAlign w:val="center"/>
                </w:tcPr>
                <w:p>
                  <w:pPr>
                    <w:autoSpaceDE w:val="0"/>
                    <w:autoSpaceDN w:val="0"/>
                    <w:adjustRightInd w:val="0"/>
                    <w:snapToGrid w:val="0"/>
                    <w:jc w:val="center"/>
                    <w:rPr>
                      <w:b/>
                      <w:kern w:val="0"/>
                      <w:szCs w:val="21"/>
                    </w:rPr>
                  </w:pPr>
                  <w:r>
                    <w:rPr>
                      <w:b/>
                      <w:kern w:val="0"/>
                      <w:szCs w:val="21"/>
                    </w:rPr>
                    <w:t>级别</w:t>
                  </w:r>
                </w:p>
              </w:tc>
              <w:tc>
                <w:tcPr>
                  <w:tcW w:w="2555" w:type="dxa"/>
                  <w:vAlign w:val="center"/>
                </w:tcPr>
                <w:p>
                  <w:pPr>
                    <w:autoSpaceDE w:val="0"/>
                    <w:autoSpaceDN w:val="0"/>
                    <w:adjustRightInd w:val="0"/>
                    <w:snapToGrid w:val="0"/>
                    <w:jc w:val="center"/>
                    <w:rPr>
                      <w:b/>
                      <w:kern w:val="0"/>
                      <w:szCs w:val="21"/>
                    </w:rPr>
                  </w:pPr>
                  <w:r>
                    <w:rPr>
                      <w:b/>
                      <w:kern w:val="0"/>
                      <w:szCs w:val="21"/>
                    </w:rPr>
                    <w:t>项目</w:t>
                  </w:r>
                </w:p>
              </w:tc>
              <w:tc>
                <w:tcPr>
                  <w:tcW w:w="2121" w:type="dxa"/>
                  <w:vAlign w:val="center"/>
                </w:tcPr>
                <w:p>
                  <w:pPr>
                    <w:autoSpaceDE w:val="0"/>
                    <w:autoSpaceDN w:val="0"/>
                    <w:adjustRightInd w:val="0"/>
                    <w:snapToGrid w:val="0"/>
                    <w:jc w:val="center"/>
                    <w:rPr>
                      <w:b/>
                      <w:kern w:val="0"/>
                      <w:szCs w:val="21"/>
                    </w:rPr>
                  </w:pPr>
                  <w:r>
                    <w:rPr>
                      <w:szCs w:val="21"/>
                    </w:rPr>
                    <w:t>标准限值（mg/L）</w:t>
                  </w:r>
                </w:p>
              </w:tc>
            </w:tr>
            <w:tr>
              <w:tblPrEx>
                <w:tblW w:w="8741" w:type="dxa"/>
                <w:jc w:val="center"/>
                <w:tblInd w:w="123" w:type="dxa"/>
                <w:tblLayout w:type="fixed"/>
                <w:tblCellMar>
                  <w:top w:w="0" w:type="dxa"/>
                  <w:left w:w="108" w:type="dxa"/>
                  <w:bottom w:w="0" w:type="dxa"/>
                  <w:right w:w="108" w:type="dxa"/>
                </w:tblCellMar>
                <w:tblLook w:val="0000"/>
              </w:tblPrEx>
              <w:trPr>
                <w:trHeight w:val="234"/>
                <w:jc w:val="center"/>
              </w:trPr>
              <w:tc>
                <w:tcPr>
                  <w:tcW w:w="2581" w:type="dxa"/>
                  <w:vMerge w:val="restart"/>
                  <w:vAlign w:val="center"/>
                </w:tcPr>
                <w:p>
                  <w:pPr>
                    <w:autoSpaceDE w:val="0"/>
                    <w:autoSpaceDN w:val="0"/>
                    <w:adjustRightInd w:val="0"/>
                    <w:snapToGrid w:val="0"/>
                    <w:jc w:val="center"/>
                    <w:rPr>
                      <w:kern w:val="0"/>
                      <w:szCs w:val="21"/>
                    </w:rPr>
                  </w:pPr>
                  <w:r>
                    <w:rPr>
                      <w:kern w:val="0"/>
                      <w:szCs w:val="21"/>
                    </w:rPr>
                    <w:t>《地下水质量标准》（GB/T14848-93）</w:t>
                  </w:r>
                </w:p>
              </w:tc>
              <w:tc>
                <w:tcPr>
                  <w:tcW w:w="1484" w:type="dxa"/>
                  <w:vMerge w:val="restart"/>
                  <w:vAlign w:val="center"/>
                </w:tcPr>
                <w:p>
                  <w:pPr>
                    <w:autoSpaceDE w:val="0"/>
                    <w:autoSpaceDN w:val="0"/>
                    <w:adjustRightInd w:val="0"/>
                    <w:snapToGrid w:val="0"/>
                    <w:jc w:val="center"/>
                    <w:rPr>
                      <w:kern w:val="0"/>
                      <w:szCs w:val="21"/>
                    </w:rPr>
                  </w:pPr>
                  <w:r>
                    <w:rPr>
                      <w:rFonts w:ascii="宋体" w:hAnsi="宋体" w:cs="宋体" w:hint="eastAsia"/>
                      <w:szCs w:val="21"/>
                    </w:rPr>
                    <w:t>Ⅲ</w:t>
                  </w:r>
                  <w:r>
                    <w:rPr>
                      <w:szCs w:val="21"/>
                    </w:rPr>
                    <w:t>类</w:t>
                  </w:r>
                </w:p>
              </w:tc>
              <w:tc>
                <w:tcPr>
                  <w:tcW w:w="2555" w:type="dxa"/>
                  <w:vAlign w:val="center"/>
                </w:tcPr>
                <w:p>
                  <w:pPr>
                    <w:autoSpaceDE w:val="0"/>
                    <w:autoSpaceDN w:val="0"/>
                    <w:adjustRightInd w:val="0"/>
                    <w:snapToGrid w:val="0"/>
                    <w:jc w:val="center"/>
                    <w:rPr>
                      <w:kern w:val="0"/>
                      <w:szCs w:val="21"/>
                    </w:rPr>
                  </w:pPr>
                  <w:r>
                    <w:rPr>
                      <w:kern w:val="0"/>
                      <w:szCs w:val="21"/>
                    </w:rPr>
                    <w:t>pH</w:t>
                  </w:r>
                </w:p>
              </w:tc>
              <w:tc>
                <w:tcPr>
                  <w:tcW w:w="2121" w:type="dxa"/>
                  <w:vAlign w:val="center"/>
                </w:tcPr>
                <w:p>
                  <w:pPr>
                    <w:autoSpaceDE w:val="0"/>
                    <w:autoSpaceDN w:val="0"/>
                    <w:adjustRightInd w:val="0"/>
                    <w:snapToGrid w:val="0"/>
                    <w:jc w:val="center"/>
                    <w:rPr>
                      <w:szCs w:val="21"/>
                    </w:rPr>
                  </w:pPr>
                  <w:r>
                    <w:rPr>
                      <w:szCs w:val="21"/>
                    </w:rPr>
                    <w:t>6.5~8.5</w:t>
                  </w:r>
                </w:p>
              </w:tc>
            </w:tr>
            <w:tr>
              <w:tblPrEx>
                <w:tblW w:w="8741" w:type="dxa"/>
                <w:jc w:val="center"/>
                <w:tblInd w:w="123" w:type="dxa"/>
                <w:tblLayout w:type="fixed"/>
                <w:tblCellMar>
                  <w:top w:w="0" w:type="dxa"/>
                  <w:left w:w="108" w:type="dxa"/>
                  <w:bottom w:w="0" w:type="dxa"/>
                  <w:right w:w="108" w:type="dxa"/>
                </w:tblCellMar>
                <w:tblLook w:val="0000"/>
              </w:tblPrEx>
              <w:trPr>
                <w:trHeight w:val="234"/>
                <w:jc w:val="center"/>
              </w:trPr>
              <w:tc>
                <w:tcPr>
                  <w:tcW w:w="2581" w:type="dxa"/>
                  <w:vMerge/>
                  <w:vAlign w:val="center"/>
                </w:tcPr>
                <w:p>
                  <w:pPr>
                    <w:autoSpaceDE w:val="0"/>
                    <w:autoSpaceDN w:val="0"/>
                    <w:adjustRightInd w:val="0"/>
                    <w:snapToGrid w:val="0"/>
                    <w:jc w:val="center"/>
                    <w:rPr>
                      <w:kern w:val="0"/>
                      <w:szCs w:val="21"/>
                    </w:rPr>
                  </w:pPr>
                </w:p>
              </w:tc>
              <w:tc>
                <w:tcPr>
                  <w:tcW w:w="1484" w:type="dxa"/>
                  <w:vMerge/>
                  <w:vAlign w:val="center"/>
                </w:tcPr>
                <w:p>
                  <w:pPr>
                    <w:autoSpaceDE w:val="0"/>
                    <w:autoSpaceDN w:val="0"/>
                    <w:adjustRightInd w:val="0"/>
                    <w:snapToGrid w:val="0"/>
                    <w:jc w:val="center"/>
                    <w:rPr>
                      <w:rFonts w:ascii="宋体" w:hAnsi="宋体" w:cs="宋体" w:hint="eastAsia"/>
                      <w:szCs w:val="21"/>
                    </w:rPr>
                  </w:pPr>
                </w:p>
              </w:tc>
              <w:tc>
                <w:tcPr>
                  <w:tcW w:w="2555" w:type="dxa"/>
                  <w:vAlign w:val="center"/>
                </w:tcPr>
                <w:p>
                  <w:pPr>
                    <w:autoSpaceDE w:val="0"/>
                    <w:autoSpaceDN w:val="0"/>
                    <w:adjustRightInd w:val="0"/>
                    <w:snapToGrid w:val="0"/>
                    <w:jc w:val="center"/>
                    <w:rPr>
                      <w:kern w:val="0"/>
                      <w:szCs w:val="21"/>
                    </w:rPr>
                  </w:pPr>
                  <w:r>
                    <w:rPr>
                      <w:kern w:val="0"/>
                      <w:szCs w:val="21"/>
                    </w:rPr>
                    <w:t>总硬度</w:t>
                  </w:r>
                </w:p>
              </w:tc>
              <w:tc>
                <w:tcPr>
                  <w:tcW w:w="2121" w:type="dxa"/>
                  <w:vAlign w:val="center"/>
                </w:tcPr>
                <w:p>
                  <w:pPr>
                    <w:autoSpaceDE w:val="0"/>
                    <w:autoSpaceDN w:val="0"/>
                    <w:adjustRightInd w:val="0"/>
                    <w:snapToGrid w:val="0"/>
                    <w:jc w:val="center"/>
                    <w:rPr>
                      <w:szCs w:val="21"/>
                    </w:rPr>
                  </w:pPr>
                  <w:r>
                    <w:rPr>
                      <w:szCs w:val="21"/>
                    </w:rPr>
                    <w:t>≤</w:t>
                  </w:r>
                  <w:r>
                    <w:rPr>
                      <w:rFonts w:hint="eastAsia"/>
                      <w:szCs w:val="21"/>
                    </w:rPr>
                    <w:t>450</w:t>
                  </w:r>
                </w:p>
              </w:tc>
            </w:tr>
            <w:tr>
              <w:tblPrEx>
                <w:tblW w:w="8741" w:type="dxa"/>
                <w:jc w:val="center"/>
                <w:tblInd w:w="123" w:type="dxa"/>
                <w:tblLayout w:type="fixed"/>
                <w:tblCellMar>
                  <w:top w:w="0" w:type="dxa"/>
                  <w:left w:w="108" w:type="dxa"/>
                  <w:bottom w:w="0" w:type="dxa"/>
                  <w:right w:w="108" w:type="dxa"/>
                </w:tblCellMar>
                <w:tblLook w:val="0000"/>
              </w:tblPrEx>
              <w:trPr>
                <w:trHeight w:val="144"/>
                <w:jc w:val="center"/>
              </w:trPr>
              <w:tc>
                <w:tcPr>
                  <w:tcW w:w="2581" w:type="dxa"/>
                  <w:vMerge/>
                  <w:vAlign w:val="center"/>
                </w:tcPr>
                <w:p>
                  <w:pPr>
                    <w:autoSpaceDE w:val="0"/>
                    <w:autoSpaceDN w:val="0"/>
                    <w:adjustRightInd w:val="0"/>
                    <w:snapToGrid w:val="0"/>
                    <w:jc w:val="center"/>
                    <w:rPr>
                      <w:kern w:val="0"/>
                      <w:szCs w:val="21"/>
                    </w:rPr>
                  </w:pPr>
                </w:p>
              </w:tc>
              <w:tc>
                <w:tcPr>
                  <w:tcW w:w="1484" w:type="dxa"/>
                  <w:vMerge/>
                  <w:vAlign w:val="center"/>
                </w:tcPr>
                <w:p>
                  <w:pPr>
                    <w:autoSpaceDE w:val="0"/>
                    <w:autoSpaceDN w:val="0"/>
                    <w:adjustRightInd w:val="0"/>
                    <w:snapToGrid w:val="0"/>
                    <w:jc w:val="center"/>
                    <w:rPr>
                      <w:kern w:val="0"/>
                      <w:szCs w:val="21"/>
                    </w:rPr>
                  </w:pPr>
                </w:p>
              </w:tc>
              <w:tc>
                <w:tcPr>
                  <w:tcW w:w="2555" w:type="dxa"/>
                  <w:vAlign w:val="center"/>
                </w:tcPr>
                <w:p>
                  <w:pPr>
                    <w:autoSpaceDE w:val="0"/>
                    <w:autoSpaceDN w:val="0"/>
                    <w:adjustRightInd w:val="0"/>
                    <w:snapToGrid w:val="0"/>
                    <w:jc w:val="center"/>
                    <w:rPr>
                      <w:kern w:val="0"/>
                      <w:szCs w:val="21"/>
                    </w:rPr>
                  </w:pPr>
                  <w:r>
                    <w:rPr>
                      <w:kern w:val="0"/>
                      <w:szCs w:val="21"/>
                    </w:rPr>
                    <w:t>氨氮</w:t>
                  </w:r>
                </w:p>
              </w:tc>
              <w:tc>
                <w:tcPr>
                  <w:tcW w:w="2121" w:type="dxa"/>
                  <w:vAlign w:val="center"/>
                </w:tcPr>
                <w:p>
                  <w:pPr>
                    <w:autoSpaceDE w:val="0"/>
                    <w:autoSpaceDN w:val="0"/>
                    <w:adjustRightInd w:val="0"/>
                    <w:snapToGrid w:val="0"/>
                    <w:jc w:val="center"/>
                    <w:rPr>
                      <w:szCs w:val="21"/>
                    </w:rPr>
                  </w:pPr>
                  <w:r>
                    <w:rPr>
                      <w:szCs w:val="21"/>
                    </w:rPr>
                    <w:t>≤</w:t>
                  </w:r>
                  <w:r>
                    <w:rPr>
                      <w:rFonts w:hint="eastAsia"/>
                      <w:szCs w:val="21"/>
                    </w:rPr>
                    <w:t>0.2</w:t>
                  </w:r>
                </w:p>
              </w:tc>
            </w:tr>
            <w:tr>
              <w:tblPrEx>
                <w:tblW w:w="8741" w:type="dxa"/>
                <w:jc w:val="center"/>
                <w:tblInd w:w="123" w:type="dxa"/>
                <w:tblLayout w:type="fixed"/>
                <w:tblCellMar>
                  <w:top w:w="0" w:type="dxa"/>
                  <w:left w:w="108" w:type="dxa"/>
                  <w:bottom w:w="0" w:type="dxa"/>
                  <w:right w:w="108" w:type="dxa"/>
                </w:tblCellMar>
                <w:tblLook w:val="0000"/>
              </w:tblPrEx>
              <w:trPr>
                <w:trHeight w:val="144"/>
                <w:jc w:val="center"/>
              </w:trPr>
              <w:tc>
                <w:tcPr>
                  <w:tcW w:w="2581" w:type="dxa"/>
                  <w:vMerge/>
                  <w:vAlign w:val="center"/>
                </w:tcPr>
                <w:p>
                  <w:pPr>
                    <w:autoSpaceDE w:val="0"/>
                    <w:autoSpaceDN w:val="0"/>
                    <w:adjustRightInd w:val="0"/>
                    <w:snapToGrid w:val="0"/>
                    <w:jc w:val="center"/>
                    <w:rPr>
                      <w:kern w:val="0"/>
                      <w:szCs w:val="21"/>
                    </w:rPr>
                  </w:pPr>
                </w:p>
              </w:tc>
              <w:tc>
                <w:tcPr>
                  <w:tcW w:w="1484" w:type="dxa"/>
                  <w:vMerge/>
                  <w:vAlign w:val="center"/>
                </w:tcPr>
                <w:p>
                  <w:pPr>
                    <w:autoSpaceDE w:val="0"/>
                    <w:autoSpaceDN w:val="0"/>
                    <w:adjustRightInd w:val="0"/>
                    <w:snapToGrid w:val="0"/>
                    <w:jc w:val="center"/>
                    <w:rPr>
                      <w:kern w:val="0"/>
                      <w:szCs w:val="21"/>
                    </w:rPr>
                  </w:pPr>
                </w:p>
              </w:tc>
              <w:tc>
                <w:tcPr>
                  <w:tcW w:w="2555" w:type="dxa"/>
                  <w:vAlign w:val="center"/>
                </w:tcPr>
                <w:p>
                  <w:pPr>
                    <w:autoSpaceDE w:val="0"/>
                    <w:autoSpaceDN w:val="0"/>
                    <w:adjustRightInd w:val="0"/>
                    <w:snapToGrid w:val="0"/>
                    <w:jc w:val="center"/>
                    <w:rPr>
                      <w:kern w:val="0"/>
                      <w:szCs w:val="21"/>
                    </w:rPr>
                  </w:pPr>
                  <w:r>
                    <w:rPr>
                      <w:kern w:val="0"/>
                      <w:szCs w:val="21"/>
                    </w:rPr>
                    <w:t>硫酸盐(mg/l)</w:t>
                  </w:r>
                </w:p>
              </w:tc>
              <w:tc>
                <w:tcPr>
                  <w:tcW w:w="2121" w:type="dxa"/>
                  <w:vAlign w:val="center"/>
                </w:tcPr>
                <w:p>
                  <w:pPr>
                    <w:autoSpaceDE w:val="0"/>
                    <w:autoSpaceDN w:val="0"/>
                    <w:adjustRightInd w:val="0"/>
                    <w:snapToGrid w:val="0"/>
                    <w:jc w:val="center"/>
                    <w:rPr>
                      <w:szCs w:val="21"/>
                    </w:rPr>
                  </w:pPr>
                  <w:r>
                    <w:rPr>
                      <w:szCs w:val="21"/>
                    </w:rPr>
                    <w:t>≤250</w:t>
                  </w:r>
                </w:p>
              </w:tc>
            </w:tr>
            <w:tr>
              <w:tblPrEx>
                <w:tblW w:w="8741" w:type="dxa"/>
                <w:jc w:val="center"/>
                <w:tblInd w:w="123" w:type="dxa"/>
                <w:tblLayout w:type="fixed"/>
                <w:tblCellMar>
                  <w:top w:w="0" w:type="dxa"/>
                  <w:left w:w="108" w:type="dxa"/>
                  <w:bottom w:w="0" w:type="dxa"/>
                  <w:right w:w="108" w:type="dxa"/>
                </w:tblCellMar>
                <w:tblLook w:val="0000"/>
              </w:tblPrEx>
              <w:trPr>
                <w:trHeight w:val="144"/>
                <w:jc w:val="center"/>
              </w:trPr>
              <w:tc>
                <w:tcPr>
                  <w:tcW w:w="2581" w:type="dxa"/>
                  <w:vMerge/>
                  <w:vAlign w:val="center"/>
                </w:tcPr>
                <w:p>
                  <w:pPr>
                    <w:autoSpaceDE w:val="0"/>
                    <w:autoSpaceDN w:val="0"/>
                    <w:adjustRightInd w:val="0"/>
                    <w:snapToGrid w:val="0"/>
                    <w:jc w:val="center"/>
                    <w:rPr>
                      <w:kern w:val="0"/>
                      <w:szCs w:val="21"/>
                    </w:rPr>
                  </w:pPr>
                </w:p>
              </w:tc>
              <w:tc>
                <w:tcPr>
                  <w:tcW w:w="1484" w:type="dxa"/>
                  <w:vMerge/>
                  <w:vAlign w:val="center"/>
                </w:tcPr>
                <w:p>
                  <w:pPr>
                    <w:autoSpaceDE w:val="0"/>
                    <w:autoSpaceDN w:val="0"/>
                    <w:adjustRightInd w:val="0"/>
                    <w:snapToGrid w:val="0"/>
                    <w:jc w:val="center"/>
                    <w:rPr>
                      <w:kern w:val="0"/>
                      <w:szCs w:val="21"/>
                    </w:rPr>
                  </w:pPr>
                </w:p>
              </w:tc>
              <w:tc>
                <w:tcPr>
                  <w:tcW w:w="2555" w:type="dxa"/>
                  <w:vAlign w:val="center"/>
                </w:tcPr>
                <w:p>
                  <w:pPr>
                    <w:autoSpaceDE w:val="0"/>
                    <w:autoSpaceDN w:val="0"/>
                    <w:adjustRightInd w:val="0"/>
                    <w:snapToGrid w:val="0"/>
                    <w:jc w:val="center"/>
                    <w:rPr>
                      <w:kern w:val="0"/>
                      <w:szCs w:val="21"/>
                    </w:rPr>
                  </w:pPr>
                  <w:r>
                    <w:rPr>
                      <w:kern w:val="0"/>
                      <w:szCs w:val="21"/>
                    </w:rPr>
                    <w:t>高锰酸盐指数(mg/l)</w:t>
                  </w:r>
                </w:p>
              </w:tc>
              <w:tc>
                <w:tcPr>
                  <w:tcW w:w="2121" w:type="dxa"/>
                  <w:vAlign w:val="center"/>
                </w:tcPr>
                <w:p>
                  <w:pPr>
                    <w:autoSpaceDE w:val="0"/>
                    <w:autoSpaceDN w:val="0"/>
                    <w:adjustRightInd w:val="0"/>
                    <w:snapToGrid w:val="0"/>
                    <w:jc w:val="center"/>
                    <w:rPr>
                      <w:szCs w:val="21"/>
                    </w:rPr>
                  </w:pPr>
                  <w:r>
                    <w:rPr>
                      <w:szCs w:val="21"/>
                    </w:rPr>
                    <w:t>≤3.0</w:t>
                  </w:r>
                </w:p>
              </w:tc>
            </w:tr>
            <w:tr>
              <w:tblPrEx>
                <w:tblW w:w="8741" w:type="dxa"/>
                <w:jc w:val="center"/>
                <w:tblInd w:w="123" w:type="dxa"/>
                <w:tblLayout w:type="fixed"/>
                <w:tblCellMar>
                  <w:top w:w="0" w:type="dxa"/>
                  <w:left w:w="108" w:type="dxa"/>
                  <w:bottom w:w="0" w:type="dxa"/>
                  <w:right w:w="108" w:type="dxa"/>
                </w:tblCellMar>
                <w:tblLook w:val="0000"/>
              </w:tblPrEx>
              <w:trPr>
                <w:trHeight w:val="144"/>
                <w:jc w:val="center"/>
              </w:trPr>
              <w:tc>
                <w:tcPr>
                  <w:tcW w:w="2581" w:type="dxa"/>
                  <w:vMerge/>
                  <w:vAlign w:val="center"/>
                </w:tcPr>
                <w:p>
                  <w:pPr>
                    <w:autoSpaceDE w:val="0"/>
                    <w:autoSpaceDN w:val="0"/>
                    <w:adjustRightInd w:val="0"/>
                    <w:snapToGrid w:val="0"/>
                    <w:jc w:val="center"/>
                    <w:rPr>
                      <w:kern w:val="0"/>
                      <w:szCs w:val="21"/>
                    </w:rPr>
                  </w:pPr>
                </w:p>
              </w:tc>
              <w:tc>
                <w:tcPr>
                  <w:tcW w:w="1484" w:type="dxa"/>
                  <w:vMerge/>
                  <w:vAlign w:val="center"/>
                </w:tcPr>
                <w:p>
                  <w:pPr>
                    <w:autoSpaceDE w:val="0"/>
                    <w:autoSpaceDN w:val="0"/>
                    <w:adjustRightInd w:val="0"/>
                    <w:snapToGrid w:val="0"/>
                    <w:jc w:val="center"/>
                    <w:rPr>
                      <w:kern w:val="0"/>
                      <w:szCs w:val="21"/>
                    </w:rPr>
                  </w:pPr>
                </w:p>
              </w:tc>
              <w:tc>
                <w:tcPr>
                  <w:tcW w:w="2555" w:type="dxa"/>
                  <w:vAlign w:val="center"/>
                </w:tcPr>
                <w:p>
                  <w:pPr>
                    <w:autoSpaceDE w:val="0"/>
                    <w:autoSpaceDN w:val="0"/>
                    <w:adjustRightInd w:val="0"/>
                    <w:snapToGrid w:val="0"/>
                    <w:jc w:val="center"/>
                    <w:rPr>
                      <w:kern w:val="0"/>
                      <w:szCs w:val="21"/>
                    </w:rPr>
                  </w:pPr>
                  <w:r>
                    <w:rPr>
                      <w:rFonts w:hint="eastAsia"/>
                      <w:kern w:val="0"/>
                      <w:szCs w:val="21"/>
                    </w:rPr>
                    <w:t>氯化物</w:t>
                  </w:r>
                  <w:r>
                    <w:rPr>
                      <w:kern w:val="0"/>
                      <w:szCs w:val="21"/>
                    </w:rPr>
                    <w:t>(mg/l)</w:t>
                  </w:r>
                </w:p>
              </w:tc>
              <w:tc>
                <w:tcPr>
                  <w:tcW w:w="2121" w:type="dxa"/>
                  <w:vAlign w:val="center"/>
                </w:tcPr>
                <w:p>
                  <w:pPr>
                    <w:autoSpaceDE w:val="0"/>
                    <w:autoSpaceDN w:val="0"/>
                    <w:adjustRightInd w:val="0"/>
                    <w:snapToGrid w:val="0"/>
                    <w:jc w:val="center"/>
                    <w:rPr>
                      <w:szCs w:val="21"/>
                    </w:rPr>
                  </w:pPr>
                  <w:r>
                    <w:rPr>
                      <w:szCs w:val="21"/>
                    </w:rPr>
                    <w:t>≤</w:t>
                  </w:r>
                  <w:r>
                    <w:rPr>
                      <w:kern w:val="0"/>
                      <w:szCs w:val="21"/>
                    </w:rPr>
                    <w:t>250</w:t>
                  </w:r>
                </w:p>
              </w:tc>
            </w:tr>
          </w:tbl>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3、声环境质量标准</w:t>
            </w:r>
          </w:p>
          <w:p>
            <w:pPr>
              <w:snapToGrid w:val="0"/>
              <w:spacing w:line="360" w:lineRule="auto"/>
              <w:ind w:firstLine="480" w:firstLineChars="200"/>
              <w:rPr>
                <w:sz w:val="24"/>
              </w:rPr>
            </w:pPr>
            <w:r>
              <w:rPr>
                <w:sz w:val="24"/>
              </w:rPr>
              <w:t>项目执行《声环境质量标准》（GB3096-2008）</w:t>
            </w:r>
            <w:r>
              <w:rPr>
                <w:rFonts w:hint="eastAsia"/>
                <w:sz w:val="24"/>
              </w:rPr>
              <w:t>3</w:t>
            </w:r>
            <w:r>
              <w:rPr>
                <w:sz w:val="24"/>
              </w:rPr>
              <w:t>类标准，标准值见表</w:t>
            </w:r>
            <w:r>
              <w:rPr>
                <w:rFonts w:hint="eastAsia"/>
                <w:sz w:val="24"/>
              </w:rPr>
              <w:t>4-4</w:t>
            </w:r>
            <w:r>
              <w:rPr>
                <w:sz w:val="24"/>
              </w:rPr>
              <w:t>。</w:t>
            </w:r>
          </w:p>
          <w:p>
            <w:pPr>
              <w:pStyle w:val="NormalWeb"/>
              <w:snapToGrid w:val="0"/>
              <w:spacing w:before="0" w:beforeAutospacing="0" w:after="0" w:afterAutospacing="0"/>
              <w:jc w:val="center"/>
              <w:rPr>
                <w:rFonts w:ascii="Times New Roman" w:hAnsi="Times New Roman"/>
                <w:b/>
                <w:color w:val="auto"/>
                <w:sz w:val="21"/>
                <w:szCs w:val="21"/>
              </w:rPr>
            </w:pPr>
            <w:r>
              <w:rPr>
                <w:rFonts w:ascii="Times New Roman" w:hAnsi="Times New Roman"/>
                <w:b/>
                <w:color w:val="auto"/>
                <w:sz w:val="21"/>
                <w:szCs w:val="21"/>
              </w:rPr>
              <w:t>表</w:t>
            </w:r>
            <w:r>
              <w:rPr>
                <w:rFonts w:ascii="Times New Roman" w:hAnsi="Times New Roman" w:hint="eastAsia"/>
                <w:b/>
                <w:color w:val="auto"/>
                <w:sz w:val="21"/>
                <w:szCs w:val="21"/>
              </w:rPr>
              <w:t>4-4</w:t>
            </w:r>
            <w:r>
              <w:rPr>
                <w:rFonts w:ascii="Times New Roman" w:hAnsi="Times New Roman"/>
                <w:b/>
                <w:color w:val="auto"/>
                <w:sz w:val="21"/>
                <w:szCs w:val="21"/>
              </w:rPr>
              <w:t xml:space="preserve"> </w:t>
            </w:r>
            <w:r>
              <w:rPr>
                <w:rFonts w:ascii="Times New Roman" w:hAnsi="Times New Roman"/>
                <w:b/>
                <w:bCs/>
                <w:color w:val="auto"/>
                <w:sz w:val="21"/>
                <w:szCs w:val="21"/>
              </w:rPr>
              <w:t>《声环境质量标准》（GB3096-2008）</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09"/>
              <w:gridCol w:w="1701"/>
              <w:gridCol w:w="1984"/>
              <w:gridCol w:w="3715"/>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rPr>
              <w:tc>
                <w:tcPr>
                  <w:tcW w:w="1409" w:type="dxa"/>
                  <w:vMerge w:val="restart"/>
                  <w:vAlign w:val="center"/>
                </w:tcPr>
                <w:p>
                  <w:pPr>
                    <w:snapToGrid w:val="0"/>
                    <w:jc w:val="center"/>
                    <w:rPr>
                      <w:szCs w:val="21"/>
                    </w:rPr>
                  </w:pPr>
                  <w:r>
                    <w:rPr>
                      <w:szCs w:val="21"/>
                    </w:rPr>
                    <w:t>适用区域</w:t>
                  </w:r>
                </w:p>
              </w:tc>
              <w:tc>
                <w:tcPr>
                  <w:tcW w:w="3685" w:type="dxa"/>
                  <w:gridSpan w:val="2"/>
                  <w:vAlign w:val="center"/>
                </w:tcPr>
                <w:p>
                  <w:pPr>
                    <w:snapToGrid w:val="0"/>
                    <w:jc w:val="center"/>
                    <w:rPr>
                      <w:szCs w:val="21"/>
                    </w:rPr>
                  </w:pPr>
                  <w:r>
                    <w:rPr>
                      <w:szCs w:val="21"/>
                    </w:rPr>
                    <w:t>标准值（Leq:dB(A)）</w:t>
                  </w:r>
                </w:p>
              </w:tc>
              <w:tc>
                <w:tcPr>
                  <w:tcW w:w="3715" w:type="dxa"/>
                  <w:vMerge w:val="restart"/>
                  <w:vAlign w:val="center"/>
                </w:tcPr>
                <w:p>
                  <w:pPr>
                    <w:snapToGrid w:val="0"/>
                    <w:jc w:val="center"/>
                    <w:rPr>
                      <w:szCs w:val="21"/>
                    </w:rPr>
                  </w:pPr>
                  <w:r>
                    <w:rPr>
                      <w:szCs w:val="21"/>
                    </w:rPr>
                    <w:t>依据</w:t>
                  </w:r>
                </w:p>
              </w:tc>
            </w:tr>
            <w:tr>
              <w:tblPrEx>
                <w:tblW w:w="0" w:type="auto"/>
                <w:tblInd w:w="113" w:type="dxa"/>
                <w:tblLayout w:type="fixed"/>
                <w:tblCellMar>
                  <w:top w:w="0" w:type="dxa"/>
                  <w:left w:w="108" w:type="dxa"/>
                  <w:bottom w:w="0" w:type="dxa"/>
                  <w:right w:w="108" w:type="dxa"/>
                </w:tblCellMar>
                <w:tblLook w:val="0000"/>
              </w:tblPrEx>
              <w:trPr>
                <w:trHeight w:val="20"/>
              </w:trPr>
              <w:tc>
                <w:tcPr>
                  <w:tcW w:w="1409" w:type="dxa"/>
                  <w:vMerge/>
                  <w:vAlign w:val="center"/>
                </w:tcPr>
                <w:p>
                  <w:pPr>
                    <w:snapToGrid w:val="0"/>
                    <w:jc w:val="center"/>
                    <w:rPr>
                      <w:szCs w:val="21"/>
                    </w:rPr>
                  </w:pPr>
                </w:p>
              </w:tc>
              <w:tc>
                <w:tcPr>
                  <w:tcW w:w="1701" w:type="dxa"/>
                  <w:vAlign w:val="center"/>
                </w:tcPr>
                <w:p>
                  <w:pPr>
                    <w:snapToGrid w:val="0"/>
                    <w:jc w:val="center"/>
                    <w:rPr>
                      <w:szCs w:val="21"/>
                    </w:rPr>
                  </w:pPr>
                  <w:r>
                    <w:rPr>
                      <w:szCs w:val="21"/>
                    </w:rPr>
                    <w:t>昼间</w:t>
                  </w:r>
                </w:p>
              </w:tc>
              <w:tc>
                <w:tcPr>
                  <w:tcW w:w="1984" w:type="dxa"/>
                  <w:vAlign w:val="center"/>
                </w:tcPr>
                <w:p>
                  <w:pPr>
                    <w:snapToGrid w:val="0"/>
                    <w:jc w:val="center"/>
                    <w:rPr>
                      <w:szCs w:val="21"/>
                    </w:rPr>
                  </w:pPr>
                  <w:r>
                    <w:rPr>
                      <w:szCs w:val="21"/>
                    </w:rPr>
                    <w:t>夜间</w:t>
                  </w:r>
                </w:p>
              </w:tc>
              <w:tc>
                <w:tcPr>
                  <w:tcW w:w="3715" w:type="dxa"/>
                  <w:vMerge/>
                  <w:vAlign w:val="center"/>
                </w:tcPr>
                <w:p>
                  <w:pPr>
                    <w:snapToGrid w:val="0"/>
                    <w:jc w:val="center"/>
                    <w:rPr>
                      <w:szCs w:val="21"/>
                    </w:rPr>
                  </w:pPr>
                </w:p>
              </w:tc>
            </w:tr>
            <w:tr>
              <w:tblPrEx>
                <w:tblW w:w="0" w:type="auto"/>
                <w:tblInd w:w="113" w:type="dxa"/>
                <w:tblLayout w:type="fixed"/>
                <w:tblCellMar>
                  <w:top w:w="0" w:type="dxa"/>
                  <w:left w:w="108" w:type="dxa"/>
                  <w:bottom w:w="0" w:type="dxa"/>
                  <w:right w:w="108" w:type="dxa"/>
                </w:tblCellMar>
                <w:tblLook w:val="0000"/>
              </w:tblPrEx>
              <w:trPr>
                <w:trHeight w:val="277"/>
              </w:trPr>
              <w:tc>
                <w:tcPr>
                  <w:tcW w:w="1409" w:type="dxa"/>
                  <w:vAlign w:val="center"/>
                </w:tcPr>
                <w:p>
                  <w:pPr>
                    <w:snapToGrid w:val="0"/>
                    <w:jc w:val="center"/>
                    <w:rPr>
                      <w:szCs w:val="21"/>
                    </w:rPr>
                  </w:pPr>
                  <w:r>
                    <w:rPr>
                      <w:rFonts w:hint="eastAsia"/>
                      <w:szCs w:val="21"/>
                    </w:rPr>
                    <w:t>3</w:t>
                  </w:r>
                  <w:r>
                    <w:rPr>
                      <w:szCs w:val="21"/>
                    </w:rPr>
                    <w:t>类</w:t>
                  </w:r>
                </w:p>
              </w:tc>
              <w:tc>
                <w:tcPr>
                  <w:tcW w:w="1701" w:type="dxa"/>
                  <w:vAlign w:val="center"/>
                </w:tcPr>
                <w:p>
                  <w:pPr>
                    <w:snapToGrid w:val="0"/>
                    <w:jc w:val="center"/>
                    <w:rPr>
                      <w:szCs w:val="21"/>
                    </w:rPr>
                  </w:pPr>
                  <w:r>
                    <w:rPr>
                      <w:rFonts w:hint="eastAsia"/>
                      <w:szCs w:val="21"/>
                    </w:rPr>
                    <w:t>65</w:t>
                  </w:r>
                </w:p>
              </w:tc>
              <w:tc>
                <w:tcPr>
                  <w:tcW w:w="1984" w:type="dxa"/>
                  <w:vAlign w:val="center"/>
                </w:tcPr>
                <w:p>
                  <w:pPr>
                    <w:snapToGrid w:val="0"/>
                    <w:jc w:val="center"/>
                    <w:rPr>
                      <w:szCs w:val="21"/>
                    </w:rPr>
                  </w:pPr>
                  <w:r>
                    <w:rPr>
                      <w:rFonts w:hint="eastAsia"/>
                      <w:szCs w:val="21"/>
                    </w:rPr>
                    <w:t>55</w:t>
                  </w:r>
                </w:p>
              </w:tc>
              <w:tc>
                <w:tcPr>
                  <w:tcW w:w="3715" w:type="dxa"/>
                  <w:vAlign w:val="center"/>
                </w:tcPr>
                <w:p>
                  <w:pPr>
                    <w:snapToGrid w:val="0"/>
                    <w:jc w:val="center"/>
                    <w:rPr>
                      <w:szCs w:val="21"/>
                    </w:rPr>
                  </w:pPr>
                  <w:r>
                    <w:rPr>
                      <w:rFonts w:hint="eastAsia"/>
                      <w:szCs w:val="21"/>
                    </w:rPr>
                    <w:t>《声环境质量标准》（GB3096-2008）</w:t>
                  </w:r>
                </w:p>
              </w:tc>
            </w:tr>
          </w:tbl>
          <w:p>
            <w:pPr>
              <w:adjustRightInd w:val="0"/>
              <w:snapToGrid w:val="0"/>
              <w:spacing w:line="360" w:lineRule="auto"/>
              <w:rPr>
                <w:sz w:val="24"/>
              </w:rPr>
            </w:pPr>
          </w:p>
        </w:tc>
      </w:tr>
    </w:tbl>
    <w:p>
      <w:pPr>
        <w:sectPr>
          <w:headerReference w:type="default" r:id="rId58"/>
          <w:footerReference w:type="even" r:id="rId59"/>
          <w:footerReference w:type="default" r:id="rId60"/>
          <w:pgSz w:w="11906" w:h="16838"/>
          <w:pgMar w:top="1440" w:right="1469" w:bottom="1440" w:left="1797" w:header="851" w:footer="992" w:gutter="0"/>
          <w:pgNumType w:start="19"/>
          <w:cols w:space="708"/>
          <w:docGrid w:type="lines" w:linePitch="312"/>
        </w:sectPr>
      </w:pPr>
    </w:p>
    <w:tbl>
      <w:tblPr>
        <w:tblStyle w:val="TableNormal"/>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8"/>
        <w:gridCol w:w="9101"/>
      </w:tblGrid>
      <w:tr>
        <w:tblPrEx>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0627"/>
          <w:jc w:val="center"/>
        </w:trPr>
        <w:tc>
          <w:tcPr>
            <w:tcW w:w="494" w:type="dxa"/>
            <w:vAlign w:val="center"/>
          </w:tcPr>
          <w:p>
            <w:pPr>
              <w:snapToGrid w:val="0"/>
              <w:jc w:val="center"/>
              <w:rPr>
                <w:b/>
                <w:sz w:val="28"/>
                <w:szCs w:val="28"/>
              </w:rPr>
            </w:pPr>
            <w:r>
              <w:rPr>
                <w:b/>
                <w:sz w:val="28"/>
                <w:szCs w:val="28"/>
              </w:rPr>
              <w:t>污染物排放标准</w:t>
            </w:r>
          </w:p>
        </w:tc>
        <w:tc>
          <w:tcPr>
            <w:tcW w:w="8362" w:type="dxa"/>
          </w:tcPr>
          <w:p>
            <w:pPr>
              <w:pStyle w:val="Heading2"/>
              <w:spacing w:before="0" w:after="0" w:line="360" w:lineRule="auto"/>
              <w:ind w:left="210" w:right="210"/>
              <w:rPr>
                <w:rFonts w:ascii="Times New Roman" w:hAnsi="Times New Roman"/>
                <w:lang w:val="en-US" w:eastAsia="zh-CN"/>
              </w:rPr>
            </w:pPr>
            <w:r>
              <w:rPr>
                <w:rFonts w:ascii="Times New Roman" w:hAnsi="Times New Roman"/>
                <w:lang w:val="en-US" w:eastAsia="zh-CN"/>
              </w:rPr>
              <w:t>1、大气污染物排放标准</w:t>
            </w:r>
          </w:p>
          <w:p>
            <w:pPr>
              <w:spacing w:line="360" w:lineRule="auto"/>
              <w:ind w:firstLine="480" w:firstLineChars="200"/>
              <w:rPr>
                <w:rFonts w:hint="eastAsia"/>
                <w:snapToGrid w:val="0"/>
                <w:sz w:val="24"/>
              </w:rPr>
            </w:pPr>
            <w:r>
              <w:rPr>
                <w:rFonts w:hint="eastAsia"/>
                <w:snapToGrid w:val="0"/>
                <w:sz w:val="24"/>
              </w:rPr>
              <w:t>本项目营运期RTO炉燃烧废气SO</w:t>
            </w:r>
            <w:r>
              <w:rPr>
                <w:rFonts w:hint="eastAsia"/>
                <w:snapToGrid w:val="0"/>
                <w:sz w:val="24"/>
                <w:vertAlign w:val="subscript"/>
              </w:rPr>
              <w:t>2</w:t>
            </w:r>
            <w:r>
              <w:rPr>
                <w:rFonts w:hint="eastAsia"/>
                <w:snapToGrid w:val="0"/>
                <w:sz w:val="24"/>
              </w:rPr>
              <w:t>、NO</w:t>
            </w:r>
            <w:r>
              <w:rPr>
                <w:rFonts w:hint="eastAsia"/>
                <w:snapToGrid w:val="0"/>
                <w:sz w:val="24"/>
                <w:vertAlign w:val="subscript"/>
              </w:rPr>
              <w:t>X</w:t>
            </w:r>
            <w:r>
              <w:rPr>
                <w:rFonts w:hint="eastAsia"/>
                <w:snapToGrid w:val="0"/>
                <w:sz w:val="24"/>
              </w:rPr>
              <w:t>、烟尘执行《大气污染物综合排放标准》（GB16297-1996）表2二级标准，VOC</w:t>
            </w:r>
            <w:r>
              <w:rPr>
                <w:rFonts w:hint="eastAsia"/>
                <w:snapToGrid w:val="0"/>
                <w:sz w:val="24"/>
                <w:vertAlign w:val="subscript"/>
              </w:rPr>
              <w:t>S</w:t>
            </w:r>
            <w:r>
              <w:rPr>
                <w:rFonts w:hint="eastAsia"/>
                <w:snapToGrid w:val="0"/>
                <w:sz w:val="24"/>
              </w:rPr>
              <w:t>执行《天津市工业企业挥发性有机物排放控制标准》（</w:t>
            </w:r>
            <w:r>
              <w:rPr>
                <w:snapToGrid w:val="0"/>
                <w:sz w:val="24"/>
              </w:rPr>
              <w:t>DB12/524-2014</w:t>
            </w:r>
            <w:r>
              <w:rPr>
                <w:rFonts w:hint="eastAsia"/>
                <w:snapToGrid w:val="0"/>
                <w:sz w:val="24"/>
              </w:rPr>
              <w:t>），具体标准见表4-5。</w:t>
            </w:r>
          </w:p>
          <w:p>
            <w:pPr>
              <w:spacing w:line="360" w:lineRule="auto"/>
              <w:ind w:firstLine="420" w:firstLineChars="200"/>
              <w:jc w:val="center"/>
              <w:rPr>
                <w:rFonts w:hint="eastAsia"/>
                <w:b/>
                <w:snapToGrid w:val="0"/>
                <w:szCs w:val="21"/>
              </w:rPr>
            </w:pPr>
            <w:r>
              <w:rPr>
                <w:rFonts w:hint="eastAsia"/>
                <w:b/>
                <w:snapToGrid w:val="0"/>
                <w:szCs w:val="21"/>
              </w:rPr>
              <w:t>表4-5 废气排放标准一览表</w:t>
            </w:r>
          </w:p>
          <w:tbl>
            <w:tblPr>
              <w:tblStyle w:val="TableNormal"/>
              <w:tblW w:w="8840"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376"/>
              <w:gridCol w:w="992"/>
              <w:gridCol w:w="1051"/>
              <w:gridCol w:w="1656"/>
              <w:gridCol w:w="1765"/>
            </w:tblGrid>
            <w:tr>
              <w:tblPrEx>
                <w:tblW w:w="8840"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3"/>
                <w:jc w:val="center"/>
              </w:trPr>
              <w:tc>
                <w:tcPr>
                  <w:tcW w:w="3376" w:type="dxa"/>
                  <w:vAlign w:val="center"/>
                </w:tcPr>
                <w:p>
                  <w:pPr>
                    <w:jc w:val="center"/>
                    <w:rPr>
                      <w:rFonts w:hint="eastAsia"/>
                      <w:snapToGrid w:val="0"/>
                      <w:szCs w:val="21"/>
                    </w:rPr>
                  </w:pPr>
                  <w:r>
                    <w:rPr>
                      <w:rFonts w:hint="eastAsia"/>
                      <w:snapToGrid w:val="0"/>
                      <w:szCs w:val="21"/>
                    </w:rPr>
                    <w:t>标准</w:t>
                  </w:r>
                </w:p>
              </w:tc>
              <w:tc>
                <w:tcPr>
                  <w:tcW w:w="992" w:type="dxa"/>
                  <w:vAlign w:val="center"/>
                </w:tcPr>
                <w:p>
                  <w:pPr>
                    <w:jc w:val="center"/>
                    <w:rPr>
                      <w:rFonts w:hint="eastAsia"/>
                      <w:snapToGrid w:val="0"/>
                      <w:szCs w:val="21"/>
                    </w:rPr>
                  </w:pPr>
                  <w:r>
                    <w:rPr>
                      <w:rFonts w:hint="eastAsia"/>
                      <w:snapToGrid w:val="0"/>
                      <w:szCs w:val="21"/>
                    </w:rPr>
                    <w:t>项目</w:t>
                  </w:r>
                </w:p>
              </w:tc>
              <w:tc>
                <w:tcPr>
                  <w:tcW w:w="1051" w:type="dxa"/>
                  <w:vAlign w:val="center"/>
                </w:tcPr>
                <w:p>
                  <w:pPr>
                    <w:jc w:val="center"/>
                    <w:rPr>
                      <w:rFonts w:hint="eastAsia"/>
                      <w:snapToGrid w:val="0"/>
                      <w:szCs w:val="21"/>
                    </w:rPr>
                  </w:pPr>
                  <w:r>
                    <w:rPr>
                      <w:rFonts w:hint="eastAsia"/>
                      <w:snapToGrid w:val="0"/>
                      <w:szCs w:val="21"/>
                    </w:rPr>
                    <w:t>排气筒高度（m）</w:t>
                  </w:r>
                </w:p>
              </w:tc>
              <w:tc>
                <w:tcPr>
                  <w:tcW w:w="1656" w:type="dxa"/>
                  <w:vAlign w:val="center"/>
                </w:tcPr>
                <w:p>
                  <w:pPr>
                    <w:jc w:val="center"/>
                    <w:rPr>
                      <w:rFonts w:hint="eastAsia"/>
                      <w:snapToGrid w:val="0"/>
                      <w:szCs w:val="21"/>
                    </w:rPr>
                  </w:pPr>
                  <w:r>
                    <w:rPr>
                      <w:rFonts w:hint="eastAsia"/>
                      <w:snapToGrid w:val="0"/>
                      <w:szCs w:val="21"/>
                    </w:rPr>
                    <w:t>最高允许排放浓度（mg/m</w:t>
                  </w:r>
                  <w:r>
                    <w:rPr>
                      <w:rFonts w:hint="eastAsia"/>
                      <w:snapToGrid w:val="0"/>
                      <w:szCs w:val="21"/>
                      <w:vertAlign w:val="superscript"/>
                    </w:rPr>
                    <w:t>3</w:t>
                  </w:r>
                  <w:r>
                    <w:rPr>
                      <w:rFonts w:hint="eastAsia"/>
                      <w:snapToGrid w:val="0"/>
                      <w:szCs w:val="21"/>
                    </w:rPr>
                    <w:t>）</w:t>
                  </w:r>
                </w:p>
              </w:tc>
              <w:tc>
                <w:tcPr>
                  <w:tcW w:w="1765" w:type="dxa"/>
                  <w:vAlign w:val="center"/>
                </w:tcPr>
                <w:p>
                  <w:pPr>
                    <w:jc w:val="center"/>
                    <w:rPr>
                      <w:rFonts w:hint="eastAsia"/>
                      <w:snapToGrid w:val="0"/>
                      <w:szCs w:val="21"/>
                    </w:rPr>
                  </w:pPr>
                  <w:r>
                    <w:rPr>
                      <w:rFonts w:hint="eastAsia"/>
                      <w:snapToGrid w:val="0"/>
                      <w:szCs w:val="21"/>
                    </w:rPr>
                    <w:t>最高允许排放速率（kg/h）</w:t>
                  </w:r>
                </w:p>
              </w:tc>
            </w:tr>
            <w:tr>
              <w:tblPrEx>
                <w:tblW w:w="8840" w:type="dxa"/>
                <w:jc w:val="center"/>
                <w:tblInd w:w="113" w:type="dxa"/>
                <w:tblLayout w:type="fixed"/>
                <w:tblCellMar>
                  <w:top w:w="0" w:type="dxa"/>
                  <w:left w:w="108" w:type="dxa"/>
                  <w:bottom w:w="0" w:type="dxa"/>
                  <w:right w:w="108" w:type="dxa"/>
                </w:tblCellMar>
                <w:tblLook w:val="0000"/>
              </w:tblPrEx>
              <w:trPr>
                <w:trHeight w:val="103"/>
                <w:jc w:val="center"/>
              </w:trPr>
              <w:tc>
                <w:tcPr>
                  <w:tcW w:w="3376" w:type="dxa"/>
                  <w:vAlign w:val="center"/>
                </w:tcPr>
                <w:p>
                  <w:pPr>
                    <w:jc w:val="center"/>
                    <w:rPr>
                      <w:rFonts w:hint="eastAsia"/>
                      <w:snapToGrid w:val="0"/>
                      <w:szCs w:val="21"/>
                    </w:rPr>
                  </w:pPr>
                  <w:r>
                    <w:rPr>
                      <w:rFonts w:hint="eastAsia"/>
                      <w:snapToGrid w:val="0"/>
                      <w:szCs w:val="21"/>
                    </w:rPr>
                    <w:t>《天津市工业企业挥发性有机物排放控制标准》（</w:t>
                  </w:r>
                  <w:r>
                    <w:rPr>
                      <w:snapToGrid w:val="0"/>
                      <w:szCs w:val="21"/>
                    </w:rPr>
                    <w:t>DB12/524-2014</w:t>
                  </w:r>
                  <w:r>
                    <w:rPr>
                      <w:rFonts w:hint="eastAsia"/>
                      <w:snapToGrid w:val="0"/>
                      <w:szCs w:val="21"/>
                    </w:rPr>
                    <w:t>）</w:t>
                  </w:r>
                </w:p>
              </w:tc>
              <w:tc>
                <w:tcPr>
                  <w:tcW w:w="992" w:type="dxa"/>
                  <w:vAlign w:val="center"/>
                </w:tcPr>
                <w:p>
                  <w:pPr>
                    <w:jc w:val="center"/>
                    <w:rPr>
                      <w:rFonts w:hint="eastAsia"/>
                      <w:snapToGrid w:val="0"/>
                      <w:szCs w:val="21"/>
                    </w:rPr>
                  </w:pPr>
                  <w:r>
                    <w:rPr>
                      <w:rFonts w:hint="eastAsia"/>
                      <w:snapToGrid w:val="0"/>
                      <w:szCs w:val="21"/>
                    </w:rPr>
                    <w:t>VOC</w:t>
                  </w:r>
                  <w:r>
                    <w:rPr>
                      <w:rFonts w:hint="eastAsia"/>
                      <w:snapToGrid w:val="0"/>
                      <w:szCs w:val="21"/>
                      <w:vertAlign w:val="subscript"/>
                    </w:rPr>
                    <w:t>S</w:t>
                  </w:r>
                </w:p>
              </w:tc>
              <w:tc>
                <w:tcPr>
                  <w:tcW w:w="1051" w:type="dxa"/>
                  <w:vAlign w:val="center"/>
                </w:tcPr>
                <w:p>
                  <w:pPr>
                    <w:jc w:val="center"/>
                    <w:rPr>
                      <w:rFonts w:hint="eastAsia"/>
                      <w:snapToGrid w:val="0"/>
                      <w:szCs w:val="21"/>
                    </w:rPr>
                  </w:pPr>
                  <w:r>
                    <w:rPr>
                      <w:rFonts w:hint="eastAsia"/>
                      <w:snapToGrid w:val="0"/>
                      <w:szCs w:val="21"/>
                    </w:rPr>
                    <w:t>15</w:t>
                  </w:r>
                </w:p>
              </w:tc>
              <w:tc>
                <w:tcPr>
                  <w:tcW w:w="1656" w:type="dxa"/>
                  <w:vAlign w:val="center"/>
                </w:tcPr>
                <w:p>
                  <w:pPr>
                    <w:jc w:val="center"/>
                    <w:rPr>
                      <w:rFonts w:hint="eastAsia"/>
                      <w:snapToGrid w:val="0"/>
                      <w:szCs w:val="21"/>
                    </w:rPr>
                  </w:pPr>
                  <w:r>
                    <w:rPr>
                      <w:rFonts w:hint="eastAsia"/>
                      <w:snapToGrid w:val="0"/>
                      <w:szCs w:val="21"/>
                    </w:rPr>
                    <w:t>50</w:t>
                  </w:r>
                </w:p>
              </w:tc>
              <w:tc>
                <w:tcPr>
                  <w:tcW w:w="1765" w:type="dxa"/>
                  <w:vAlign w:val="center"/>
                </w:tcPr>
                <w:p>
                  <w:pPr>
                    <w:jc w:val="center"/>
                    <w:rPr>
                      <w:rFonts w:hint="eastAsia"/>
                      <w:snapToGrid w:val="0"/>
                      <w:szCs w:val="21"/>
                    </w:rPr>
                  </w:pPr>
                  <w:r>
                    <w:rPr>
                      <w:rFonts w:hint="eastAsia"/>
                      <w:snapToGrid w:val="0"/>
                      <w:szCs w:val="21"/>
                    </w:rPr>
                    <w:t>1.5</w:t>
                  </w:r>
                </w:p>
              </w:tc>
            </w:tr>
            <w:tr>
              <w:tblPrEx>
                <w:tblW w:w="8840" w:type="dxa"/>
                <w:jc w:val="center"/>
                <w:tblInd w:w="113" w:type="dxa"/>
                <w:tblLayout w:type="fixed"/>
                <w:tblCellMar>
                  <w:top w:w="0" w:type="dxa"/>
                  <w:left w:w="108" w:type="dxa"/>
                  <w:bottom w:w="0" w:type="dxa"/>
                  <w:right w:w="108" w:type="dxa"/>
                </w:tblCellMar>
                <w:tblLook w:val="0000"/>
              </w:tblPrEx>
              <w:trPr>
                <w:trHeight w:val="103"/>
                <w:jc w:val="center"/>
              </w:trPr>
              <w:tc>
                <w:tcPr>
                  <w:tcW w:w="3376" w:type="dxa"/>
                  <w:vMerge w:val="restart"/>
                  <w:vAlign w:val="center"/>
                </w:tcPr>
                <w:p>
                  <w:pPr>
                    <w:jc w:val="center"/>
                    <w:rPr>
                      <w:rFonts w:hint="eastAsia"/>
                      <w:snapToGrid w:val="0"/>
                      <w:szCs w:val="21"/>
                    </w:rPr>
                  </w:pPr>
                  <w:r>
                    <w:rPr>
                      <w:rFonts w:hint="eastAsia"/>
                      <w:snapToGrid w:val="0"/>
                      <w:szCs w:val="21"/>
                    </w:rPr>
                    <w:t>《大气污染物综合排放标准》（GB16297-1996）</w:t>
                  </w:r>
                </w:p>
              </w:tc>
              <w:tc>
                <w:tcPr>
                  <w:tcW w:w="992" w:type="dxa"/>
                  <w:vAlign w:val="center"/>
                </w:tcPr>
                <w:p>
                  <w:pPr>
                    <w:jc w:val="center"/>
                    <w:rPr>
                      <w:rFonts w:hint="eastAsia"/>
                      <w:snapToGrid w:val="0"/>
                      <w:szCs w:val="21"/>
                    </w:rPr>
                  </w:pPr>
                  <w:r>
                    <w:rPr>
                      <w:rFonts w:hint="eastAsia"/>
                      <w:snapToGrid w:val="0"/>
                      <w:szCs w:val="21"/>
                    </w:rPr>
                    <w:t>SO</w:t>
                  </w:r>
                  <w:r>
                    <w:rPr>
                      <w:rFonts w:hint="eastAsia"/>
                      <w:snapToGrid w:val="0"/>
                      <w:szCs w:val="21"/>
                      <w:vertAlign w:val="subscript"/>
                    </w:rPr>
                    <w:t>2</w:t>
                  </w:r>
                </w:p>
              </w:tc>
              <w:tc>
                <w:tcPr>
                  <w:tcW w:w="1051" w:type="dxa"/>
                  <w:vMerge w:val="restart"/>
                  <w:vAlign w:val="center"/>
                </w:tcPr>
                <w:p>
                  <w:pPr>
                    <w:jc w:val="center"/>
                    <w:rPr>
                      <w:rFonts w:hint="eastAsia"/>
                      <w:snapToGrid w:val="0"/>
                      <w:szCs w:val="21"/>
                    </w:rPr>
                  </w:pPr>
                  <w:r>
                    <w:rPr>
                      <w:rFonts w:hint="eastAsia"/>
                      <w:snapToGrid w:val="0"/>
                      <w:szCs w:val="21"/>
                    </w:rPr>
                    <w:t>15</w:t>
                  </w:r>
                </w:p>
              </w:tc>
              <w:tc>
                <w:tcPr>
                  <w:tcW w:w="1656" w:type="dxa"/>
                  <w:vAlign w:val="center"/>
                </w:tcPr>
                <w:p>
                  <w:pPr>
                    <w:jc w:val="center"/>
                    <w:rPr>
                      <w:rFonts w:hint="eastAsia"/>
                      <w:snapToGrid w:val="0"/>
                      <w:szCs w:val="21"/>
                    </w:rPr>
                  </w:pPr>
                  <w:r>
                    <w:rPr>
                      <w:rFonts w:hint="eastAsia"/>
                      <w:snapToGrid w:val="0"/>
                      <w:szCs w:val="21"/>
                    </w:rPr>
                    <w:t>550</w:t>
                  </w:r>
                </w:p>
              </w:tc>
              <w:tc>
                <w:tcPr>
                  <w:tcW w:w="1765" w:type="dxa"/>
                  <w:vAlign w:val="center"/>
                </w:tcPr>
                <w:p>
                  <w:pPr>
                    <w:jc w:val="center"/>
                    <w:rPr>
                      <w:rFonts w:hint="eastAsia"/>
                      <w:snapToGrid w:val="0"/>
                      <w:szCs w:val="21"/>
                    </w:rPr>
                  </w:pPr>
                  <w:r>
                    <w:rPr>
                      <w:rFonts w:hint="eastAsia"/>
                      <w:snapToGrid w:val="0"/>
                      <w:szCs w:val="21"/>
                    </w:rPr>
                    <w:t>2.6</w:t>
                  </w:r>
                </w:p>
              </w:tc>
            </w:tr>
            <w:tr>
              <w:tblPrEx>
                <w:tblW w:w="8840" w:type="dxa"/>
                <w:jc w:val="center"/>
                <w:tblInd w:w="113" w:type="dxa"/>
                <w:tblLayout w:type="fixed"/>
                <w:tblCellMar>
                  <w:top w:w="0" w:type="dxa"/>
                  <w:left w:w="108" w:type="dxa"/>
                  <w:bottom w:w="0" w:type="dxa"/>
                  <w:right w:w="108" w:type="dxa"/>
                </w:tblCellMar>
                <w:tblLook w:val="0000"/>
              </w:tblPrEx>
              <w:trPr>
                <w:trHeight w:val="103"/>
                <w:jc w:val="center"/>
              </w:trPr>
              <w:tc>
                <w:tcPr>
                  <w:tcW w:w="3376" w:type="dxa"/>
                  <w:vMerge/>
                  <w:vAlign w:val="center"/>
                </w:tcPr>
                <w:p>
                  <w:pPr>
                    <w:jc w:val="center"/>
                    <w:rPr>
                      <w:rFonts w:hint="eastAsia"/>
                      <w:snapToGrid w:val="0"/>
                      <w:szCs w:val="21"/>
                    </w:rPr>
                  </w:pPr>
                </w:p>
              </w:tc>
              <w:tc>
                <w:tcPr>
                  <w:tcW w:w="992" w:type="dxa"/>
                  <w:vAlign w:val="center"/>
                </w:tcPr>
                <w:p>
                  <w:pPr>
                    <w:jc w:val="center"/>
                    <w:rPr>
                      <w:rFonts w:hint="eastAsia"/>
                      <w:snapToGrid w:val="0"/>
                      <w:szCs w:val="21"/>
                    </w:rPr>
                  </w:pPr>
                  <w:r>
                    <w:rPr>
                      <w:rFonts w:hint="eastAsia"/>
                      <w:snapToGrid w:val="0"/>
                      <w:szCs w:val="21"/>
                    </w:rPr>
                    <w:t>NO</w:t>
                  </w:r>
                  <w:r>
                    <w:rPr>
                      <w:rFonts w:hint="eastAsia"/>
                      <w:snapToGrid w:val="0"/>
                      <w:szCs w:val="21"/>
                      <w:vertAlign w:val="subscript"/>
                    </w:rPr>
                    <w:t>X</w:t>
                  </w:r>
                </w:p>
              </w:tc>
              <w:tc>
                <w:tcPr>
                  <w:tcW w:w="1051" w:type="dxa"/>
                  <w:vMerge/>
                  <w:vAlign w:val="center"/>
                </w:tcPr>
                <w:p>
                  <w:pPr>
                    <w:jc w:val="center"/>
                    <w:rPr>
                      <w:rFonts w:hint="eastAsia"/>
                      <w:snapToGrid w:val="0"/>
                      <w:szCs w:val="21"/>
                    </w:rPr>
                  </w:pPr>
                </w:p>
              </w:tc>
              <w:tc>
                <w:tcPr>
                  <w:tcW w:w="1656" w:type="dxa"/>
                  <w:vAlign w:val="center"/>
                </w:tcPr>
                <w:p>
                  <w:pPr>
                    <w:jc w:val="center"/>
                    <w:rPr>
                      <w:rFonts w:hint="eastAsia"/>
                      <w:snapToGrid w:val="0"/>
                      <w:szCs w:val="21"/>
                    </w:rPr>
                  </w:pPr>
                  <w:r>
                    <w:rPr>
                      <w:rFonts w:hint="eastAsia"/>
                      <w:snapToGrid w:val="0"/>
                      <w:szCs w:val="21"/>
                    </w:rPr>
                    <w:t>240</w:t>
                  </w:r>
                </w:p>
              </w:tc>
              <w:tc>
                <w:tcPr>
                  <w:tcW w:w="1765" w:type="dxa"/>
                  <w:vAlign w:val="center"/>
                </w:tcPr>
                <w:p>
                  <w:pPr>
                    <w:jc w:val="center"/>
                    <w:rPr>
                      <w:rFonts w:hint="eastAsia"/>
                      <w:snapToGrid w:val="0"/>
                      <w:szCs w:val="21"/>
                    </w:rPr>
                  </w:pPr>
                  <w:r>
                    <w:rPr>
                      <w:rFonts w:hint="eastAsia"/>
                      <w:snapToGrid w:val="0"/>
                      <w:szCs w:val="21"/>
                    </w:rPr>
                    <w:t>0.77</w:t>
                  </w:r>
                </w:p>
              </w:tc>
            </w:tr>
            <w:tr>
              <w:tblPrEx>
                <w:tblW w:w="8840" w:type="dxa"/>
                <w:jc w:val="center"/>
                <w:tblInd w:w="113" w:type="dxa"/>
                <w:tblLayout w:type="fixed"/>
                <w:tblCellMar>
                  <w:top w:w="0" w:type="dxa"/>
                  <w:left w:w="108" w:type="dxa"/>
                  <w:bottom w:w="0" w:type="dxa"/>
                  <w:right w:w="108" w:type="dxa"/>
                </w:tblCellMar>
                <w:tblLook w:val="0000"/>
              </w:tblPrEx>
              <w:trPr>
                <w:trHeight w:val="103"/>
                <w:jc w:val="center"/>
              </w:trPr>
              <w:tc>
                <w:tcPr>
                  <w:tcW w:w="3376" w:type="dxa"/>
                  <w:vMerge/>
                  <w:vAlign w:val="center"/>
                </w:tcPr>
                <w:p>
                  <w:pPr>
                    <w:jc w:val="center"/>
                    <w:rPr>
                      <w:rFonts w:hint="eastAsia"/>
                      <w:snapToGrid w:val="0"/>
                      <w:szCs w:val="21"/>
                    </w:rPr>
                  </w:pPr>
                </w:p>
              </w:tc>
              <w:tc>
                <w:tcPr>
                  <w:tcW w:w="992" w:type="dxa"/>
                  <w:vAlign w:val="center"/>
                </w:tcPr>
                <w:p>
                  <w:pPr>
                    <w:jc w:val="center"/>
                    <w:rPr>
                      <w:rFonts w:hint="eastAsia"/>
                      <w:snapToGrid w:val="0"/>
                      <w:szCs w:val="21"/>
                    </w:rPr>
                  </w:pPr>
                  <w:r>
                    <w:rPr>
                      <w:rFonts w:hint="eastAsia"/>
                      <w:snapToGrid w:val="0"/>
                      <w:szCs w:val="21"/>
                    </w:rPr>
                    <w:t>颗粒物</w:t>
                  </w:r>
                </w:p>
              </w:tc>
              <w:tc>
                <w:tcPr>
                  <w:tcW w:w="1051" w:type="dxa"/>
                  <w:vMerge/>
                  <w:vAlign w:val="center"/>
                </w:tcPr>
                <w:p>
                  <w:pPr>
                    <w:jc w:val="center"/>
                    <w:rPr>
                      <w:rFonts w:hint="eastAsia"/>
                      <w:snapToGrid w:val="0"/>
                      <w:szCs w:val="21"/>
                    </w:rPr>
                  </w:pPr>
                </w:p>
              </w:tc>
              <w:tc>
                <w:tcPr>
                  <w:tcW w:w="1656" w:type="dxa"/>
                  <w:vAlign w:val="center"/>
                </w:tcPr>
                <w:p>
                  <w:pPr>
                    <w:jc w:val="center"/>
                    <w:rPr>
                      <w:rFonts w:hint="eastAsia"/>
                      <w:snapToGrid w:val="0"/>
                      <w:szCs w:val="21"/>
                    </w:rPr>
                  </w:pPr>
                  <w:r>
                    <w:rPr>
                      <w:rFonts w:hint="eastAsia"/>
                      <w:snapToGrid w:val="0"/>
                      <w:szCs w:val="21"/>
                    </w:rPr>
                    <w:t>120</w:t>
                  </w:r>
                </w:p>
              </w:tc>
              <w:tc>
                <w:tcPr>
                  <w:tcW w:w="1765" w:type="dxa"/>
                  <w:vAlign w:val="center"/>
                </w:tcPr>
                <w:p>
                  <w:pPr>
                    <w:jc w:val="center"/>
                    <w:rPr>
                      <w:rFonts w:hint="eastAsia"/>
                      <w:snapToGrid w:val="0"/>
                      <w:szCs w:val="21"/>
                    </w:rPr>
                  </w:pPr>
                  <w:r>
                    <w:rPr>
                      <w:rFonts w:hint="eastAsia"/>
                      <w:snapToGrid w:val="0"/>
                      <w:szCs w:val="21"/>
                    </w:rPr>
                    <w:t>3.5</w:t>
                  </w:r>
                </w:p>
              </w:tc>
            </w:tr>
          </w:tbl>
          <w:p>
            <w:pPr>
              <w:pStyle w:val="Heading2"/>
              <w:spacing w:before="0" w:after="0" w:line="360" w:lineRule="auto"/>
              <w:ind w:left="210" w:right="210"/>
              <w:rPr>
                <w:rFonts w:ascii="Times New Roman" w:hAnsi="Times New Roman"/>
                <w:lang w:val="en-US" w:eastAsia="zh-CN"/>
              </w:rPr>
            </w:pPr>
            <w:r>
              <w:rPr>
                <w:rFonts w:ascii="Times New Roman" w:hAnsi="Times New Roman"/>
                <w:lang w:val="en-US" w:eastAsia="zh-CN"/>
              </w:rPr>
              <w:t>2、水污染物排放标准</w:t>
            </w:r>
          </w:p>
          <w:p>
            <w:pPr>
              <w:adjustRightInd w:val="0"/>
              <w:spacing w:line="360" w:lineRule="auto"/>
              <w:ind w:firstLine="480" w:firstLineChars="200"/>
              <w:rPr>
                <w:b/>
                <w:bCs/>
                <w:sz w:val="24"/>
              </w:rPr>
            </w:pPr>
            <w:r>
              <w:rPr>
                <w:kern w:val="0"/>
                <w:sz w:val="24"/>
              </w:rPr>
              <w:t>本项目营运期废水</w:t>
            </w:r>
            <w:r>
              <w:rPr>
                <w:rFonts w:hint="eastAsia"/>
                <w:sz w:val="24"/>
              </w:rPr>
              <w:t>主要为生活污水，经</w:t>
            </w:r>
            <w:r>
              <w:rPr>
                <w:kern w:val="0"/>
                <w:sz w:val="24"/>
              </w:rPr>
              <w:t>化粪池预处理</w:t>
            </w:r>
            <w:r>
              <w:rPr>
                <w:rFonts w:hint="eastAsia"/>
                <w:kern w:val="0"/>
                <w:sz w:val="24"/>
              </w:rPr>
              <w:t>后</w:t>
            </w:r>
            <w:r>
              <w:rPr>
                <w:kern w:val="0"/>
                <w:sz w:val="24"/>
              </w:rPr>
              <w:t>排入市政管网。外排废水执行</w:t>
            </w:r>
            <w:r>
              <w:rPr>
                <w:rFonts w:hint="eastAsia"/>
                <w:kern w:val="0"/>
                <w:sz w:val="24"/>
              </w:rPr>
              <w:t>瑶湖</w:t>
            </w:r>
            <w:r>
              <w:rPr>
                <w:kern w:val="0"/>
                <w:sz w:val="24"/>
              </w:rPr>
              <w:t>污水处理厂接管标准要求</w:t>
            </w:r>
            <w:r>
              <w:rPr>
                <w:rFonts w:hint="eastAsia"/>
                <w:kern w:val="0"/>
                <w:sz w:val="24"/>
              </w:rPr>
              <w:t>，</w:t>
            </w:r>
            <w:r>
              <w:rPr>
                <w:kern w:val="0"/>
                <w:sz w:val="24"/>
              </w:rPr>
              <w:t>经</w:t>
            </w:r>
            <w:r>
              <w:rPr>
                <w:rFonts w:hint="eastAsia"/>
                <w:kern w:val="0"/>
                <w:sz w:val="24"/>
              </w:rPr>
              <w:t>瑶湖</w:t>
            </w:r>
            <w:r>
              <w:rPr>
                <w:kern w:val="0"/>
                <w:sz w:val="24"/>
              </w:rPr>
              <w:t>污水处理厂处理达标后尾水排放执行《城镇污水处理厂污染物排放标准》（GB18918-2002）中一级B标准，最终排入赣江南支。具体标准值见表</w:t>
            </w:r>
            <w:r>
              <w:rPr>
                <w:rFonts w:hint="eastAsia"/>
                <w:kern w:val="0"/>
                <w:sz w:val="24"/>
              </w:rPr>
              <w:t>4-6</w:t>
            </w:r>
            <w:r>
              <w:rPr>
                <w:kern w:val="0"/>
                <w:sz w:val="24"/>
              </w:rPr>
              <w:t>。</w:t>
            </w:r>
          </w:p>
          <w:p>
            <w:pPr>
              <w:pStyle w:val="a21"/>
              <w:tabs>
                <w:tab w:val="center" w:pos="4180"/>
              </w:tabs>
              <w:adjustRightInd w:val="0"/>
              <w:snapToGrid w:val="0"/>
              <w:spacing w:line="360" w:lineRule="auto"/>
              <w:jc w:val="center"/>
              <w:rPr>
                <w:bCs/>
                <w:sz w:val="21"/>
                <w:szCs w:val="21"/>
              </w:rPr>
            </w:pPr>
            <w:r>
              <w:rPr>
                <w:b/>
                <w:bCs/>
                <w:sz w:val="21"/>
                <w:szCs w:val="21"/>
              </w:rPr>
              <w:t>表</w:t>
            </w:r>
            <w:r>
              <w:rPr>
                <w:rFonts w:hint="eastAsia"/>
                <w:b/>
                <w:bCs/>
                <w:sz w:val="21"/>
                <w:szCs w:val="21"/>
              </w:rPr>
              <w:t>4-6</w:t>
            </w:r>
            <w:r>
              <w:rPr>
                <w:b/>
                <w:bCs/>
                <w:sz w:val="21"/>
                <w:szCs w:val="21"/>
              </w:rPr>
              <w:t xml:space="preserve"> 废水排放标准（单位：mg/L）</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72"/>
              <w:gridCol w:w="1322"/>
              <w:gridCol w:w="1276"/>
              <w:gridCol w:w="1276"/>
              <w:gridCol w:w="1208"/>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5"/>
              </w:trPr>
              <w:tc>
                <w:tcPr>
                  <w:tcW w:w="3772" w:type="dxa"/>
                  <w:vAlign w:val="center"/>
                </w:tcPr>
                <w:p>
                  <w:pPr>
                    <w:pStyle w:val="a21"/>
                    <w:tabs>
                      <w:tab w:val="center" w:pos="4180"/>
                    </w:tabs>
                    <w:adjustRightInd w:val="0"/>
                    <w:snapToGrid w:val="0"/>
                    <w:jc w:val="center"/>
                    <w:rPr>
                      <w:bCs/>
                      <w:sz w:val="21"/>
                      <w:szCs w:val="21"/>
                    </w:rPr>
                  </w:pPr>
                  <w:r>
                    <w:rPr>
                      <w:bCs/>
                      <w:sz w:val="21"/>
                      <w:szCs w:val="21"/>
                    </w:rPr>
                    <w:t>标准</w:t>
                  </w:r>
                </w:p>
              </w:tc>
              <w:tc>
                <w:tcPr>
                  <w:tcW w:w="5082" w:type="dxa"/>
                  <w:gridSpan w:val="4"/>
                  <w:vAlign w:val="center"/>
                </w:tcPr>
                <w:p>
                  <w:pPr>
                    <w:pStyle w:val="a21"/>
                    <w:tabs>
                      <w:tab w:val="center" w:pos="4180"/>
                    </w:tabs>
                    <w:adjustRightInd w:val="0"/>
                    <w:snapToGrid w:val="0"/>
                    <w:jc w:val="center"/>
                    <w:rPr>
                      <w:bCs/>
                      <w:sz w:val="21"/>
                      <w:szCs w:val="21"/>
                    </w:rPr>
                  </w:pPr>
                  <w:r>
                    <w:rPr>
                      <w:bCs/>
                      <w:sz w:val="21"/>
                      <w:szCs w:val="21"/>
                    </w:rPr>
                    <w:t>排放标准值</w:t>
                  </w:r>
                </w:p>
              </w:tc>
            </w:tr>
            <w:tr>
              <w:tblPrEx>
                <w:tblW w:w="0" w:type="auto"/>
                <w:tblInd w:w="113" w:type="dxa"/>
                <w:tblLayout w:type="fixed"/>
                <w:tblCellMar>
                  <w:top w:w="0" w:type="dxa"/>
                  <w:left w:w="108" w:type="dxa"/>
                  <w:bottom w:w="0" w:type="dxa"/>
                  <w:right w:w="108" w:type="dxa"/>
                </w:tblCellMar>
                <w:tblLook w:val="0000"/>
              </w:tblPrEx>
              <w:trPr>
                <w:trHeight w:val="229"/>
              </w:trPr>
              <w:tc>
                <w:tcPr>
                  <w:tcW w:w="3772" w:type="dxa"/>
                  <w:vMerge w:val="restart"/>
                  <w:vAlign w:val="center"/>
                </w:tcPr>
                <w:p>
                  <w:pPr>
                    <w:pStyle w:val="a21"/>
                    <w:tabs>
                      <w:tab w:val="center" w:pos="4180"/>
                    </w:tabs>
                    <w:adjustRightInd w:val="0"/>
                    <w:snapToGrid w:val="0"/>
                    <w:jc w:val="center"/>
                    <w:rPr>
                      <w:bCs/>
                      <w:sz w:val="21"/>
                      <w:szCs w:val="21"/>
                    </w:rPr>
                  </w:pPr>
                  <w:r>
                    <w:rPr>
                      <w:rFonts w:hint="eastAsia"/>
                      <w:bCs/>
                      <w:kern w:val="0"/>
                      <w:sz w:val="21"/>
                      <w:szCs w:val="21"/>
                    </w:rPr>
                    <w:t>瑶湖</w:t>
                  </w:r>
                  <w:r>
                    <w:rPr>
                      <w:bCs/>
                      <w:kern w:val="0"/>
                      <w:sz w:val="21"/>
                      <w:szCs w:val="21"/>
                    </w:rPr>
                    <w:t>污水处理厂接管标准</w:t>
                  </w:r>
                </w:p>
              </w:tc>
              <w:tc>
                <w:tcPr>
                  <w:tcW w:w="1322" w:type="dxa"/>
                  <w:vAlign w:val="center"/>
                </w:tcPr>
                <w:p>
                  <w:pPr>
                    <w:pStyle w:val="a21"/>
                    <w:tabs>
                      <w:tab w:val="center" w:pos="4180"/>
                    </w:tabs>
                    <w:adjustRightInd w:val="0"/>
                    <w:snapToGrid w:val="0"/>
                    <w:jc w:val="center"/>
                    <w:rPr>
                      <w:bCs/>
                      <w:sz w:val="21"/>
                      <w:szCs w:val="21"/>
                    </w:rPr>
                  </w:pPr>
                  <w:r>
                    <w:rPr>
                      <w:bCs/>
                      <w:sz w:val="21"/>
                      <w:szCs w:val="21"/>
                    </w:rPr>
                    <w:t>COD</w:t>
                  </w:r>
                  <w:r>
                    <w:rPr>
                      <w:bCs/>
                      <w:sz w:val="21"/>
                      <w:szCs w:val="21"/>
                      <w:vertAlign w:val="subscript"/>
                    </w:rPr>
                    <w:t>Cr</w:t>
                  </w:r>
                </w:p>
              </w:tc>
              <w:tc>
                <w:tcPr>
                  <w:tcW w:w="1276" w:type="dxa"/>
                  <w:vAlign w:val="center"/>
                </w:tcPr>
                <w:p>
                  <w:pPr>
                    <w:pStyle w:val="a21"/>
                    <w:tabs>
                      <w:tab w:val="center" w:pos="4180"/>
                    </w:tabs>
                    <w:adjustRightInd w:val="0"/>
                    <w:snapToGrid w:val="0"/>
                    <w:jc w:val="center"/>
                    <w:rPr>
                      <w:bCs/>
                      <w:sz w:val="21"/>
                      <w:szCs w:val="21"/>
                    </w:rPr>
                  </w:pPr>
                  <w:r>
                    <w:rPr>
                      <w:bCs/>
                      <w:sz w:val="21"/>
                      <w:szCs w:val="21"/>
                    </w:rPr>
                    <w:t>SS</w:t>
                  </w:r>
                </w:p>
              </w:tc>
              <w:tc>
                <w:tcPr>
                  <w:tcW w:w="1276" w:type="dxa"/>
                  <w:vAlign w:val="center"/>
                </w:tcPr>
                <w:p>
                  <w:pPr>
                    <w:pStyle w:val="a21"/>
                    <w:tabs>
                      <w:tab w:val="center" w:pos="4180"/>
                    </w:tabs>
                    <w:adjustRightInd w:val="0"/>
                    <w:snapToGrid w:val="0"/>
                    <w:jc w:val="center"/>
                    <w:rPr>
                      <w:bCs/>
                      <w:sz w:val="21"/>
                      <w:szCs w:val="21"/>
                    </w:rPr>
                  </w:pPr>
                  <w:r>
                    <w:rPr>
                      <w:bCs/>
                      <w:sz w:val="21"/>
                      <w:szCs w:val="21"/>
                    </w:rPr>
                    <w:t>BOD</w:t>
                  </w:r>
                  <w:r>
                    <w:rPr>
                      <w:bCs/>
                      <w:sz w:val="21"/>
                      <w:szCs w:val="21"/>
                      <w:vertAlign w:val="subscript"/>
                    </w:rPr>
                    <w:t>5</w:t>
                  </w:r>
                </w:p>
              </w:tc>
              <w:tc>
                <w:tcPr>
                  <w:tcW w:w="1208" w:type="dxa"/>
                  <w:vAlign w:val="center"/>
                </w:tcPr>
                <w:p>
                  <w:pPr>
                    <w:pStyle w:val="a21"/>
                    <w:tabs>
                      <w:tab w:val="center" w:pos="4180"/>
                    </w:tabs>
                    <w:adjustRightInd w:val="0"/>
                    <w:snapToGrid w:val="0"/>
                    <w:jc w:val="center"/>
                    <w:rPr>
                      <w:bCs/>
                      <w:kern w:val="0"/>
                      <w:sz w:val="21"/>
                      <w:szCs w:val="21"/>
                    </w:rPr>
                  </w:pPr>
                  <w:r>
                    <w:rPr>
                      <w:bCs/>
                      <w:kern w:val="0"/>
                      <w:sz w:val="21"/>
                      <w:szCs w:val="21"/>
                    </w:rPr>
                    <w:t>NH</w:t>
                  </w:r>
                  <w:r>
                    <w:rPr>
                      <w:bCs/>
                      <w:kern w:val="0"/>
                      <w:sz w:val="21"/>
                      <w:szCs w:val="21"/>
                      <w:vertAlign w:val="subscript"/>
                    </w:rPr>
                    <w:t>3</w:t>
                  </w:r>
                  <w:r>
                    <w:rPr>
                      <w:bCs/>
                      <w:kern w:val="0"/>
                      <w:sz w:val="21"/>
                      <w:szCs w:val="21"/>
                    </w:rPr>
                    <w:t>-N</w:t>
                  </w:r>
                </w:p>
              </w:tc>
            </w:tr>
            <w:tr>
              <w:tblPrEx>
                <w:tblW w:w="0" w:type="auto"/>
                <w:tblInd w:w="113" w:type="dxa"/>
                <w:tblLayout w:type="fixed"/>
                <w:tblCellMar>
                  <w:top w:w="0" w:type="dxa"/>
                  <w:left w:w="108" w:type="dxa"/>
                  <w:bottom w:w="0" w:type="dxa"/>
                  <w:right w:w="108" w:type="dxa"/>
                </w:tblCellMar>
                <w:tblLook w:val="0000"/>
              </w:tblPrEx>
              <w:trPr>
                <w:trHeight w:val="168"/>
              </w:trPr>
              <w:tc>
                <w:tcPr>
                  <w:tcW w:w="3772" w:type="dxa"/>
                  <w:vMerge/>
                  <w:vAlign w:val="center"/>
                </w:tcPr>
                <w:p>
                  <w:pPr>
                    <w:pStyle w:val="a21"/>
                    <w:tabs>
                      <w:tab w:val="center" w:pos="4180"/>
                    </w:tabs>
                    <w:adjustRightInd w:val="0"/>
                    <w:snapToGrid w:val="0"/>
                    <w:jc w:val="center"/>
                    <w:rPr>
                      <w:bCs/>
                      <w:sz w:val="21"/>
                      <w:szCs w:val="21"/>
                    </w:rPr>
                  </w:pPr>
                </w:p>
              </w:tc>
              <w:tc>
                <w:tcPr>
                  <w:tcW w:w="1322" w:type="dxa"/>
                  <w:vAlign w:val="center"/>
                </w:tcPr>
                <w:p>
                  <w:pPr>
                    <w:pStyle w:val="a21"/>
                    <w:tabs>
                      <w:tab w:val="center" w:pos="4180"/>
                    </w:tabs>
                    <w:adjustRightInd w:val="0"/>
                    <w:snapToGrid w:val="0"/>
                    <w:jc w:val="center"/>
                    <w:rPr>
                      <w:bCs/>
                      <w:sz w:val="21"/>
                      <w:szCs w:val="21"/>
                    </w:rPr>
                  </w:pPr>
                  <w:r>
                    <w:rPr>
                      <w:rFonts w:hint="eastAsia"/>
                      <w:bCs/>
                      <w:sz w:val="21"/>
                      <w:szCs w:val="21"/>
                    </w:rPr>
                    <w:t>300</w:t>
                  </w:r>
                </w:p>
              </w:tc>
              <w:tc>
                <w:tcPr>
                  <w:tcW w:w="1276" w:type="dxa"/>
                  <w:vAlign w:val="center"/>
                </w:tcPr>
                <w:p>
                  <w:pPr>
                    <w:pStyle w:val="a21"/>
                    <w:tabs>
                      <w:tab w:val="center" w:pos="4180"/>
                    </w:tabs>
                    <w:adjustRightInd w:val="0"/>
                    <w:snapToGrid w:val="0"/>
                    <w:jc w:val="center"/>
                    <w:rPr>
                      <w:bCs/>
                      <w:sz w:val="21"/>
                      <w:szCs w:val="21"/>
                    </w:rPr>
                  </w:pPr>
                  <w:r>
                    <w:rPr>
                      <w:bCs/>
                      <w:sz w:val="21"/>
                      <w:szCs w:val="21"/>
                    </w:rPr>
                    <w:t>200</w:t>
                  </w:r>
                </w:p>
              </w:tc>
              <w:tc>
                <w:tcPr>
                  <w:tcW w:w="1276" w:type="dxa"/>
                  <w:vAlign w:val="center"/>
                </w:tcPr>
                <w:p>
                  <w:pPr>
                    <w:pStyle w:val="a21"/>
                    <w:tabs>
                      <w:tab w:val="center" w:pos="4180"/>
                    </w:tabs>
                    <w:adjustRightInd w:val="0"/>
                    <w:snapToGrid w:val="0"/>
                    <w:jc w:val="center"/>
                    <w:rPr>
                      <w:bCs/>
                      <w:sz w:val="21"/>
                      <w:szCs w:val="21"/>
                    </w:rPr>
                  </w:pPr>
                  <w:r>
                    <w:rPr>
                      <w:rFonts w:hint="eastAsia"/>
                      <w:bCs/>
                      <w:sz w:val="21"/>
                      <w:szCs w:val="21"/>
                    </w:rPr>
                    <w:t>160</w:t>
                  </w:r>
                </w:p>
              </w:tc>
              <w:tc>
                <w:tcPr>
                  <w:tcW w:w="1208" w:type="dxa"/>
                  <w:vAlign w:val="center"/>
                </w:tcPr>
                <w:p>
                  <w:pPr>
                    <w:pStyle w:val="a21"/>
                    <w:tabs>
                      <w:tab w:val="center" w:pos="4180"/>
                    </w:tabs>
                    <w:adjustRightInd w:val="0"/>
                    <w:snapToGrid w:val="0"/>
                    <w:jc w:val="center"/>
                    <w:rPr>
                      <w:bCs/>
                      <w:sz w:val="21"/>
                      <w:szCs w:val="21"/>
                    </w:rPr>
                  </w:pPr>
                  <w:r>
                    <w:rPr>
                      <w:rFonts w:hint="eastAsia"/>
                      <w:bCs/>
                      <w:sz w:val="21"/>
                      <w:szCs w:val="21"/>
                    </w:rPr>
                    <w:t>30</w:t>
                  </w:r>
                </w:p>
              </w:tc>
            </w:tr>
            <w:tr>
              <w:tblPrEx>
                <w:tblW w:w="0" w:type="auto"/>
                <w:tblInd w:w="113" w:type="dxa"/>
                <w:tblLayout w:type="fixed"/>
                <w:tblCellMar>
                  <w:top w:w="0" w:type="dxa"/>
                  <w:left w:w="108" w:type="dxa"/>
                  <w:bottom w:w="0" w:type="dxa"/>
                  <w:right w:w="108" w:type="dxa"/>
                </w:tblCellMar>
                <w:tblLook w:val="0000"/>
              </w:tblPrEx>
              <w:trPr>
                <w:trHeight w:val="317"/>
              </w:trPr>
              <w:tc>
                <w:tcPr>
                  <w:tcW w:w="3772" w:type="dxa"/>
                  <w:vAlign w:val="center"/>
                </w:tcPr>
                <w:p>
                  <w:pPr>
                    <w:pStyle w:val="a21"/>
                    <w:tabs>
                      <w:tab w:val="center" w:pos="4180"/>
                    </w:tabs>
                    <w:adjustRightInd w:val="0"/>
                    <w:snapToGrid w:val="0"/>
                    <w:jc w:val="center"/>
                    <w:rPr>
                      <w:bCs/>
                      <w:sz w:val="21"/>
                      <w:szCs w:val="21"/>
                    </w:rPr>
                  </w:pPr>
                  <w:r>
                    <w:rPr>
                      <w:bCs/>
                      <w:kern w:val="0"/>
                      <w:sz w:val="21"/>
                      <w:szCs w:val="21"/>
                    </w:rPr>
                    <w:t>《城镇污水处理厂污染物排放标准》（GB18918-2002）一级B标准</w:t>
                  </w:r>
                </w:p>
              </w:tc>
              <w:tc>
                <w:tcPr>
                  <w:tcW w:w="1322" w:type="dxa"/>
                  <w:vAlign w:val="center"/>
                </w:tcPr>
                <w:p>
                  <w:pPr>
                    <w:pStyle w:val="a21"/>
                    <w:tabs>
                      <w:tab w:val="center" w:pos="4180"/>
                    </w:tabs>
                    <w:adjustRightInd w:val="0"/>
                    <w:snapToGrid w:val="0"/>
                    <w:jc w:val="center"/>
                    <w:rPr>
                      <w:bCs/>
                      <w:sz w:val="21"/>
                      <w:szCs w:val="21"/>
                    </w:rPr>
                  </w:pPr>
                  <w:r>
                    <w:rPr>
                      <w:bCs/>
                      <w:sz w:val="21"/>
                      <w:szCs w:val="21"/>
                    </w:rPr>
                    <w:t>60</w:t>
                  </w:r>
                </w:p>
              </w:tc>
              <w:tc>
                <w:tcPr>
                  <w:tcW w:w="1276" w:type="dxa"/>
                  <w:vAlign w:val="center"/>
                </w:tcPr>
                <w:p>
                  <w:pPr>
                    <w:pStyle w:val="a21"/>
                    <w:tabs>
                      <w:tab w:val="center" w:pos="4180"/>
                    </w:tabs>
                    <w:adjustRightInd w:val="0"/>
                    <w:snapToGrid w:val="0"/>
                    <w:jc w:val="center"/>
                    <w:rPr>
                      <w:bCs/>
                      <w:sz w:val="21"/>
                      <w:szCs w:val="21"/>
                    </w:rPr>
                  </w:pPr>
                  <w:r>
                    <w:rPr>
                      <w:bCs/>
                      <w:sz w:val="21"/>
                      <w:szCs w:val="21"/>
                    </w:rPr>
                    <w:t>20</w:t>
                  </w:r>
                </w:p>
              </w:tc>
              <w:tc>
                <w:tcPr>
                  <w:tcW w:w="1276" w:type="dxa"/>
                  <w:vAlign w:val="center"/>
                </w:tcPr>
                <w:p>
                  <w:pPr>
                    <w:pStyle w:val="a21"/>
                    <w:tabs>
                      <w:tab w:val="center" w:pos="4180"/>
                    </w:tabs>
                    <w:adjustRightInd w:val="0"/>
                    <w:snapToGrid w:val="0"/>
                    <w:jc w:val="center"/>
                    <w:rPr>
                      <w:bCs/>
                      <w:sz w:val="21"/>
                      <w:szCs w:val="21"/>
                    </w:rPr>
                  </w:pPr>
                  <w:r>
                    <w:rPr>
                      <w:bCs/>
                      <w:sz w:val="21"/>
                      <w:szCs w:val="21"/>
                    </w:rPr>
                    <w:t>20</w:t>
                  </w:r>
                </w:p>
              </w:tc>
              <w:tc>
                <w:tcPr>
                  <w:tcW w:w="1208" w:type="dxa"/>
                  <w:vAlign w:val="center"/>
                </w:tcPr>
                <w:p>
                  <w:pPr>
                    <w:pStyle w:val="a21"/>
                    <w:tabs>
                      <w:tab w:val="center" w:pos="4180"/>
                    </w:tabs>
                    <w:adjustRightInd w:val="0"/>
                    <w:snapToGrid w:val="0"/>
                    <w:jc w:val="center"/>
                    <w:rPr>
                      <w:bCs/>
                      <w:sz w:val="21"/>
                      <w:szCs w:val="21"/>
                    </w:rPr>
                  </w:pPr>
                  <w:r>
                    <w:rPr>
                      <w:bCs/>
                      <w:sz w:val="21"/>
                      <w:szCs w:val="21"/>
                    </w:rPr>
                    <w:t>8</w:t>
                  </w:r>
                </w:p>
              </w:tc>
            </w:tr>
          </w:tbl>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3、噪声控制标准</w:t>
            </w:r>
          </w:p>
          <w:p>
            <w:pPr>
              <w:pStyle w:val="20"/>
              <w:adjustRightInd/>
              <w:snapToGrid/>
              <w:spacing w:line="360" w:lineRule="auto"/>
              <w:ind w:firstLine="480" w:firstLineChars="200"/>
              <w:rPr>
                <w:szCs w:val="24"/>
              </w:rPr>
            </w:pPr>
            <w:r>
              <w:rPr>
                <w:szCs w:val="24"/>
              </w:rPr>
              <w:t>营运期，噪声控制执行《工业企业厂界环境噪声排放标准》（GB12348-2008）中</w:t>
            </w:r>
            <w:r>
              <w:rPr>
                <w:rFonts w:hint="eastAsia"/>
                <w:szCs w:val="24"/>
              </w:rPr>
              <w:t>3</w:t>
            </w:r>
            <w:r>
              <w:rPr>
                <w:szCs w:val="24"/>
              </w:rPr>
              <w:t>类标准，具体标准见表</w:t>
            </w:r>
            <w:r>
              <w:rPr>
                <w:rFonts w:hint="eastAsia"/>
                <w:szCs w:val="24"/>
              </w:rPr>
              <w:t>4-7</w:t>
            </w:r>
            <w:r>
              <w:rPr>
                <w:szCs w:val="24"/>
              </w:rPr>
              <w:t>。</w:t>
            </w:r>
          </w:p>
          <w:p>
            <w:pPr>
              <w:tabs>
                <w:tab w:val="left" w:pos="0"/>
              </w:tabs>
              <w:spacing w:line="360" w:lineRule="auto"/>
              <w:ind w:firstLine="420" w:firstLineChars="200"/>
              <w:jc w:val="center"/>
              <w:rPr>
                <w:b/>
                <w:bCs/>
                <w:szCs w:val="21"/>
              </w:rPr>
            </w:pPr>
            <w:r>
              <w:rPr>
                <w:b/>
                <w:bCs/>
                <w:szCs w:val="21"/>
              </w:rPr>
              <w:t>表</w:t>
            </w:r>
            <w:r>
              <w:rPr>
                <w:rFonts w:hint="eastAsia"/>
                <w:b/>
                <w:bCs/>
                <w:szCs w:val="21"/>
              </w:rPr>
              <w:t>4-7</w:t>
            </w:r>
            <w:r>
              <w:rPr>
                <w:b/>
                <w:bCs/>
                <w:szCs w:val="21"/>
              </w:rPr>
              <w:t xml:space="preserve"> 工业企业厂界环境噪声排放标准（单位dB(A)）</w:t>
            </w:r>
          </w:p>
          <w:tbl>
            <w:tblPr>
              <w:tblStyle w:val="TableNormal"/>
              <w:tblW w:w="885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27"/>
              <w:gridCol w:w="1559"/>
              <w:gridCol w:w="1418"/>
              <w:gridCol w:w="1354"/>
            </w:tblGrid>
            <w:tr>
              <w:tblPrEx>
                <w:tblW w:w="885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39"/>
              </w:trPr>
              <w:tc>
                <w:tcPr>
                  <w:tcW w:w="4527" w:type="dxa"/>
                  <w:vAlign w:val="center"/>
                </w:tcPr>
                <w:p>
                  <w:pPr>
                    <w:tabs>
                      <w:tab w:val="left" w:pos="0"/>
                    </w:tabs>
                    <w:snapToGrid w:val="0"/>
                    <w:jc w:val="center"/>
                    <w:rPr>
                      <w:szCs w:val="21"/>
                    </w:rPr>
                  </w:pPr>
                  <w:r>
                    <w:rPr>
                      <w:szCs w:val="21"/>
                    </w:rPr>
                    <w:t>标准</w:t>
                  </w:r>
                </w:p>
              </w:tc>
              <w:tc>
                <w:tcPr>
                  <w:tcW w:w="1559" w:type="dxa"/>
                  <w:vAlign w:val="center"/>
                </w:tcPr>
                <w:p>
                  <w:pPr>
                    <w:tabs>
                      <w:tab w:val="left" w:pos="0"/>
                    </w:tabs>
                    <w:snapToGrid w:val="0"/>
                    <w:jc w:val="center"/>
                    <w:rPr>
                      <w:szCs w:val="21"/>
                    </w:rPr>
                  </w:pPr>
                  <w:r>
                    <w:rPr>
                      <w:szCs w:val="21"/>
                    </w:rPr>
                    <w:t>类别</w:t>
                  </w:r>
                </w:p>
              </w:tc>
              <w:tc>
                <w:tcPr>
                  <w:tcW w:w="1418" w:type="dxa"/>
                  <w:vAlign w:val="center"/>
                </w:tcPr>
                <w:p>
                  <w:pPr>
                    <w:tabs>
                      <w:tab w:val="left" w:pos="0"/>
                    </w:tabs>
                    <w:snapToGrid w:val="0"/>
                    <w:jc w:val="center"/>
                    <w:rPr>
                      <w:szCs w:val="21"/>
                    </w:rPr>
                  </w:pPr>
                  <w:r>
                    <w:rPr>
                      <w:szCs w:val="21"/>
                    </w:rPr>
                    <w:t>昼间</w:t>
                  </w:r>
                </w:p>
              </w:tc>
              <w:tc>
                <w:tcPr>
                  <w:tcW w:w="1354" w:type="dxa"/>
                  <w:vAlign w:val="center"/>
                </w:tcPr>
                <w:p>
                  <w:pPr>
                    <w:tabs>
                      <w:tab w:val="left" w:pos="0"/>
                    </w:tabs>
                    <w:snapToGrid w:val="0"/>
                    <w:jc w:val="center"/>
                    <w:rPr>
                      <w:szCs w:val="21"/>
                    </w:rPr>
                  </w:pPr>
                  <w:r>
                    <w:rPr>
                      <w:szCs w:val="21"/>
                    </w:rPr>
                    <w:t>夜间</w:t>
                  </w:r>
                </w:p>
              </w:tc>
            </w:tr>
            <w:tr>
              <w:tblPrEx>
                <w:tblW w:w="8858" w:type="dxa"/>
                <w:tblInd w:w="113" w:type="dxa"/>
                <w:tblLayout w:type="fixed"/>
                <w:tblCellMar>
                  <w:top w:w="0" w:type="dxa"/>
                  <w:left w:w="108" w:type="dxa"/>
                  <w:bottom w:w="0" w:type="dxa"/>
                  <w:right w:w="108" w:type="dxa"/>
                </w:tblCellMar>
                <w:tblLook w:val="0000"/>
              </w:tblPrEx>
              <w:trPr>
                <w:trHeight w:val="527"/>
              </w:trPr>
              <w:tc>
                <w:tcPr>
                  <w:tcW w:w="4527" w:type="dxa"/>
                  <w:vAlign w:val="center"/>
                </w:tcPr>
                <w:p>
                  <w:pPr>
                    <w:tabs>
                      <w:tab w:val="left" w:pos="0"/>
                    </w:tabs>
                    <w:snapToGrid w:val="0"/>
                    <w:jc w:val="center"/>
                    <w:rPr>
                      <w:szCs w:val="21"/>
                    </w:rPr>
                  </w:pPr>
                  <w:r>
                    <w:rPr>
                      <w:rFonts w:hint="eastAsia"/>
                      <w:szCs w:val="21"/>
                    </w:rPr>
                    <w:t>《工业企业厂界环境噪声排放标准》（GB12348-2008）</w:t>
                  </w:r>
                </w:p>
              </w:tc>
              <w:tc>
                <w:tcPr>
                  <w:tcW w:w="1559" w:type="dxa"/>
                  <w:vAlign w:val="center"/>
                </w:tcPr>
                <w:p>
                  <w:pPr>
                    <w:tabs>
                      <w:tab w:val="left" w:pos="0"/>
                    </w:tabs>
                    <w:snapToGrid w:val="0"/>
                    <w:jc w:val="center"/>
                    <w:rPr>
                      <w:szCs w:val="21"/>
                    </w:rPr>
                  </w:pPr>
                  <w:r>
                    <w:rPr>
                      <w:rFonts w:hint="eastAsia"/>
                      <w:szCs w:val="21"/>
                    </w:rPr>
                    <w:t>3</w:t>
                  </w:r>
                  <w:r>
                    <w:rPr>
                      <w:szCs w:val="21"/>
                    </w:rPr>
                    <w:t>类标准</w:t>
                  </w:r>
                </w:p>
              </w:tc>
              <w:tc>
                <w:tcPr>
                  <w:tcW w:w="1418" w:type="dxa"/>
                  <w:vAlign w:val="center"/>
                </w:tcPr>
                <w:p>
                  <w:pPr>
                    <w:tabs>
                      <w:tab w:val="left" w:pos="0"/>
                    </w:tabs>
                    <w:snapToGrid w:val="0"/>
                    <w:jc w:val="center"/>
                    <w:rPr>
                      <w:szCs w:val="21"/>
                    </w:rPr>
                  </w:pPr>
                  <w:r>
                    <w:rPr>
                      <w:rFonts w:hint="eastAsia"/>
                      <w:szCs w:val="21"/>
                    </w:rPr>
                    <w:t>65</w:t>
                  </w:r>
                </w:p>
              </w:tc>
              <w:tc>
                <w:tcPr>
                  <w:tcW w:w="1354" w:type="dxa"/>
                  <w:vAlign w:val="center"/>
                </w:tcPr>
                <w:p>
                  <w:pPr>
                    <w:tabs>
                      <w:tab w:val="left" w:pos="0"/>
                    </w:tabs>
                    <w:snapToGrid w:val="0"/>
                    <w:jc w:val="center"/>
                    <w:rPr>
                      <w:szCs w:val="21"/>
                    </w:rPr>
                  </w:pPr>
                  <w:r>
                    <w:rPr>
                      <w:rFonts w:hint="eastAsia"/>
                      <w:szCs w:val="21"/>
                    </w:rPr>
                    <w:t>55</w:t>
                  </w:r>
                </w:p>
              </w:tc>
            </w:tr>
          </w:tbl>
          <w:p>
            <w:pPr>
              <w:snapToGrid w:val="0"/>
              <w:spacing w:line="360" w:lineRule="auto"/>
              <w:rPr>
                <w:rFonts w:hint="eastAsia"/>
                <w:sz w:val="24"/>
              </w:rPr>
            </w:pPr>
          </w:p>
          <w:p>
            <w:pPr>
              <w:snapToGrid w:val="0"/>
              <w:spacing w:line="360" w:lineRule="auto"/>
              <w:rPr>
                <w:rFonts w:hint="eastAsia"/>
                <w:sz w:val="24"/>
              </w:rPr>
            </w:pPr>
          </w:p>
          <w:p>
            <w:pPr>
              <w:snapToGrid w:val="0"/>
              <w:spacing w:line="360" w:lineRule="auto"/>
              <w:rPr>
                <w:sz w:val="24"/>
              </w:rPr>
            </w:pPr>
          </w:p>
        </w:tc>
      </w:tr>
    </w:tbl>
    <w:p>
      <w:pPr>
        <w:sectPr>
          <w:headerReference w:type="default" r:id="rId61"/>
          <w:footerReference w:type="even" r:id="rId62"/>
          <w:footerReference w:type="default" r:id="rId63"/>
          <w:type w:val="nextPage"/>
          <w:pgSz w:w="11906" w:h="16838"/>
          <w:pgMar w:top="1440" w:right="1469" w:bottom="1440" w:left="1797" w:header="851" w:footer="992" w:gutter="0"/>
          <w:pgNumType w:start="20"/>
          <w:cols w:space="708"/>
          <w:titlePg w:val="0"/>
          <w:docGrid w:type="lines" w:linePitch="312"/>
        </w:sectPr>
      </w:pPr>
    </w:p>
    <w:tbl>
      <w:tblPr>
        <w:tblStyle w:val="TableNormal"/>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8"/>
        <w:gridCol w:w="9101"/>
      </w:tblGrid>
      <w:tr>
        <w:tblPrEx>
          <w:tblW w:w="963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5099"/>
          <w:jc w:val="center"/>
        </w:trPr>
        <w:tc>
          <w:tcPr>
            <w:tcW w:w="494" w:type="dxa"/>
            <w:vAlign w:val="center"/>
          </w:tcPr>
          <w:p>
            <w:pPr>
              <w:snapToGrid w:val="0"/>
              <w:jc w:val="center"/>
              <w:rPr>
                <w:b/>
                <w:sz w:val="28"/>
                <w:szCs w:val="28"/>
              </w:rPr>
            </w:pPr>
            <w:r>
              <w:rPr>
                <w:b/>
                <w:sz w:val="28"/>
                <w:szCs w:val="28"/>
              </w:rPr>
              <w:t>总量控制指标</w:t>
            </w:r>
          </w:p>
        </w:tc>
        <w:tc>
          <w:tcPr>
            <w:tcW w:w="8362" w:type="dxa"/>
          </w:tcPr>
          <w:p>
            <w:pPr>
              <w:pStyle w:val="AM"/>
              <w:ind w:firstLine="496"/>
              <w:rPr>
                <w:rFonts w:eastAsia="宋体" w:hint="eastAsia"/>
                <w:sz w:val="24"/>
                <w:szCs w:val="24"/>
              </w:rPr>
            </w:pPr>
            <w:r>
              <w:rPr>
                <w:rFonts w:eastAsia="宋体" w:hint="eastAsia"/>
                <w:sz w:val="24"/>
                <w:szCs w:val="24"/>
              </w:rPr>
              <w:t>1、水污染因子</w:t>
            </w:r>
            <w:r>
              <w:rPr>
                <w:spacing w:val="3"/>
                <w:kern w:val="0"/>
                <w:sz w:val="24"/>
                <w:szCs w:val="24"/>
              </w:rPr>
              <w:t>COD</w:t>
            </w:r>
            <w:r>
              <w:rPr>
                <w:spacing w:val="3"/>
                <w:kern w:val="0"/>
                <w:sz w:val="24"/>
                <w:szCs w:val="24"/>
                <w:vertAlign w:val="subscript"/>
              </w:rPr>
              <w:t>Cr</w:t>
            </w:r>
            <w:r>
              <w:rPr>
                <w:rFonts w:eastAsia="宋体" w:hint="eastAsia"/>
                <w:sz w:val="24"/>
                <w:szCs w:val="24"/>
              </w:rPr>
              <w:t>、</w:t>
            </w:r>
            <w:r>
              <w:rPr>
                <w:spacing w:val="3"/>
                <w:kern w:val="0"/>
                <w:sz w:val="24"/>
                <w:szCs w:val="24"/>
              </w:rPr>
              <w:t>NH</w:t>
            </w:r>
            <w:r>
              <w:rPr>
                <w:spacing w:val="3"/>
                <w:kern w:val="0"/>
                <w:sz w:val="24"/>
                <w:szCs w:val="24"/>
                <w:vertAlign w:val="subscript"/>
              </w:rPr>
              <w:t>3</w:t>
            </w:r>
            <w:r>
              <w:rPr>
                <w:spacing w:val="3"/>
                <w:kern w:val="0"/>
                <w:sz w:val="24"/>
                <w:szCs w:val="24"/>
              </w:rPr>
              <w:t>-N</w:t>
            </w:r>
          </w:p>
          <w:p>
            <w:pPr>
              <w:pStyle w:val="AM"/>
              <w:ind w:firstLine="496"/>
              <w:rPr>
                <w:rFonts w:eastAsia="宋体"/>
                <w:sz w:val="24"/>
                <w:szCs w:val="24"/>
              </w:rPr>
            </w:pPr>
            <w:r>
              <w:rPr>
                <w:rFonts w:eastAsia="宋体"/>
                <w:sz w:val="24"/>
                <w:szCs w:val="24"/>
              </w:rPr>
              <w:t>本项目</w:t>
            </w:r>
            <w:r>
              <w:rPr>
                <w:rFonts w:eastAsia="宋体" w:hint="eastAsia"/>
                <w:sz w:val="24"/>
                <w:szCs w:val="24"/>
              </w:rPr>
              <w:t>生活废水</w:t>
            </w:r>
            <w:r>
              <w:rPr>
                <w:rFonts w:eastAsia="宋体"/>
                <w:sz w:val="24"/>
                <w:szCs w:val="24"/>
              </w:rPr>
              <w:t>排放量为</w:t>
            </w:r>
            <w:r>
              <w:rPr>
                <w:rFonts w:eastAsia="宋体" w:hint="eastAsia"/>
                <w:sz w:val="24"/>
                <w:szCs w:val="24"/>
              </w:rPr>
              <w:t>12800</w:t>
            </w:r>
            <w:r>
              <w:rPr>
                <w:rFonts w:eastAsia="宋体"/>
                <w:sz w:val="24"/>
                <w:szCs w:val="24"/>
              </w:rPr>
              <w:t>t/a，预处理后经市政管网排入</w:t>
            </w:r>
            <w:r>
              <w:rPr>
                <w:rFonts w:eastAsia="宋体" w:hint="eastAsia"/>
                <w:sz w:val="24"/>
                <w:szCs w:val="24"/>
              </w:rPr>
              <w:t>瑶湖</w:t>
            </w:r>
            <w:r>
              <w:rPr>
                <w:rFonts w:eastAsia="宋体"/>
                <w:sz w:val="24"/>
                <w:szCs w:val="24"/>
              </w:rPr>
              <w:t>污水处理厂处理达到《城镇污水处理厂污染物排放标准》（GB18918-2002）的一级B标准后，排入赣江南支。</w:t>
            </w:r>
          </w:p>
          <w:p>
            <w:pPr>
              <w:pStyle w:val="21"/>
              <w:snapToGrid w:val="0"/>
              <w:spacing w:line="360" w:lineRule="auto"/>
              <w:ind w:left="420" w:leftChars="200"/>
              <w:jc w:val="both"/>
              <w:rPr>
                <w:spacing w:val="3"/>
                <w:kern w:val="0"/>
                <w:szCs w:val="24"/>
              </w:rPr>
            </w:pPr>
            <w:r>
              <w:rPr>
                <w:spacing w:val="3"/>
                <w:kern w:val="0"/>
                <w:szCs w:val="24"/>
              </w:rPr>
              <w:t>COD</w:t>
            </w:r>
            <w:r>
              <w:rPr>
                <w:spacing w:val="3"/>
                <w:kern w:val="0"/>
                <w:szCs w:val="24"/>
                <w:vertAlign w:val="subscript"/>
              </w:rPr>
              <w:t>Cr</w:t>
            </w:r>
            <w:r>
              <w:rPr>
                <w:spacing w:val="3"/>
                <w:kern w:val="0"/>
                <w:szCs w:val="24"/>
              </w:rPr>
              <w:t>总量考核指标：</w:t>
            </w:r>
            <w:r>
              <w:rPr>
                <w:rFonts w:hint="eastAsia"/>
                <w:spacing w:val="3"/>
                <w:kern w:val="0"/>
                <w:szCs w:val="24"/>
              </w:rPr>
              <w:t>12800</w:t>
            </w:r>
            <w:r>
              <w:rPr>
                <w:spacing w:val="3"/>
                <w:kern w:val="0"/>
                <w:szCs w:val="24"/>
              </w:rPr>
              <w:t>×</w:t>
            </w:r>
            <w:r>
              <w:rPr>
                <w:rFonts w:hint="eastAsia"/>
                <w:spacing w:val="3"/>
                <w:kern w:val="0"/>
                <w:szCs w:val="24"/>
              </w:rPr>
              <w:t>175</w:t>
            </w:r>
            <w:r>
              <w:rPr>
                <w:spacing w:val="3"/>
                <w:kern w:val="0"/>
                <w:szCs w:val="24"/>
              </w:rPr>
              <w:t>×10</w:t>
            </w:r>
            <w:r>
              <w:rPr>
                <w:spacing w:val="3"/>
                <w:kern w:val="0"/>
                <w:szCs w:val="24"/>
                <w:vertAlign w:val="superscript"/>
              </w:rPr>
              <w:t>-6</w:t>
            </w:r>
            <w:r>
              <w:rPr>
                <w:spacing w:val="3"/>
                <w:kern w:val="0"/>
                <w:szCs w:val="24"/>
              </w:rPr>
              <w:t>=</w:t>
            </w:r>
            <w:r>
              <w:rPr>
                <w:rFonts w:hint="eastAsia"/>
                <w:spacing w:val="3"/>
                <w:kern w:val="0"/>
                <w:szCs w:val="24"/>
              </w:rPr>
              <w:t>2.2</w:t>
            </w:r>
            <w:r>
              <w:rPr>
                <w:spacing w:val="3"/>
                <w:kern w:val="0"/>
                <w:szCs w:val="24"/>
              </w:rPr>
              <w:t>t/a；</w:t>
            </w:r>
          </w:p>
          <w:p>
            <w:pPr>
              <w:pStyle w:val="21"/>
              <w:snapToGrid w:val="0"/>
              <w:spacing w:line="360" w:lineRule="auto"/>
              <w:ind w:left="420" w:leftChars="200"/>
              <w:jc w:val="both"/>
              <w:rPr>
                <w:spacing w:val="3"/>
                <w:kern w:val="0"/>
                <w:szCs w:val="24"/>
              </w:rPr>
            </w:pPr>
            <w:r>
              <w:rPr>
                <w:spacing w:val="3"/>
                <w:kern w:val="0"/>
                <w:szCs w:val="24"/>
              </w:rPr>
              <w:t>COD</w:t>
            </w:r>
            <w:r>
              <w:rPr>
                <w:spacing w:val="3"/>
                <w:kern w:val="0"/>
                <w:szCs w:val="24"/>
                <w:vertAlign w:val="subscript"/>
              </w:rPr>
              <w:t>Cr</w:t>
            </w:r>
            <w:r>
              <w:rPr>
                <w:spacing w:val="3"/>
                <w:kern w:val="0"/>
                <w:szCs w:val="24"/>
              </w:rPr>
              <w:t>总量控制指标：</w:t>
            </w:r>
            <w:r>
              <w:rPr>
                <w:rFonts w:hint="eastAsia"/>
                <w:szCs w:val="24"/>
              </w:rPr>
              <w:t>12800</w:t>
            </w:r>
            <w:r>
              <w:rPr>
                <w:spacing w:val="3"/>
                <w:kern w:val="0"/>
                <w:szCs w:val="24"/>
              </w:rPr>
              <w:t>×60×10</w:t>
            </w:r>
            <w:r>
              <w:rPr>
                <w:spacing w:val="3"/>
                <w:kern w:val="0"/>
                <w:szCs w:val="24"/>
                <w:vertAlign w:val="superscript"/>
              </w:rPr>
              <w:t>-6</w:t>
            </w:r>
            <w:r>
              <w:rPr>
                <w:spacing w:val="3"/>
                <w:kern w:val="0"/>
                <w:szCs w:val="24"/>
              </w:rPr>
              <w:t>=</w:t>
            </w:r>
            <w:r>
              <w:rPr>
                <w:rFonts w:hint="eastAsia"/>
                <w:spacing w:val="3"/>
                <w:kern w:val="0"/>
                <w:szCs w:val="24"/>
              </w:rPr>
              <w:t>0.77</w:t>
            </w:r>
            <w:r>
              <w:rPr>
                <w:spacing w:val="3"/>
                <w:kern w:val="0"/>
                <w:szCs w:val="24"/>
              </w:rPr>
              <w:t>t/a；</w:t>
            </w:r>
          </w:p>
          <w:p>
            <w:pPr>
              <w:pStyle w:val="21"/>
              <w:snapToGrid w:val="0"/>
              <w:spacing w:line="360" w:lineRule="auto"/>
              <w:ind w:left="420" w:leftChars="200"/>
              <w:jc w:val="both"/>
              <w:rPr>
                <w:spacing w:val="3"/>
                <w:kern w:val="0"/>
                <w:szCs w:val="24"/>
              </w:rPr>
            </w:pPr>
            <w:r>
              <w:rPr>
                <w:spacing w:val="3"/>
                <w:kern w:val="0"/>
                <w:szCs w:val="24"/>
              </w:rPr>
              <w:t>NH</w:t>
            </w:r>
            <w:r>
              <w:rPr>
                <w:spacing w:val="3"/>
                <w:kern w:val="0"/>
                <w:szCs w:val="24"/>
                <w:vertAlign w:val="subscript"/>
              </w:rPr>
              <w:t>3</w:t>
            </w:r>
            <w:r>
              <w:rPr>
                <w:spacing w:val="3"/>
                <w:kern w:val="0"/>
                <w:szCs w:val="24"/>
              </w:rPr>
              <w:t>-N总量考核指标：</w:t>
            </w:r>
            <w:r>
              <w:rPr>
                <w:rFonts w:hint="eastAsia"/>
                <w:szCs w:val="24"/>
              </w:rPr>
              <w:t>12800</w:t>
            </w:r>
            <w:r>
              <w:rPr>
                <w:spacing w:val="3"/>
                <w:kern w:val="0"/>
                <w:szCs w:val="24"/>
              </w:rPr>
              <w:t>×</w:t>
            </w:r>
            <w:r>
              <w:rPr>
                <w:rFonts w:hint="eastAsia"/>
                <w:spacing w:val="3"/>
                <w:kern w:val="0"/>
                <w:szCs w:val="24"/>
              </w:rPr>
              <w:t>20</w:t>
            </w:r>
            <w:r>
              <w:rPr>
                <w:spacing w:val="3"/>
                <w:kern w:val="0"/>
                <w:szCs w:val="24"/>
              </w:rPr>
              <w:t>×10</w:t>
            </w:r>
            <w:r>
              <w:rPr>
                <w:spacing w:val="3"/>
                <w:kern w:val="0"/>
                <w:szCs w:val="24"/>
                <w:vertAlign w:val="superscript"/>
              </w:rPr>
              <w:t>-6</w:t>
            </w:r>
            <w:r>
              <w:rPr>
                <w:spacing w:val="3"/>
                <w:kern w:val="0"/>
                <w:szCs w:val="24"/>
              </w:rPr>
              <w:t>=</w:t>
            </w:r>
            <w:r>
              <w:rPr>
                <w:rFonts w:hint="eastAsia"/>
                <w:spacing w:val="3"/>
                <w:kern w:val="0"/>
                <w:szCs w:val="24"/>
              </w:rPr>
              <w:t>0.26</w:t>
            </w:r>
            <w:r>
              <w:rPr>
                <w:spacing w:val="3"/>
                <w:kern w:val="0"/>
                <w:szCs w:val="24"/>
              </w:rPr>
              <w:t>t/a；</w:t>
            </w:r>
          </w:p>
          <w:p>
            <w:pPr>
              <w:pStyle w:val="21"/>
              <w:snapToGrid w:val="0"/>
              <w:spacing w:line="360" w:lineRule="auto"/>
              <w:ind w:left="420" w:leftChars="200"/>
              <w:jc w:val="both"/>
              <w:rPr>
                <w:spacing w:val="3"/>
                <w:kern w:val="0"/>
                <w:szCs w:val="24"/>
              </w:rPr>
            </w:pPr>
            <w:r>
              <w:rPr>
                <w:spacing w:val="3"/>
                <w:kern w:val="0"/>
                <w:szCs w:val="24"/>
              </w:rPr>
              <w:t>NH</w:t>
            </w:r>
            <w:r>
              <w:rPr>
                <w:spacing w:val="3"/>
                <w:kern w:val="0"/>
                <w:szCs w:val="24"/>
                <w:vertAlign w:val="subscript"/>
              </w:rPr>
              <w:t>3</w:t>
            </w:r>
            <w:r>
              <w:rPr>
                <w:spacing w:val="3"/>
                <w:kern w:val="0"/>
                <w:szCs w:val="24"/>
              </w:rPr>
              <w:t>-N总量控制指标：</w:t>
            </w:r>
            <w:r>
              <w:rPr>
                <w:rFonts w:hint="eastAsia"/>
                <w:szCs w:val="24"/>
              </w:rPr>
              <w:t>12800</w:t>
            </w:r>
            <w:r>
              <w:rPr>
                <w:spacing w:val="3"/>
                <w:kern w:val="0"/>
                <w:szCs w:val="24"/>
              </w:rPr>
              <w:t>×8×10</w:t>
            </w:r>
            <w:r>
              <w:rPr>
                <w:spacing w:val="3"/>
                <w:kern w:val="0"/>
                <w:szCs w:val="24"/>
                <w:vertAlign w:val="superscript"/>
              </w:rPr>
              <w:t>-6</w:t>
            </w:r>
            <w:r>
              <w:rPr>
                <w:spacing w:val="3"/>
                <w:kern w:val="0"/>
                <w:szCs w:val="24"/>
              </w:rPr>
              <w:t>=</w:t>
            </w:r>
            <w:r>
              <w:rPr>
                <w:rFonts w:hint="eastAsia"/>
                <w:spacing w:val="3"/>
                <w:kern w:val="0"/>
                <w:szCs w:val="24"/>
              </w:rPr>
              <w:t>0.10</w:t>
            </w:r>
            <w:r>
              <w:rPr>
                <w:spacing w:val="3"/>
                <w:kern w:val="0"/>
                <w:szCs w:val="24"/>
              </w:rPr>
              <w:t>t/a。</w:t>
            </w:r>
          </w:p>
          <w:p>
            <w:pPr>
              <w:adjustRightInd w:val="0"/>
              <w:snapToGrid w:val="0"/>
              <w:spacing w:line="360" w:lineRule="auto"/>
              <w:ind w:firstLine="480" w:firstLineChars="200"/>
              <w:textAlignment w:val="baseline"/>
              <w:rPr>
                <w:rFonts w:hint="eastAsia"/>
                <w:snapToGrid w:val="0"/>
                <w:spacing w:val="4"/>
                <w:kern w:val="18"/>
                <w:sz w:val="24"/>
              </w:rPr>
            </w:pPr>
            <w:r>
              <w:rPr>
                <w:snapToGrid w:val="0"/>
                <w:spacing w:val="4"/>
                <w:kern w:val="18"/>
                <w:sz w:val="24"/>
              </w:rPr>
              <w:t>因此，本项目需要向上级主管部门和环保部门申请的水污染排放总量指标为COD</w:t>
            </w:r>
            <w:r>
              <w:rPr>
                <w:snapToGrid w:val="0"/>
                <w:spacing w:val="4"/>
                <w:kern w:val="18"/>
                <w:sz w:val="24"/>
                <w:vertAlign w:val="subscript"/>
              </w:rPr>
              <w:t>Cr</w:t>
            </w:r>
            <w:r>
              <w:rPr>
                <w:snapToGrid w:val="0"/>
                <w:spacing w:val="4"/>
                <w:kern w:val="18"/>
                <w:sz w:val="24"/>
              </w:rPr>
              <w:t>：</w:t>
            </w:r>
            <w:r>
              <w:rPr>
                <w:rFonts w:hint="eastAsia"/>
                <w:snapToGrid w:val="0"/>
                <w:spacing w:val="4"/>
                <w:kern w:val="18"/>
                <w:sz w:val="24"/>
              </w:rPr>
              <w:t>0.77</w:t>
            </w:r>
            <w:r>
              <w:rPr>
                <w:snapToGrid w:val="0"/>
                <w:spacing w:val="4"/>
                <w:kern w:val="18"/>
                <w:sz w:val="24"/>
              </w:rPr>
              <w:t>t/a，NH</w:t>
            </w:r>
            <w:r>
              <w:rPr>
                <w:snapToGrid w:val="0"/>
                <w:spacing w:val="4"/>
                <w:kern w:val="18"/>
                <w:sz w:val="24"/>
                <w:vertAlign w:val="subscript"/>
              </w:rPr>
              <w:t>3</w:t>
            </w:r>
            <w:r>
              <w:rPr>
                <w:snapToGrid w:val="0"/>
                <w:spacing w:val="4"/>
                <w:kern w:val="18"/>
                <w:sz w:val="24"/>
              </w:rPr>
              <w:t>-N：</w:t>
            </w:r>
            <w:r>
              <w:rPr>
                <w:rFonts w:hint="eastAsia"/>
                <w:snapToGrid w:val="0"/>
                <w:spacing w:val="4"/>
                <w:kern w:val="18"/>
                <w:sz w:val="24"/>
              </w:rPr>
              <w:t>0.10</w:t>
            </w:r>
            <w:r>
              <w:rPr>
                <w:snapToGrid w:val="0"/>
                <w:spacing w:val="4"/>
                <w:kern w:val="18"/>
                <w:sz w:val="24"/>
              </w:rPr>
              <w:t>t/a。</w:t>
            </w:r>
          </w:p>
          <w:p>
            <w:pPr>
              <w:snapToGrid w:val="0"/>
              <w:spacing w:line="360" w:lineRule="auto"/>
              <w:ind w:firstLine="480"/>
              <w:jc w:val="left"/>
              <w:rPr>
                <w:b/>
                <w:sz w:val="24"/>
              </w:rPr>
            </w:pPr>
            <w:r>
              <w:rPr>
                <w:b/>
                <w:sz w:val="24"/>
              </w:rPr>
              <w:t>2、</w:t>
            </w:r>
            <w:r>
              <w:rPr>
                <w:rFonts w:hint="eastAsia"/>
                <w:b/>
                <w:sz w:val="24"/>
              </w:rPr>
              <w:t>大</w:t>
            </w:r>
            <w:r>
              <w:rPr>
                <w:b/>
                <w:sz w:val="24"/>
              </w:rPr>
              <w:t>气污染因子SO</w:t>
            </w:r>
            <w:r>
              <w:rPr>
                <w:b/>
                <w:sz w:val="24"/>
                <w:vertAlign w:val="subscript"/>
              </w:rPr>
              <w:t>2</w:t>
            </w:r>
            <w:r>
              <w:rPr>
                <w:b/>
                <w:sz w:val="24"/>
              </w:rPr>
              <w:t>、NO</w:t>
            </w:r>
            <w:r>
              <w:rPr>
                <w:b/>
                <w:sz w:val="24"/>
                <w:vertAlign w:val="subscript"/>
              </w:rPr>
              <w:t>X</w:t>
            </w:r>
          </w:p>
          <w:p>
            <w:pPr>
              <w:snapToGrid w:val="0"/>
              <w:spacing w:line="360" w:lineRule="auto"/>
              <w:ind w:firstLine="480" w:firstLineChars="200"/>
              <w:rPr>
                <w:sz w:val="24"/>
              </w:rPr>
            </w:pPr>
            <w:r>
              <w:rPr>
                <w:rFonts w:hint="eastAsia"/>
                <w:kern w:val="21"/>
                <w:sz w:val="24"/>
                <w:szCs w:val="20"/>
              </w:rPr>
              <w:t>本项目拟设一套RTO蓄热式焚烧炉对生产中的有机废气进行处理，RTO炉采用轻柴油为燃料，燃烧废气经15m高排气筒排放，根据工程分析，</w:t>
            </w:r>
            <w:r>
              <w:rPr>
                <w:sz w:val="24"/>
              </w:rPr>
              <w:t>污染物产生及排放情况见表</w:t>
            </w:r>
            <w:r>
              <w:rPr>
                <w:rFonts w:hint="eastAsia"/>
                <w:sz w:val="24"/>
              </w:rPr>
              <w:t>4-8</w:t>
            </w:r>
            <w:r>
              <w:rPr>
                <w:sz w:val="24"/>
              </w:rPr>
              <w:t>。</w:t>
            </w:r>
          </w:p>
          <w:p>
            <w:pPr>
              <w:pStyle w:val="NormalIndent"/>
              <w:snapToGrid w:val="0"/>
              <w:spacing w:line="360" w:lineRule="auto"/>
              <w:ind w:firstLine="422"/>
              <w:jc w:val="center"/>
              <w:rPr>
                <w:b/>
              </w:rPr>
            </w:pPr>
            <w:r>
              <w:rPr>
                <w:b/>
              </w:rPr>
              <w:t>表</w:t>
            </w:r>
            <w:r>
              <w:rPr>
                <w:rFonts w:hint="eastAsia"/>
                <w:b/>
              </w:rPr>
              <w:t xml:space="preserve">4-8  </w:t>
            </w:r>
            <w:r>
              <w:rPr>
                <w:rFonts w:hint="eastAsia"/>
                <w:b/>
                <w:kern w:val="21"/>
                <w:szCs w:val="21"/>
              </w:rPr>
              <w:t>RTO炉燃烧废气</w:t>
            </w:r>
            <w:r>
              <w:rPr>
                <w:b/>
                <w:szCs w:val="21"/>
              </w:rPr>
              <w:t>产排情况</w:t>
            </w:r>
            <w:r>
              <w:rPr>
                <w:b/>
              </w:rPr>
              <w:t>一览表</w:t>
            </w:r>
          </w:p>
          <w:tbl>
            <w:tblPr>
              <w:tblStyle w:val="TableNormal"/>
              <w:tblW w:w="8713" w:type="dxa"/>
              <w:jc w:val="center"/>
              <w:tblInd w:w="43" w:type="dxa"/>
              <w:tblBorders>
                <w:top w:val="single" w:sz="12" w:space="0" w:color="auto"/>
                <w:left w:val="single" w:sz="12" w:space="0" w:color="auto"/>
                <w:bottom w:val="single" w:sz="12" w:space="0" w:color="000000"/>
                <w:right w:val="single" w:sz="12" w:space="0" w:color="auto"/>
                <w:insideH w:val="single" w:sz="4" w:space="0" w:color="auto"/>
                <w:insideV w:val="single" w:sz="4" w:space="0" w:color="auto"/>
              </w:tblBorders>
              <w:tblLayout w:type="fixed"/>
              <w:tblCellMar>
                <w:top w:w="0" w:type="dxa"/>
                <w:left w:w="28" w:type="dxa"/>
                <w:bottom w:w="0" w:type="dxa"/>
                <w:right w:w="28" w:type="dxa"/>
              </w:tblCellMar>
              <w:tblLook w:val="0000"/>
            </w:tblPr>
            <w:tblGrid>
              <w:gridCol w:w="1044"/>
              <w:gridCol w:w="851"/>
              <w:gridCol w:w="850"/>
              <w:gridCol w:w="1045"/>
              <w:gridCol w:w="904"/>
              <w:gridCol w:w="1050"/>
              <w:gridCol w:w="1201"/>
              <w:gridCol w:w="752"/>
              <w:gridCol w:w="1016"/>
            </w:tblGrid>
            <w:tr>
              <w:tblPrEx>
                <w:tblW w:w="8713" w:type="dxa"/>
                <w:jc w:val="center"/>
                <w:tblInd w:w="43" w:type="dxa"/>
                <w:tblBorders>
                  <w:top w:val="single" w:sz="12" w:space="0" w:color="auto"/>
                  <w:left w:val="single" w:sz="12" w:space="0" w:color="auto"/>
                  <w:bottom w:val="single" w:sz="12" w:space="0" w:color="000000"/>
                  <w:right w:val="single" w:sz="12" w:space="0" w:color="auto"/>
                  <w:insideH w:val="single" w:sz="4" w:space="0" w:color="auto"/>
                  <w:insideV w:val="single" w:sz="4" w:space="0" w:color="auto"/>
                </w:tblBorders>
                <w:tblLayout w:type="fixed"/>
                <w:tblCellMar>
                  <w:top w:w="0" w:type="dxa"/>
                  <w:left w:w="28" w:type="dxa"/>
                  <w:bottom w:w="0" w:type="dxa"/>
                  <w:right w:w="28" w:type="dxa"/>
                </w:tblCellMar>
                <w:tblLook w:val="0000"/>
              </w:tblPrEx>
              <w:trPr>
                <w:trHeight w:val="299"/>
                <w:jc w:val="center"/>
              </w:trPr>
              <w:tc>
                <w:tcPr>
                  <w:tcW w:w="1044" w:type="dxa"/>
                  <w:vAlign w:val="center"/>
                </w:tcPr>
                <w:p>
                  <w:pPr>
                    <w:pStyle w:val="a"/>
                    <w:rPr>
                      <w:lang w:val="en-US" w:eastAsia="zh-CN"/>
                    </w:rPr>
                  </w:pPr>
                  <w:r>
                    <w:rPr>
                      <w:rFonts w:hint="eastAsia"/>
                      <w:lang w:val="en-US" w:eastAsia="zh-CN"/>
                    </w:rPr>
                    <w:t>污染源</w:t>
                  </w:r>
                </w:p>
              </w:tc>
              <w:tc>
                <w:tcPr>
                  <w:tcW w:w="851" w:type="dxa"/>
                  <w:vAlign w:val="center"/>
                </w:tcPr>
                <w:p>
                  <w:pPr>
                    <w:pStyle w:val="a"/>
                    <w:rPr>
                      <w:lang w:val="en-US" w:eastAsia="zh-CN"/>
                    </w:rPr>
                  </w:pPr>
                  <w:r>
                    <w:rPr>
                      <w:lang w:val="en-US" w:eastAsia="zh-CN"/>
                    </w:rPr>
                    <w:t>烟气量</w:t>
                  </w:r>
                  <w:r>
                    <w:rPr>
                      <w:rFonts w:hint="eastAsia"/>
                      <w:lang w:val="en-US" w:eastAsia="zh-CN"/>
                    </w:rPr>
                    <w:t>（m</w:t>
                  </w:r>
                  <w:r>
                    <w:rPr>
                      <w:rFonts w:hint="eastAsia"/>
                      <w:vertAlign w:val="superscript"/>
                      <w:lang w:val="en-US" w:eastAsia="zh-CN"/>
                    </w:rPr>
                    <w:t>3</w:t>
                  </w:r>
                  <w:r>
                    <w:rPr>
                      <w:rFonts w:hint="eastAsia"/>
                      <w:lang w:val="en-US" w:eastAsia="zh-CN"/>
                    </w:rPr>
                    <w:t>/h）</w:t>
                  </w:r>
                </w:p>
              </w:tc>
              <w:tc>
                <w:tcPr>
                  <w:tcW w:w="850" w:type="dxa"/>
                  <w:vAlign w:val="center"/>
                </w:tcPr>
                <w:p>
                  <w:pPr>
                    <w:pStyle w:val="a"/>
                    <w:rPr>
                      <w:lang w:val="en-US" w:eastAsia="zh-CN"/>
                    </w:rPr>
                  </w:pPr>
                  <w:r>
                    <w:rPr>
                      <w:lang w:val="en-US" w:eastAsia="zh-CN"/>
                    </w:rPr>
                    <w:t>污染物</w:t>
                  </w:r>
                </w:p>
              </w:tc>
              <w:tc>
                <w:tcPr>
                  <w:tcW w:w="1045" w:type="dxa"/>
                  <w:vAlign w:val="center"/>
                </w:tcPr>
                <w:p>
                  <w:pPr>
                    <w:pStyle w:val="a"/>
                    <w:rPr>
                      <w:lang w:val="en-US" w:eastAsia="zh-CN"/>
                    </w:rPr>
                  </w:pPr>
                  <w:r>
                    <w:rPr>
                      <w:lang w:val="en-US" w:eastAsia="zh-CN"/>
                    </w:rPr>
                    <w:t>产生浓度</w:t>
                  </w:r>
                  <w:r>
                    <w:rPr>
                      <w:rFonts w:hint="eastAsia"/>
                      <w:lang w:val="en-US" w:eastAsia="zh-CN"/>
                    </w:rPr>
                    <w:t>（</w:t>
                  </w:r>
                  <w:r>
                    <w:rPr>
                      <w:lang w:val="en-US" w:eastAsia="zh-CN"/>
                    </w:rPr>
                    <w:t>mg/m</w:t>
                  </w:r>
                  <w:r>
                    <w:rPr>
                      <w:vertAlign w:val="superscript"/>
                      <w:lang w:val="en-US" w:eastAsia="zh-CN"/>
                    </w:rPr>
                    <w:t>3</w:t>
                  </w:r>
                  <w:r>
                    <w:rPr>
                      <w:rFonts w:hint="eastAsia"/>
                      <w:lang w:val="en-US" w:eastAsia="zh-CN"/>
                    </w:rPr>
                    <w:t>）</w:t>
                  </w:r>
                </w:p>
              </w:tc>
              <w:tc>
                <w:tcPr>
                  <w:tcW w:w="904" w:type="dxa"/>
                  <w:vAlign w:val="center"/>
                </w:tcPr>
                <w:p>
                  <w:pPr>
                    <w:pStyle w:val="a"/>
                    <w:rPr>
                      <w:lang w:val="en-US" w:eastAsia="zh-CN"/>
                    </w:rPr>
                  </w:pPr>
                  <w:r>
                    <w:rPr>
                      <w:lang w:val="en-US" w:eastAsia="zh-CN"/>
                    </w:rPr>
                    <w:t>产生量</w:t>
                  </w:r>
                  <w:r>
                    <w:rPr>
                      <w:rFonts w:hint="eastAsia"/>
                      <w:lang w:val="en-US" w:eastAsia="zh-CN"/>
                    </w:rPr>
                    <w:t>（t/a）</w:t>
                  </w:r>
                </w:p>
              </w:tc>
              <w:tc>
                <w:tcPr>
                  <w:tcW w:w="1050" w:type="dxa"/>
                  <w:vAlign w:val="center"/>
                </w:tcPr>
                <w:p>
                  <w:pPr>
                    <w:pStyle w:val="a"/>
                    <w:rPr>
                      <w:lang w:val="en-US" w:eastAsia="zh-CN"/>
                    </w:rPr>
                  </w:pPr>
                  <w:r>
                    <w:rPr>
                      <w:rFonts w:hint="eastAsia"/>
                      <w:lang w:val="en-US" w:eastAsia="zh-CN"/>
                    </w:rPr>
                    <w:t>产生速率（kg/h）</w:t>
                  </w:r>
                </w:p>
              </w:tc>
              <w:tc>
                <w:tcPr>
                  <w:tcW w:w="1201" w:type="dxa"/>
                  <w:vAlign w:val="center"/>
                </w:tcPr>
                <w:p>
                  <w:pPr>
                    <w:pStyle w:val="a"/>
                    <w:rPr>
                      <w:lang w:val="en-US" w:eastAsia="zh-CN"/>
                    </w:rPr>
                  </w:pPr>
                  <w:r>
                    <w:rPr>
                      <w:lang w:val="en-US" w:eastAsia="zh-CN"/>
                    </w:rPr>
                    <w:t>排放浓度</w:t>
                  </w:r>
                  <w:r>
                    <w:rPr>
                      <w:rFonts w:hint="eastAsia"/>
                      <w:lang w:val="en-US" w:eastAsia="zh-CN"/>
                    </w:rPr>
                    <w:t>（</w:t>
                  </w:r>
                  <w:r>
                    <w:rPr>
                      <w:lang w:val="en-US" w:eastAsia="zh-CN"/>
                    </w:rPr>
                    <w:t>mg/m</w:t>
                  </w:r>
                  <w:r>
                    <w:rPr>
                      <w:vertAlign w:val="superscript"/>
                      <w:lang w:val="en-US" w:eastAsia="zh-CN"/>
                    </w:rPr>
                    <w:t>3</w:t>
                  </w:r>
                  <w:r>
                    <w:rPr>
                      <w:rFonts w:hint="eastAsia"/>
                      <w:lang w:val="en-US" w:eastAsia="zh-CN"/>
                    </w:rPr>
                    <w:t>）</w:t>
                  </w:r>
                </w:p>
              </w:tc>
              <w:tc>
                <w:tcPr>
                  <w:tcW w:w="752" w:type="dxa"/>
                  <w:vAlign w:val="center"/>
                </w:tcPr>
                <w:p>
                  <w:pPr>
                    <w:pStyle w:val="a"/>
                    <w:rPr>
                      <w:lang w:val="en-US" w:eastAsia="zh-CN"/>
                    </w:rPr>
                  </w:pPr>
                  <w:r>
                    <w:rPr>
                      <w:lang w:val="en-US" w:eastAsia="zh-CN"/>
                    </w:rPr>
                    <w:t>排放量</w:t>
                  </w:r>
                  <w:r>
                    <w:rPr>
                      <w:rFonts w:hint="eastAsia"/>
                      <w:lang w:val="en-US" w:eastAsia="zh-CN"/>
                    </w:rPr>
                    <w:t>（t/a）</w:t>
                  </w:r>
                </w:p>
              </w:tc>
              <w:tc>
                <w:tcPr>
                  <w:tcW w:w="1016" w:type="dxa"/>
                  <w:vAlign w:val="center"/>
                </w:tcPr>
                <w:p>
                  <w:pPr>
                    <w:pStyle w:val="a"/>
                    <w:rPr>
                      <w:lang w:val="en-US" w:eastAsia="zh-CN"/>
                    </w:rPr>
                  </w:pPr>
                  <w:r>
                    <w:rPr>
                      <w:rFonts w:hint="eastAsia"/>
                      <w:lang w:val="en-US" w:eastAsia="zh-CN"/>
                    </w:rPr>
                    <w:t>排放速率（kg/h）</w:t>
                  </w:r>
                </w:p>
              </w:tc>
            </w:tr>
            <w:tr>
              <w:tblPrEx>
                <w:tblW w:w="8713" w:type="dxa"/>
                <w:jc w:val="center"/>
                <w:tblInd w:w="43" w:type="dxa"/>
                <w:tblLayout w:type="fixed"/>
                <w:tblCellMar>
                  <w:top w:w="0" w:type="dxa"/>
                  <w:left w:w="28" w:type="dxa"/>
                  <w:bottom w:w="0" w:type="dxa"/>
                  <w:right w:w="28" w:type="dxa"/>
                </w:tblCellMar>
                <w:tblLook w:val="0000"/>
              </w:tblPrEx>
              <w:trPr>
                <w:trHeight w:val="182"/>
                <w:jc w:val="center"/>
              </w:trPr>
              <w:tc>
                <w:tcPr>
                  <w:tcW w:w="1044" w:type="dxa"/>
                  <w:vMerge w:val="restart"/>
                  <w:vAlign w:val="center"/>
                </w:tcPr>
                <w:p>
                  <w:pPr>
                    <w:pStyle w:val="a"/>
                    <w:rPr>
                      <w:lang w:val="en-US" w:eastAsia="zh-CN"/>
                    </w:rPr>
                  </w:pPr>
                  <w:r>
                    <w:rPr>
                      <w:rFonts w:hint="eastAsia"/>
                      <w:lang w:val="en-US" w:eastAsia="zh-CN"/>
                    </w:rPr>
                    <w:t>RTO炉燃烧废气</w:t>
                  </w:r>
                </w:p>
              </w:tc>
              <w:tc>
                <w:tcPr>
                  <w:tcW w:w="851" w:type="dxa"/>
                  <w:vMerge w:val="restart"/>
                  <w:vAlign w:val="center"/>
                </w:tcPr>
                <w:p>
                  <w:pPr>
                    <w:pStyle w:val="a"/>
                    <w:rPr>
                      <w:lang w:val="en-US" w:eastAsia="zh-CN"/>
                    </w:rPr>
                  </w:pPr>
                  <w:r>
                    <w:rPr>
                      <w:rFonts w:hint="eastAsia"/>
                      <w:lang w:val="en-US" w:eastAsia="zh-CN"/>
                    </w:rPr>
                    <w:t>5000</w:t>
                  </w:r>
                </w:p>
              </w:tc>
              <w:tc>
                <w:tcPr>
                  <w:tcW w:w="850" w:type="dxa"/>
                  <w:vAlign w:val="center"/>
                </w:tcPr>
                <w:p>
                  <w:pPr>
                    <w:pStyle w:val="a"/>
                    <w:rPr>
                      <w:lang w:val="en-US" w:eastAsia="zh-CN"/>
                    </w:rPr>
                  </w:pPr>
                  <w:r>
                    <w:rPr>
                      <w:lang w:val="en-US" w:eastAsia="zh-CN"/>
                    </w:rPr>
                    <w:t>SO</w:t>
                  </w:r>
                  <w:r>
                    <w:rPr>
                      <w:vertAlign w:val="subscript"/>
                      <w:lang w:val="en-US" w:eastAsia="zh-CN"/>
                    </w:rPr>
                    <w:t>2</w:t>
                  </w:r>
                </w:p>
              </w:tc>
              <w:tc>
                <w:tcPr>
                  <w:tcW w:w="1045" w:type="dxa"/>
                  <w:vAlign w:val="center"/>
                </w:tcPr>
                <w:p>
                  <w:pPr>
                    <w:pStyle w:val="a"/>
                    <w:rPr>
                      <w:lang w:val="en-US" w:eastAsia="zh-CN"/>
                    </w:rPr>
                  </w:pPr>
                  <w:r>
                    <w:rPr>
                      <w:rFonts w:hint="eastAsia"/>
                      <w:lang w:val="en-US" w:eastAsia="zh-CN"/>
                    </w:rPr>
                    <w:t>4.8</w:t>
                  </w:r>
                </w:p>
              </w:tc>
              <w:tc>
                <w:tcPr>
                  <w:tcW w:w="904" w:type="dxa"/>
                  <w:vAlign w:val="center"/>
                </w:tcPr>
                <w:p>
                  <w:pPr>
                    <w:pStyle w:val="a"/>
                    <w:rPr>
                      <w:lang w:val="en-US" w:eastAsia="zh-CN"/>
                    </w:rPr>
                  </w:pPr>
                  <w:r>
                    <w:rPr>
                      <w:rFonts w:hint="eastAsia"/>
                      <w:lang w:val="en-US" w:eastAsia="zh-CN"/>
                    </w:rPr>
                    <w:t>0.095</w:t>
                  </w:r>
                </w:p>
              </w:tc>
              <w:tc>
                <w:tcPr>
                  <w:tcW w:w="1050" w:type="dxa"/>
                  <w:vAlign w:val="center"/>
                </w:tcPr>
                <w:p>
                  <w:pPr>
                    <w:pStyle w:val="a"/>
                    <w:rPr>
                      <w:lang w:val="en-US" w:eastAsia="zh-CN"/>
                    </w:rPr>
                  </w:pPr>
                  <w:r>
                    <w:rPr>
                      <w:rFonts w:hint="eastAsia"/>
                      <w:lang w:val="en-US" w:eastAsia="zh-CN"/>
                    </w:rPr>
                    <w:t>0.024</w:t>
                  </w:r>
                </w:p>
              </w:tc>
              <w:tc>
                <w:tcPr>
                  <w:tcW w:w="1201" w:type="dxa"/>
                  <w:vAlign w:val="center"/>
                </w:tcPr>
                <w:p>
                  <w:pPr>
                    <w:pStyle w:val="a"/>
                    <w:rPr>
                      <w:lang w:val="en-US" w:eastAsia="zh-CN"/>
                    </w:rPr>
                  </w:pPr>
                  <w:r>
                    <w:rPr>
                      <w:rFonts w:hint="eastAsia"/>
                      <w:lang w:val="en-US" w:eastAsia="zh-CN"/>
                    </w:rPr>
                    <w:t>4.8</w:t>
                  </w:r>
                </w:p>
              </w:tc>
              <w:tc>
                <w:tcPr>
                  <w:tcW w:w="752" w:type="dxa"/>
                  <w:vAlign w:val="center"/>
                </w:tcPr>
                <w:p>
                  <w:pPr>
                    <w:pStyle w:val="a"/>
                    <w:rPr>
                      <w:lang w:val="en-US" w:eastAsia="zh-CN"/>
                    </w:rPr>
                  </w:pPr>
                  <w:r>
                    <w:rPr>
                      <w:rFonts w:hint="eastAsia"/>
                      <w:lang w:val="en-US" w:eastAsia="zh-CN"/>
                    </w:rPr>
                    <w:t>0.095</w:t>
                  </w:r>
                </w:p>
              </w:tc>
              <w:tc>
                <w:tcPr>
                  <w:tcW w:w="1016" w:type="dxa"/>
                  <w:vAlign w:val="center"/>
                </w:tcPr>
                <w:p>
                  <w:pPr>
                    <w:pStyle w:val="a"/>
                    <w:rPr>
                      <w:lang w:val="en-US" w:eastAsia="zh-CN"/>
                    </w:rPr>
                  </w:pPr>
                  <w:r>
                    <w:rPr>
                      <w:rFonts w:hint="eastAsia"/>
                      <w:lang w:val="en-US" w:eastAsia="zh-CN"/>
                    </w:rPr>
                    <w:t>0.024</w:t>
                  </w:r>
                </w:p>
              </w:tc>
            </w:tr>
            <w:tr>
              <w:tblPrEx>
                <w:tblW w:w="8713" w:type="dxa"/>
                <w:jc w:val="center"/>
                <w:tblInd w:w="43" w:type="dxa"/>
                <w:tblLayout w:type="fixed"/>
                <w:tblCellMar>
                  <w:top w:w="0" w:type="dxa"/>
                  <w:left w:w="28" w:type="dxa"/>
                  <w:bottom w:w="0" w:type="dxa"/>
                  <w:right w:w="28" w:type="dxa"/>
                </w:tblCellMar>
                <w:tblLook w:val="0000"/>
              </w:tblPrEx>
              <w:trPr>
                <w:trHeight w:val="255"/>
                <w:jc w:val="center"/>
              </w:trPr>
              <w:tc>
                <w:tcPr>
                  <w:tcW w:w="1044" w:type="dxa"/>
                  <w:vMerge/>
                  <w:vAlign w:val="center"/>
                </w:tcPr>
                <w:p>
                  <w:pPr>
                    <w:pStyle w:val="a"/>
                    <w:rPr>
                      <w:lang w:val="en-US" w:eastAsia="zh-CN"/>
                    </w:rPr>
                  </w:pPr>
                </w:p>
              </w:tc>
              <w:tc>
                <w:tcPr>
                  <w:tcW w:w="851" w:type="dxa"/>
                  <w:vMerge/>
                  <w:vAlign w:val="center"/>
                </w:tcPr>
                <w:p>
                  <w:pPr>
                    <w:pStyle w:val="a"/>
                    <w:rPr>
                      <w:vertAlign w:val="subscript"/>
                      <w:lang w:val="en-US" w:eastAsia="zh-CN"/>
                    </w:rPr>
                  </w:pPr>
                </w:p>
              </w:tc>
              <w:tc>
                <w:tcPr>
                  <w:tcW w:w="850" w:type="dxa"/>
                  <w:vAlign w:val="center"/>
                </w:tcPr>
                <w:p>
                  <w:pPr>
                    <w:pStyle w:val="a"/>
                    <w:rPr>
                      <w:vertAlign w:val="subscript"/>
                      <w:lang w:val="en-US" w:eastAsia="zh-CN"/>
                    </w:rPr>
                  </w:pPr>
                  <w:r>
                    <w:rPr>
                      <w:lang w:val="en-US" w:eastAsia="zh-CN"/>
                    </w:rPr>
                    <w:t>NO</w:t>
                  </w:r>
                  <w:r>
                    <w:rPr>
                      <w:vertAlign w:val="subscript"/>
                      <w:lang w:val="en-US" w:eastAsia="zh-CN"/>
                    </w:rPr>
                    <w:t>X</w:t>
                  </w:r>
                </w:p>
              </w:tc>
              <w:tc>
                <w:tcPr>
                  <w:tcW w:w="1045" w:type="dxa"/>
                  <w:vAlign w:val="center"/>
                </w:tcPr>
                <w:p>
                  <w:pPr>
                    <w:pStyle w:val="a"/>
                    <w:rPr>
                      <w:lang w:val="en-US" w:eastAsia="zh-CN"/>
                    </w:rPr>
                  </w:pPr>
                  <w:r>
                    <w:rPr>
                      <w:rFonts w:hint="eastAsia"/>
                      <w:lang w:val="en-US" w:eastAsia="zh-CN"/>
                    </w:rPr>
                    <w:t>4.6</w:t>
                  </w:r>
                </w:p>
              </w:tc>
              <w:tc>
                <w:tcPr>
                  <w:tcW w:w="904" w:type="dxa"/>
                  <w:vAlign w:val="center"/>
                </w:tcPr>
                <w:p>
                  <w:pPr>
                    <w:pStyle w:val="a"/>
                    <w:rPr>
                      <w:lang w:val="en-US" w:eastAsia="zh-CN"/>
                    </w:rPr>
                  </w:pPr>
                  <w:r>
                    <w:rPr>
                      <w:rFonts w:hint="eastAsia"/>
                      <w:lang w:val="en-US" w:eastAsia="zh-CN"/>
                    </w:rPr>
                    <w:t>0.092</w:t>
                  </w:r>
                </w:p>
              </w:tc>
              <w:tc>
                <w:tcPr>
                  <w:tcW w:w="1050" w:type="dxa"/>
                  <w:vAlign w:val="center"/>
                </w:tcPr>
                <w:p>
                  <w:pPr>
                    <w:pStyle w:val="a"/>
                    <w:rPr>
                      <w:lang w:val="en-US" w:eastAsia="zh-CN"/>
                    </w:rPr>
                  </w:pPr>
                  <w:r>
                    <w:rPr>
                      <w:rFonts w:hint="eastAsia"/>
                      <w:lang w:val="en-US" w:eastAsia="zh-CN"/>
                    </w:rPr>
                    <w:t>0.023</w:t>
                  </w:r>
                </w:p>
              </w:tc>
              <w:tc>
                <w:tcPr>
                  <w:tcW w:w="1201" w:type="dxa"/>
                  <w:vAlign w:val="center"/>
                </w:tcPr>
                <w:p>
                  <w:pPr>
                    <w:pStyle w:val="a"/>
                    <w:rPr>
                      <w:lang w:val="en-US" w:eastAsia="zh-CN"/>
                    </w:rPr>
                  </w:pPr>
                  <w:r>
                    <w:rPr>
                      <w:rFonts w:hint="eastAsia"/>
                      <w:lang w:val="en-US" w:eastAsia="zh-CN"/>
                    </w:rPr>
                    <w:t>4.6</w:t>
                  </w:r>
                </w:p>
              </w:tc>
              <w:tc>
                <w:tcPr>
                  <w:tcW w:w="752" w:type="dxa"/>
                  <w:vAlign w:val="center"/>
                </w:tcPr>
                <w:p>
                  <w:pPr>
                    <w:pStyle w:val="a"/>
                    <w:rPr>
                      <w:lang w:val="en-US" w:eastAsia="zh-CN"/>
                    </w:rPr>
                  </w:pPr>
                  <w:r>
                    <w:rPr>
                      <w:rFonts w:hint="eastAsia"/>
                      <w:lang w:val="en-US" w:eastAsia="zh-CN"/>
                    </w:rPr>
                    <w:t>0.092</w:t>
                  </w:r>
                </w:p>
              </w:tc>
              <w:tc>
                <w:tcPr>
                  <w:tcW w:w="1016" w:type="dxa"/>
                  <w:vAlign w:val="center"/>
                </w:tcPr>
                <w:p>
                  <w:pPr>
                    <w:pStyle w:val="a"/>
                    <w:rPr>
                      <w:lang w:val="en-US" w:eastAsia="zh-CN"/>
                    </w:rPr>
                  </w:pPr>
                  <w:r>
                    <w:rPr>
                      <w:rFonts w:hint="eastAsia"/>
                      <w:lang w:val="en-US" w:eastAsia="zh-CN"/>
                    </w:rPr>
                    <w:t>0.023</w:t>
                  </w:r>
                </w:p>
              </w:tc>
            </w:tr>
            <w:tr>
              <w:tblPrEx>
                <w:tblW w:w="8713" w:type="dxa"/>
                <w:jc w:val="center"/>
                <w:tblInd w:w="43" w:type="dxa"/>
                <w:tblLayout w:type="fixed"/>
                <w:tblCellMar>
                  <w:top w:w="0" w:type="dxa"/>
                  <w:left w:w="28" w:type="dxa"/>
                  <w:bottom w:w="0" w:type="dxa"/>
                  <w:right w:w="28" w:type="dxa"/>
                </w:tblCellMar>
                <w:tblLook w:val="0000"/>
              </w:tblPrEx>
              <w:trPr>
                <w:trHeight w:val="255"/>
                <w:jc w:val="center"/>
              </w:trPr>
              <w:tc>
                <w:tcPr>
                  <w:tcW w:w="1044" w:type="dxa"/>
                  <w:vMerge/>
                  <w:vAlign w:val="center"/>
                </w:tcPr>
                <w:p>
                  <w:pPr>
                    <w:pStyle w:val="a"/>
                    <w:rPr>
                      <w:lang w:val="en-US" w:eastAsia="zh-CN"/>
                    </w:rPr>
                  </w:pPr>
                </w:p>
              </w:tc>
              <w:tc>
                <w:tcPr>
                  <w:tcW w:w="851" w:type="dxa"/>
                  <w:vMerge/>
                  <w:vAlign w:val="center"/>
                </w:tcPr>
                <w:p>
                  <w:pPr>
                    <w:pStyle w:val="a"/>
                    <w:rPr>
                      <w:vertAlign w:val="subscript"/>
                      <w:lang w:val="en-US" w:eastAsia="zh-CN"/>
                    </w:rPr>
                  </w:pPr>
                </w:p>
              </w:tc>
              <w:tc>
                <w:tcPr>
                  <w:tcW w:w="850" w:type="dxa"/>
                  <w:vAlign w:val="center"/>
                </w:tcPr>
                <w:p>
                  <w:pPr>
                    <w:pStyle w:val="a"/>
                    <w:rPr>
                      <w:lang w:val="en-US" w:eastAsia="zh-CN"/>
                    </w:rPr>
                  </w:pPr>
                  <w:r>
                    <w:rPr>
                      <w:lang w:val="en-US" w:eastAsia="zh-CN"/>
                    </w:rPr>
                    <w:t>烟尘</w:t>
                  </w:r>
                </w:p>
              </w:tc>
              <w:tc>
                <w:tcPr>
                  <w:tcW w:w="1045" w:type="dxa"/>
                  <w:vAlign w:val="center"/>
                </w:tcPr>
                <w:p>
                  <w:pPr>
                    <w:pStyle w:val="a"/>
                    <w:rPr>
                      <w:rFonts w:hint="eastAsia"/>
                      <w:lang w:val="en-US" w:eastAsia="zh-CN"/>
                    </w:rPr>
                  </w:pPr>
                  <w:r>
                    <w:rPr>
                      <w:rFonts w:hint="eastAsia"/>
                      <w:lang w:val="en-US" w:eastAsia="zh-CN"/>
                    </w:rPr>
                    <w:t>0.4</w:t>
                  </w:r>
                </w:p>
              </w:tc>
              <w:tc>
                <w:tcPr>
                  <w:tcW w:w="904" w:type="dxa"/>
                  <w:vAlign w:val="center"/>
                </w:tcPr>
                <w:p>
                  <w:pPr>
                    <w:pStyle w:val="a"/>
                    <w:rPr>
                      <w:rFonts w:hint="eastAsia"/>
                      <w:lang w:val="en-US" w:eastAsia="zh-CN"/>
                    </w:rPr>
                  </w:pPr>
                  <w:r>
                    <w:rPr>
                      <w:rFonts w:hint="eastAsia"/>
                      <w:lang w:val="en-US" w:eastAsia="zh-CN"/>
                    </w:rPr>
                    <w:t>0.007</w:t>
                  </w:r>
                </w:p>
              </w:tc>
              <w:tc>
                <w:tcPr>
                  <w:tcW w:w="1050" w:type="dxa"/>
                  <w:vAlign w:val="center"/>
                </w:tcPr>
                <w:p>
                  <w:pPr>
                    <w:pStyle w:val="a"/>
                    <w:rPr>
                      <w:rFonts w:hint="eastAsia"/>
                      <w:lang w:val="en-US" w:eastAsia="zh-CN"/>
                    </w:rPr>
                  </w:pPr>
                  <w:r>
                    <w:rPr>
                      <w:rFonts w:hint="eastAsia"/>
                      <w:lang w:val="en-US" w:eastAsia="zh-CN"/>
                    </w:rPr>
                    <w:t>0.002</w:t>
                  </w:r>
                </w:p>
              </w:tc>
              <w:tc>
                <w:tcPr>
                  <w:tcW w:w="1201" w:type="dxa"/>
                  <w:vAlign w:val="center"/>
                </w:tcPr>
                <w:p>
                  <w:pPr>
                    <w:pStyle w:val="a"/>
                    <w:rPr>
                      <w:rFonts w:hint="eastAsia"/>
                      <w:lang w:val="en-US" w:eastAsia="zh-CN"/>
                    </w:rPr>
                  </w:pPr>
                  <w:r>
                    <w:rPr>
                      <w:rFonts w:hint="eastAsia"/>
                      <w:lang w:val="en-US" w:eastAsia="zh-CN"/>
                    </w:rPr>
                    <w:t>0.4</w:t>
                  </w:r>
                </w:p>
              </w:tc>
              <w:tc>
                <w:tcPr>
                  <w:tcW w:w="752" w:type="dxa"/>
                  <w:vAlign w:val="center"/>
                </w:tcPr>
                <w:p>
                  <w:pPr>
                    <w:pStyle w:val="a"/>
                    <w:rPr>
                      <w:rFonts w:hint="eastAsia"/>
                      <w:lang w:val="en-US" w:eastAsia="zh-CN"/>
                    </w:rPr>
                  </w:pPr>
                  <w:r>
                    <w:rPr>
                      <w:rFonts w:hint="eastAsia"/>
                      <w:lang w:val="en-US" w:eastAsia="zh-CN"/>
                    </w:rPr>
                    <w:t>0.007</w:t>
                  </w:r>
                </w:p>
              </w:tc>
              <w:tc>
                <w:tcPr>
                  <w:tcW w:w="1016" w:type="dxa"/>
                  <w:vAlign w:val="center"/>
                </w:tcPr>
                <w:p>
                  <w:pPr>
                    <w:pStyle w:val="a"/>
                    <w:rPr>
                      <w:rFonts w:hint="eastAsia"/>
                      <w:lang w:val="en-US" w:eastAsia="zh-CN"/>
                    </w:rPr>
                  </w:pPr>
                  <w:r>
                    <w:rPr>
                      <w:rFonts w:hint="eastAsia"/>
                      <w:lang w:val="en-US" w:eastAsia="zh-CN"/>
                    </w:rPr>
                    <w:t>0.002</w:t>
                  </w:r>
                </w:p>
              </w:tc>
            </w:tr>
          </w:tbl>
          <w:p>
            <w:pPr>
              <w:spacing w:line="360" w:lineRule="auto"/>
              <w:ind w:firstLine="480" w:firstLineChars="200"/>
              <w:outlineLvl w:val="0"/>
              <w:rPr>
                <w:bCs/>
                <w:sz w:val="24"/>
              </w:rPr>
            </w:pPr>
            <w:r>
              <w:rPr>
                <w:sz w:val="24"/>
              </w:rPr>
              <w:t>由上表可知，本项目申请总量控制指标为SO</w:t>
            </w:r>
            <w:r>
              <w:rPr>
                <w:sz w:val="24"/>
                <w:vertAlign w:val="subscript"/>
              </w:rPr>
              <w:t>2</w:t>
            </w:r>
            <w:r>
              <w:rPr>
                <w:sz w:val="24"/>
              </w:rPr>
              <w:t>为</w:t>
            </w:r>
            <w:r>
              <w:rPr>
                <w:rFonts w:hint="eastAsia"/>
                <w:sz w:val="24"/>
              </w:rPr>
              <w:t>0.095</w:t>
            </w:r>
            <w:r>
              <w:rPr>
                <w:sz w:val="24"/>
              </w:rPr>
              <w:t>t/a，NO</w:t>
            </w:r>
            <w:r>
              <w:rPr>
                <w:sz w:val="24"/>
                <w:vertAlign w:val="subscript"/>
              </w:rPr>
              <w:t>X</w:t>
            </w:r>
            <w:r>
              <w:rPr>
                <w:sz w:val="24"/>
              </w:rPr>
              <w:t>为</w:t>
            </w:r>
            <w:r>
              <w:rPr>
                <w:rFonts w:hint="eastAsia"/>
                <w:sz w:val="24"/>
              </w:rPr>
              <w:t>0.092</w:t>
            </w:r>
            <w:r>
              <w:rPr>
                <w:sz w:val="24"/>
              </w:rPr>
              <w:t>t/a。</w:t>
            </w: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rFonts w:hint="eastAsia"/>
                <w:snapToGrid w:val="0"/>
                <w:spacing w:val="4"/>
                <w:kern w:val="18"/>
                <w:sz w:val="24"/>
              </w:rPr>
            </w:pPr>
          </w:p>
          <w:p>
            <w:pPr>
              <w:adjustRightInd w:val="0"/>
              <w:snapToGrid w:val="0"/>
              <w:spacing w:line="360" w:lineRule="auto"/>
              <w:ind w:firstLine="480" w:firstLineChars="200"/>
              <w:textAlignment w:val="baseline"/>
              <w:rPr>
                <w:snapToGrid w:val="0"/>
                <w:spacing w:val="4"/>
                <w:kern w:val="18"/>
                <w:sz w:val="24"/>
              </w:rPr>
            </w:pPr>
          </w:p>
        </w:tc>
      </w:tr>
    </w:tbl>
    <w:p>
      <w:pPr>
        <w:pStyle w:val="Title"/>
        <w:snapToGrid w:val="0"/>
        <w:spacing w:before="0" w:after="0"/>
        <w:rPr>
          <w:rFonts w:ascii="Times New Roman" w:hAnsi="Times New Roman"/>
        </w:rPr>
        <w:sectPr>
          <w:headerReference w:type="default" r:id="rId64"/>
          <w:footerReference w:type="even" r:id="rId65"/>
          <w:footerReference w:type="default" r:id="rId66"/>
          <w:type w:val="nextPage"/>
          <w:pgSz w:w="11906" w:h="16838"/>
          <w:pgMar w:top="1440" w:right="1469" w:bottom="1440" w:left="1797" w:header="851" w:footer="992" w:gutter="0"/>
          <w:pgNumType w:start="21"/>
          <w:cols w:space="708"/>
          <w:titlePg w:val="0"/>
          <w:docGrid w:type="lines" w:linePitch="312"/>
        </w:sectPr>
      </w:pPr>
    </w:p>
    <w:p>
      <w:pPr>
        <w:pStyle w:val="Title"/>
        <w:snapToGrid w:val="0"/>
        <w:spacing w:before="0" w:after="0"/>
        <w:ind w:left="-420" w:leftChars="-200"/>
        <w:rPr>
          <w:rFonts w:ascii="Times New Roman" w:hAnsi="Times New Roman"/>
        </w:rPr>
      </w:pPr>
      <w:r>
        <w:rPr>
          <w:rFonts w:ascii="Times New Roman" w:hAnsi="Times New Roman"/>
        </w:rPr>
        <w:t>五</w:t>
      </w:r>
      <w:r>
        <w:rPr>
          <w:rFonts w:ascii="Times New Roman" w:hAnsi="Times New Roman" w:hint="eastAsia"/>
          <w:lang w:eastAsia="zh-CN"/>
        </w:rPr>
        <w:t>、</w:t>
      </w:r>
      <w:r>
        <w:rPr>
          <w:rFonts w:ascii="Times New Roman" w:hAnsi="Times New Roman"/>
        </w:rPr>
        <w:t>建设项目工程分析</w:t>
      </w:r>
    </w:p>
    <w:tbl>
      <w:tblPr>
        <w:tblStyle w:val="TableNormal"/>
        <w:tblpPr w:leftFromText="180" w:rightFromText="180" w:vertAnchor="text" w:horzAnchor="margin" w:tblpXSpec="center" w:tblpX="1" w:tblpY="2"/>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91"/>
          <w:jc w:val="center"/>
        </w:trPr>
        <w:tc>
          <w:tcPr>
            <w:tcW w:w="8928" w:type="dxa"/>
            <w:tcBorders>
              <w:top w:val="single" w:sz="4" w:space="0" w:color="auto"/>
              <w:left w:val="single" w:sz="4" w:space="0" w:color="auto"/>
              <w:bottom w:val="single" w:sz="4" w:space="0" w:color="auto"/>
              <w:right w:val="single" w:sz="4" w:space="0" w:color="auto"/>
            </w:tcBorders>
          </w:tcPr>
          <w:p>
            <w:pPr>
              <w:adjustRightInd w:val="0"/>
              <w:spacing w:line="360" w:lineRule="auto"/>
              <w:rPr>
                <w:b/>
                <w:bCs/>
                <w:sz w:val="30"/>
                <w:szCs w:val="30"/>
              </w:rPr>
            </w:pPr>
            <w:r>
              <w:rPr>
                <w:b/>
                <w:bCs/>
                <w:sz w:val="30"/>
                <w:szCs w:val="30"/>
              </w:rPr>
              <w:t>工艺流程简述：</w:t>
            </w:r>
          </w:p>
          <w:p>
            <w:pPr>
              <w:snapToGrid w:val="0"/>
              <w:spacing w:line="360" w:lineRule="auto"/>
              <w:ind w:firstLine="480" w:firstLineChars="200"/>
              <w:rPr>
                <w:rFonts w:hint="eastAsia"/>
                <w:sz w:val="24"/>
              </w:rPr>
            </w:pPr>
            <w:r>
              <w:rPr>
                <w:rFonts w:hint="eastAsia"/>
                <w:sz w:val="24"/>
              </w:rPr>
              <w:t>本项目已完成土建及装修施工，其影响已基本结束，因此本次评价不对施工期环境影响进行分析。</w:t>
            </w:r>
          </w:p>
          <w:p>
            <w:pPr>
              <w:snapToGrid w:val="0"/>
              <w:spacing w:line="360" w:lineRule="auto"/>
              <w:rPr>
                <w:rFonts w:hint="eastAsia"/>
                <w:sz w:val="24"/>
              </w:rPr>
            </w:pPr>
            <w:r>
              <w:rPr>
                <w:rFonts w:hint="eastAsia"/>
                <w:sz w:val="24"/>
              </w:rPr>
              <w:t>（1）工艺流程图</w:t>
            </w:r>
          </w:p>
          <w:p>
            <w:pPr>
              <w:snapToGrid w:val="0"/>
              <w:spacing w:line="360" w:lineRule="auto"/>
              <w:jc w:val="center"/>
              <w:rPr>
                <w:rFonts w:hint="eastAsia"/>
                <w:sz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470.4pt;height:176.99pt;mso-position-horizontal-relative:page;mso-position-vertical-relative:page;mso-wrap-style:square" o:ole="" o:preferrelative="t" filled="f" stroked="f">
                  <v:stroke linestyle="single"/>
                  <v:imagedata r:id="rId67" o:title=""/>
                  <v:path o:extrusionok="f"/>
                  <o:lock v:ext="edit" aspectratio="t"/>
                </v:shape>
                <o:OLEObject Type="Embed" ProgID="Visio.Drawing.11" ShapeID="Object 1" DrawAspect="Content" ObjectID="_1234567890" r:id="rId68"/>
              </w:object>
            </w:r>
          </w:p>
          <w:p>
            <w:pPr>
              <w:adjustRightInd w:val="0"/>
              <w:snapToGrid w:val="0"/>
              <w:spacing w:line="360" w:lineRule="auto"/>
              <w:jc w:val="center"/>
              <w:rPr>
                <w:rFonts w:hint="eastAsia"/>
                <w:b/>
              </w:rPr>
            </w:pPr>
            <w:bookmarkStart w:id="0" w:name="_Ref277756530"/>
            <w:r>
              <w:rPr>
                <w:b/>
              </w:rPr>
              <w:t>图</w:t>
            </w:r>
            <w:bookmarkEnd w:id="0"/>
            <w:r>
              <w:rPr>
                <w:rFonts w:hint="eastAsia"/>
                <w:b/>
              </w:rPr>
              <w:t>1</w:t>
            </w:r>
            <w:r>
              <w:rPr>
                <w:b/>
              </w:rPr>
              <w:t>营运期工艺流程产污分析图</w:t>
            </w:r>
          </w:p>
          <w:p>
            <w:pPr>
              <w:adjustRightInd w:val="0"/>
              <w:snapToGrid w:val="0"/>
              <w:spacing w:line="360" w:lineRule="auto"/>
              <w:jc w:val="left"/>
              <w:rPr>
                <w:sz w:val="24"/>
              </w:rPr>
            </w:pPr>
            <w:r>
              <w:rPr>
                <w:rFonts w:hint="eastAsia"/>
                <w:sz w:val="24"/>
                <w:highlight w:val="yellow"/>
              </w:rPr>
              <w:t>（2）工艺流程简述：</w:t>
            </w:r>
            <w:r>
              <w:rPr>
                <w:rFonts w:hint="eastAsia"/>
                <w:bCs/>
                <w:sz w:val="24"/>
                <w:highlight w:val="yellow"/>
              </w:rPr>
              <w:t>（此部分涉及商业机密，不予公开）</w:t>
            </w:r>
          </w:p>
        </w:tc>
      </w:tr>
      <w:tr>
        <w:tblPrEx>
          <w:tblW w:w="9639" w:type="dxa"/>
          <w:jc w:val="center"/>
          <w:tblLayout w:type="fixed"/>
          <w:tblCellMar>
            <w:top w:w="0" w:type="dxa"/>
            <w:left w:w="108" w:type="dxa"/>
            <w:bottom w:w="0" w:type="dxa"/>
            <w:right w:w="108" w:type="dxa"/>
          </w:tblCellMar>
          <w:tblLook w:val="0000"/>
        </w:tblPrEx>
        <w:trPr>
          <w:trHeight w:val="4243"/>
          <w:jc w:val="center"/>
        </w:trPr>
        <w:tc>
          <w:tcPr>
            <w:tcW w:w="8928" w:type="dxa"/>
            <w:tcBorders>
              <w:top w:val="single" w:sz="4" w:space="0" w:color="auto"/>
              <w:left w:val="single" w:sz="4" w:space="0" w:color="auto"/>
              <w:bottom w:val="single" w:sz="4" w:space="0" w:color="auto"/>
              <w:right w:val="single" w:sz="4" w:space="0" w:color="auto"/>
            </w:tcBorders>
          </w:tcPr>
          <w:p>
            <w:pPr>
              <w:snapToGrid w:val="0"/>
              <w:spacing w:line="360" w:lineRule="auto"/>
              <w:rPr>
                <w:b/>
                <w:bCs/>
                <w:kern w:val="0"/>
                <w:sz w:val="28"/>
                <w:szCs w:val="28"/>
              </w:rPr>
            </w:pPr>
            <w:r>
              <w:rPr>
                <w:b/>
                <w:bCs/>
                <w:kern w:val="0"/>
                <w:sz w:val="28"/>
                <w:szCs w:val="28"/>
              </w:rPr>
              <w:t>主要污染工序：</w:t>
            </w:r>
          </w:p>
          <w:p>
            <w:pPr>
              <w:autoSpaceDE w:val="0"/>
              <w:autoSpaceDN w:val="0"/>
              <w:snapToGrid w:val="0"/>
              <w:spacing w:line="360" w:lineRule="auto"/>
              <w:ind w:firstLine="480" w:firstLineChars="200"/>
              <w:rPr>
                <w:sz w:val="24"/>
              </w:rPr>
            </w:pPr>
            <w:r>
              <w:rPr>
                <w:sz w:val="24"/>
              </w:rPr>
              <w:t>营运期主要污染工序及污染因子见表</w:t>
            </w:r>
            <w:r>
              <w:rPr>
                <w:rFonts w:hint="eastAsia"/>
                <w:sz w:val="24"/>
              </w:rPr>
              <w:t>5-1</w:t>
            </w:r>
            <w:r>
              <w:rPr>
                <w:sz w:val="24"/>
              </w:rPr>
              <w:t>。</w:t>
            </w:r>
          </w:p>
          <w:p>
            <w:pPr>
              <w:autoSpaceDE w:val="0"/>
              <w:autoSpaceDN w:val="0"/>
              <w:snapToGrid w:val="0"/>
              <w:spacing w:line="360" w:lineRule="auto"/>
              <w:jc w:val="center"/>
              <w:rPr>
                <w:b/>
                <w:szCs w:val="21"/>
              </w:rPr>
            </w:pPr>
            <w:r>
              <w:rPr>
                <w:b/>
                <w:szCs w:val="21"/>
              </w:rPr>
              <w:t>表</w:t>
            </w:r>
            <w:r>
              <w:rPr>
                <w:rFonts w:hint="eastAsia"/>
                <w:b/>
                <w:szCs w:val="21"/>
              </w:rPr>
              <w:t xml:space="preserve">5-1 </w:t>
            </w:r>
            <w:r>
              <w:rPr>
                <w:b/>
                <w:szCs w:val="21"/>
              </w:rPr>
              <w:t>营运期主要污染工序一览表</w:t>
            </w:r>
          </w:p>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6"/>
              <w:gridCol w:w="1276"/>
              <w:gridCol w:w="1701"/>
              <w:gridCol w:w="5533"/>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54"/>
              </w:trPr>
              <w:tc>
                <w:tcPr>
                  <w:tcW w:w="846" w:type="dxa"/>
                  <w:vAlign w:val="center"/>
                </w:tcPr>
                <w:p>
                  <w:pPr>
                    <w:autoSpaceDE w:val="0"/>
                    <w:autoSpaceDN w:val="0"/>
                    <w:jc w:val="center"/>
                    <w:rPr>
                      <w:szCs w:val="21"/>
                    </w:rPr>
                  </w:pPr>
                  <w:r>
                    <w:rPr>
                      <w:szCs w:val="21"/>
                    </w:rPr>
                    <w:t>时段</w:t>
                  </w:r>
                </w:p>
              </w:tc>
              <w:tc>
                <w:tcPr>
                  <w:tcW w:w="1276" w:type="dxa"/>
                  <w:vAlign w:val="center"/>
                </w:tcPr>
                <w:p>
                  <w:pPr>
                    <w:autoSpaceDE w:val="0"/>
                    <w:autoSpaceDN w:val="0"/>
                    <w:jc w:val="center"/>
                    <w:rPr>
                      <w:szCs w:val="21"/>
                    </w:rPr>
                  </w:pPr>
                  <w:r>
                    <w:rPr>
                      <w:szCs w:val="21"/>
                    </w:rPr>
                    <w:t>污染类别</w:t>
                  </w:r>
                </w:p>
              </w:tc>
              <w:tc>
                <w:tcPr>
                  <w:tcW w:w="1701" w:type="dxa"/>
                  <w:vAlign w:val="center"/>
                </w:tcPr>
                <w:p>
                  <w:pPr>
                    <w:autoSpaceDE w:val="0"/>
                    <w:autoSpaceDN w:val="0"/>
                    <w:jc w:val="center"/>
                    <w:rPr>
                      <w:szCs w:val="21"/>
                    </w:rPr>
                  </w:pPr>
                  <w:r>
                    <w:rPr>
                      <w:szCs w:val="21"/>
                    </w:rPr>
                    <w:t>污染源名称</w:t>
                  </w:r>
                </w:p>
              </w:tc>
              <w:tc>
                <w:tcPr>
                  <w:tcW w:w="5533" w:type="dxa"/>
                  <w:vAlign w:val="center"/>
                </w:tcPr>
                <w:p>
                  <w:pPr>
                    <w:autoSpaceDE w:val="0"/>
                    <w:autoSpaceDN w:val="0"/>
                    <w:jc w:val="center"/>
                    <w:rPr>
                      <w:szCs w:val="21"/>
                    </w:rPr>
                  </w:pPr>
                  <w:r>
                    <w:rPr>
                      <w:szCs w:val="21"/>
                    </w:rPr>
                    <w:t>主要污染因子</w:t>
                  </w:r>
                </w:p>
              </w:tc>
            </w:tr>
            <w:tr>
              <w:tblPrEx>
                <w:tblW w:w="9356" w:type="dxa"/>
                <w:tblInd w:w="113" w:type="dxa"/>
                <w:tblLayout w:type="fixed"/>
                <w:tblCellMar>
                  <w:top w:w="0" w:type="dxa"/>
                  <w:left w:w="108" w:type="dxa"/>
                  <w:bottom w:w="0" w:type="dxa"/>
                  <w:right w:w="108" w:type="dxa"/>
                </w:tblCellMar>
                <w:tblLook w:val="0000"/>
              </w:tblPrEx>
              <w:trPr>
                <w:trHeight w:val="189"/>
              </w:trPr>
              <w:tc>
                <w:tcPr>
                  <w:tcW w:w="846" w:type="dxa"/>
                  <w:vMerge w:val="restart"/>
                  <w:vAlign w:val="center"/>
                </w:tcPr>
                <w:p>
                  <w:pPr>
                    <w:autoSpaceDE w:val="0"/>
                    <w:autoSpaceDN w:val="0"/>
                    <w:jc w:val="center"/>
                    <w:rPr>
                      <w:szCs w:val="21"/>
                    </w:rPr>
                  </w:pPr>
                  <w:r>
                    <w:rPr>
                      <w:szCs w:val="21"/>
                    </w:rPr>
                    <w:t>营运期</w:t>
                  </w:r>
                </w:p>
              </w:tc>
              <w:tc>
                <w:tcPr>
                  <w:tcW w:w="1276" w:type="dxa"/>
                  <w:vAlign w:val="center"/>
                </w:tcPr>
                <w:p>
                  <w:pPr>
                    <w:autoSpaceDE w:val="0"/>
                    <w:autoSpaceDN w:val="0"/>
                    <w:jc w:val="center"/>
                    <w:rPr>
                      <w:szCs w:val="21"/>
                    </w:rPr>
                  </w:pPr>
                  <w:r>
                    <w:rPr>
                      <w:szCs w:val="21"/>
                    </w:rPr>
                    <w:t>废水</w:t>
                  </w:r>
                </w:p>
              </w:tc>
              <w:tc>
                <w:tcPr>
                  <w:tcW w:w="1701" w:type="dxa"/>
                  <w:vAlign w:val="center"/>
                </w:tcPr>
                <w:p>
                  <w:pPr>
                    <w:autoSpaceDE w:val="0"/>
                    <w:autoSpaceDN w:val="0"/>
                    <w:jc w:val="center"/>
                    <w:rPr>
                      <w:szCs w:val="21"/>
                    </w:rPr>
                  </w:pPr>
                  <w:r>
                    <w:rPr>
                      <w:szCs w:val="21"/>
                    </w:rPr>
                    <w:t>生活污水</w:t>
                  </w:r>
                </w:p>
              </w:tc>
              <w:tc>
                <w:tcPr>
                  <w:tcW w:w="5533" w:type="dxa"/>
                  <w:vAlign w:val="center"/>
                </w:tcPr>
                <w:p>
                  <w:pPr>
                    <w:autoSpaceDE w:val="0"/>
                    <w:autoSpaceDN w:val="0"/>
                    <w:jc w:val="center"/>
                    <w:rPr>
                      <w:szCs w:val="21"/>
                    </w:rPr>
                  </w:pPr>
                  <w:r>
                    <w:rPr>
                      <w:szCs w:val="21"/>
                    </w:rPr>
                    <w:t>COD</w:t>
                  </w:r>
                  <w:r>
                    <w:rPr>
                      <w:szCs w:val="21"/>
                      <w:vertAlign w:val="subscript"/>
                    </w:rPr>
                    <w:t>Cr</w:t>
                  </w:r>
                  <w:r>
                    <w:rPr>
                      <w:szCs w:val="21"/>
                    </w:rPr>
                    <w:t>、BOD</w:t>
                  </w:r>
                  <w:r>
                    <w:rPr>
                      <w:szCs w:val="21"/>
                      <w:vertAlign w:val="subscript"/>
                    </w:rPr>
                    <w:t>5</w:t>
                  </w:r>
                  <w:r>
                    <w:rPr>
                      <w:szCs w:val="21"/>
                    </w:rPr>
                    <w:t>、SS、NH</w:t>
                  </w:r>
                  <w:r>
                    <w:rPr>
                      <w:szCs w:val="21"/>
                      <w:vertAlign w:val="subscript"/>
                    </w:rPr>
                    <w:t>3</w:t>
                  </w:r>
                  <w:r>
                    <w:rPr>
                      <w:szCs w:val="21"/>
                    </w:rPr>
                    <w:t xml:space="preserve">-N </w:t>
                  </w:r>
                </w:p>
              </w:tc>
            </w:tr>
            <w:tr>
              <w:tblPrEx>
                <w:tblW w:w="9356" w:type="dxa"/>
                <w:tblInd w:w="113" w:type="dxa"/>
                <w:tblLayout w:type="fixed"/>
                <w:tblCellMar>
                  <w:top w:w="0" w:type="dxa"/>
                  <w:left w:w="108" w:type="dxa"/>
                  <w:bottom w:w="0" w:type="dxa"/>
                  <w:right w:w="108" w:type="dxa"/>
                </w:tblCellMar>
                <w:tblLook w:val="0000"/>
              </w:tblPrEx>
              <w:trPr>
                <w:trHeight w:val="189"/>
              </w:trPr>
              <w:tc>
                <w:tcPr>
                  <w:tcW w:w="846" w:type="dxa"/>
                  <w:vMerge/>
                  <w:vAlign w:val="center"/>
                </w:tcPr>
                <w:p>
                  <w:pPr>
                    <w:autoSpaceDE w:val="0"/>
                    <w:autoSpaceDN w:val="0"/>
                    <w:jc w:val="center"/>
                    <w:rPr>
                      <w:szCs w:val="21"/>
                    </w:rPr>
                  </w:pPr>
                </w:p>
              </w:tc>
              <w:tc>
                <w:tcPr>
                  <w:tcW w:w="1276" w:type="dxa"/>
                  <w:vMerge w:val="restart"/>
                  <w:vAlign w:val="center"/>
                </w:tcPr>
                <w:p>
                  <w:pPr>
                    <w:autoSpaceDE w:val="0"/>
                    <w:autoSpaceDN w:val="0"/>
                    <w:jc w:val="center"/>
                    <w:rPr>
                      <w:szCs w:val="21"/>
                    </w:rPr>
                  </w:pPr>
                  <w:r>
                    <w:rPr>
                      <w:szCs w:val="21"/>
                    </w:rPr>
                    <w:t>废气</w:t>
                  </w:r>
                </w:p>
              </w:tc>
              <w:tc>
                <w:tcPr>
                  <w:tcW w:w="1701" w:type="dxa"/>
                  <w:vAlign w:val="center"/>
                </w:tcPr>
                <w:p>
                  <w:pPr>
                    <w:autoSpaceDE w:val="0"/>
                    <w:autoSpaceDN w:val="0"/>
                    <w:jc w:val="center"/>
                    <w:rPr>
                      <w:szCs w:val="21"/>
                    </w:rPr>
                  </w:pPr>
                  <w:r>
                    <w:rPr>
                      <w:rFonts w:hint="eastAsia"/>
                      <w:szCs w:val="21"/>
                    </w:rPr>
                    <w:t>涂布</w:t>
                  </w:r>
                  <w:r>
                    <w:rPr>
                      <w:szCs w:val="21"/>
                    </w:rPr>
                    <w:t>过程</w:t>
                  </w:r>
                </w:p>
              </w:tc>
              <w:tc>
                <w:tcPr>
                  <w:tcW w:w="5533" w:type="dxa"/>
                  <w:vAlign w:val="center"/>
                </w:tcPr>
                <w:p>
                  <w:pPr>
                    <w:autoSpaceDE w:val="0"/>
                    <w:autoSpaceDN w:val="0"/>
                    <w:jc w:val="center"/>
                    <w:rPr>
                      <w:szCs w:val="21"/>
                    </w:rPr>
                  </w:pPr>
                  <w:r>
                    <w:rPr>
                      <w:rFonts w:hint="eastAsia"/>
                      <w:szCs w:val="21"/>
                    </w:rPr>
                    <w:t>VOC</w:t>
                  </w:r>
                  <w:r>
                    <w:rPr>
                      <w:rFonts w:hint="eastAsia"/>
                      <w:szCs w:val="21"/>
                      <w:vertAlign w:val="subscript"/>
                    </w:rPr>
                    <w:t>S</w:t>
                  </w:r>
                </w:p>
              </w:tc>
            </w:tr>
            <w:tr>
              <w:tblPrEx>
                <w:tblW w:w="9356" w:type="dxa"/>
                <w:tblInd w:w="113" w:type="dxa"/>
                <w:tblLayout w:type="fixed"/>
                <w:tblCellMar>
                  <w:top w:w="0" w:type="dxa"/>
                  <w:left w:w="108" w:type="dxa"/>
                  <w:bottom w:w="0" w:type="dxa"/>
                  <w:right w:w="108" w:type="dxa"/>
                </w:tblCellMar>
                <w:tblLook w:val="0000"/>
              </w:tblPrEx>
              <w:trPr>
                <w:trHeight w:val="189"/>
              </w:trPr>
              <w:tc>
                <w:tcPr>
                  <w:tcW w:w="846" w:type="dxa"/>
                  <w:vMerge/>
                  <w:vAlign w:val="center"/>
                </w:tcPr>
                <w:p>
                  <w:pPr>
                    <w:autoSpaceDE w:val="0"/>
                    <w:autoSpaceDN w:val="0"/>
                    <w:jc w:val="center"/>
                    <w:rPr>
                      <w:szCs w:val="21"/>
                    </w:rPr>
                  </w:pPr>
                </w:p>
              </w:tc>
              <w:tc>
                <w:tcPr>
                  <w:tcW w:w="1276" w:type="dxa"/>
                  <w:vMerge/>
                  <w:vAlign w:val="center"/>
                </w:tcPr>
                <w:p>
                  <w:pPr>
                    <w:autoSpaceDE w:val="0"/>
                    <w:autoSpaceDN w:val="0"/>
                    <w:jc w:val="center"/>
                    <w:rPr>
                      <w:szCs w:val="21"/>
                    </w:rPr>
                  </w:pPr>
                </w:p>
              </w:tc>
              <w:tc>
                <w:tcPr>
                  <w:tcW w:w="1701" w:type="dxa"/>
                  <w:vAlign w:val="center"/>
                </w:tcPr>
                <w:p>
                  <w:pPr>
                    <w:autoSpaceDE w:val="0"/>
                    <w:autoSpaceDN w:val="0"/>
                    <w:jc w:val="center"/>
                    <w:rPr>
                      <w:szCs w:val="21"/>
                    </w:rPr>
                  </w:pPr>
                  <w:r>
                    <w:rPr>
                      <w:rFonts w:hint="eastAsia"/>
                      <w:szCs w:val="21"/>
                    </w:rPr>
                    <w:t>RTO炉燃烧过程</w:t>
                  </w:r>
                </w:p>
              </w:tc>
              <w:tc>
                <w:tcPr>
                  <w:tcW w:w="5533" w:type="dxa"/>
                  <w:vAlign w:val="center"/>
                </w:tcPr>
                <w:p>
                  <w:pPr>
                    <w:autoSpaceDE w:val="0"/>
                    <w:autoSpaceDN w:val="0"/>
                    <w:jc w:val="center"/>
                    <w:rPr>
                      <w:rFonts w:hint="eastAsia"/>
                      <w:szCs w:val="21"/>
                    </w:rPr>
                  </w:pPr>
                  <w:r>
                    <w:rPr>
                      <w:rFonts w:hint="eastAsia"/>
                      <w:szCs w:val="21"/>
                    </w:rPr>
                    <w:t>SO</w:t>
                  </w:r>
                  <w:r>
                    <w:rPr>
                      <w:rFonts w:hint="eastAsia"/>
                      <w:szCs w:val="21"/>
                      <w:vertAlign w:val="subscript"/>
                    </w:rPr>
                    <w:t>2</w:t>
                  </w:r>
                  <w:r>
                    <w:rPr>
                      <w:rFonts w:hint="eastAsia"/>
                      <w:szCs w:val="21"/>
                    </w:rPr>
                    <w:t>、NOx、烟尘</w:t>
                  </w:r>
                </w:p>
              </w:tc>
            </w:tr>
            <w:tr>
              <w:tblPrEx>
                <w:tblW w:w="9356" w:type="dxa"/>
                <w:tblInd w:w="113" w:type="dxa"/>
                <w:tblLayout w:type="fixed"/>
                <w:tblCellMar>
                  <w:top w:w="0" w:type="dxa"/>
                  <w:left w:w="108" w:type="dxa"/>
                  <w:bottom w:w="0" w:type="dxa"/>
                  <w:right w:w="108" w:type="dxa"/>
                </w:tblCellMar>
                <w:tblLook w:val="0000"/>
              </w:tblPrEx>
              <w:trPr>
                <w:trHeight w:val="200"/>
              </w:trPr>
              <w:tc>
                <w:tcPr>
                  <w:tcW w:w="846" w:type="dxa"/>
                  <w:vMerge/>
                  <w:vAlign w:val="center"/>
                </w:tcPr>
                <w:p>
                  <w:pPr>
                    <w:autoSpaceDE w:val="0"/>
                    <w:autoSpaceDN w:val="0"/>
                    <w:jc w:val="center"/>
                    <w:rPr>
                      <w:szCs w:val="21"/>
                    </w:rPr>
                  </w:pPr>
                </w:p>
              </w:tc>
              <w:tc>
                <w:tcPr>
                  <w:tcW w:w="1276" w:type="dxa"/>
                  <w:vAlign w:val="center"/>
                </w:tcPr>
                <w:p>
                  <w:pPr>
                    <w:autoSpaceDE w:val="0"/>
                    <w:autoSpaceDN w:val="0"/>
                    <w:jc w:val="center"/>
                    <w:rPr>
                      <w:szCs w:val="21"/>
                    </w:rPr>
                  </w:pPr>
                  <w:r>
                    <w:rPr>
                      <w:szCs w:val="21"/>
                    </w:rPr>
                    <w:t>噪声</w:t>
                  </w:r>
                </w:p>
              </w:tc>
              <w:tc>
                <w:tcPr>
                  <w:tcW w:w="1701" w:type="dxa"/>
                  <w:vAlign w:val="center"/>
                </w:tcPr>
                <w:p>
                  <w:pPr>
                    <w:autoSpaceDE w:val="0"/>
                    <w:autoSpaceDN w:val="0"/>
                    <w:jc w:val="center"/>
                    <w:rPr>
                      <w:szCs w:val="21"/>
                    </w:rPr>
                  </w:pPr>
                  <w:r>
                    <w:rPr>
                      <w:szCs w:val="21"/>
                    </w:rPr>
                    <w:t>生产设备</w:t>
                  </w:r>
                </w:p>
              </w:tc>
              <w:tc>
                <w:tcPr>
                  <w:tcW w:w="5533" w:type="dxa"/>
                  <w:vAlign w:val="center"/>
                </w:tcPr>
                <w:p>
                  <w:pPr>
                    <w:autoSpaceDE w:val="0"/>
                    <w:autoSpaceDN w:val="0"/>
                    <w:jc w:val="center"/>
                    <w:rPr>
                      <w:szCs w:val="21"/>
                    </w:rPr>
                  </w:pPr>
                  <w:r>
                    <w:rPr>
                      <w:szCs w:val="21"/>
                    </w:rPr>
                    <w:t>机械噪声</w:t>
                  </w:r>
                </w:p>
              </w:tc>
            </w:tr>
            <w:tr>
              <w:tblPrEx>
                <w:tblW w:w="9356" w:type="dxa"/>
                <w:tblInd w:w="113" w:type="dxa"/>
                <w:tblLayout w:type="fixed"/>
                <w:tblCellMar>
                  <w:top w:w="0" w:type="dxa"/>
                  <w:left w:w="108" w:type="dxa"/>
                  <w:bottom w:w="0" w:type="dxa"/>
                  <w:right w:w="108" w:type="dxa"/>
                </w:tblCellMar>
                <w:tblLook w:val="0000"/>
              </w:tblPrEx>
              <w:trPr>
                <w:trHeight w:val="260"/>
              </w:trPr>
              <w:tc>
                <w:tcPr>
                  <w:tcW w:w="846" w:type="dxa"/>
                  <w:vMerge/>
                  <w:vAlign w:val="center"/>
                </w:tcPr>
                <w:p>
                  <w:pPr>
                    <w:autoSpaceDE w:val="0"/>
                    <w:autoSpaceDN w:val="0"/>
                    <w:jc w:val="center"/>
                    <w:rPr>
                      <w:szCs w:val="21"/>
                    </w:rPr>
                  </w:pPr>
                </w:p>
              </w:tc>
              <w:tc>
                <w:tcPr>
                  <w:tcW w:w="1276" w:type="dxa"/>
                  <w:vMerge w:val="restart"/>
                  <w:vAlign w:val="center"/>
                </w:tcPr>
                <w:p>
                  <w:pPr>
                    <w:autoSpaceDE w:val="0"/>
                    <w:autoSpaceDN w:val="0"/>
                    <w:jc w:val="center"/>
                    <w:rPr>
                      <w:szCs w:val="21"/>
                    </w:rPr>
                  </w:pPr>
                  <w:r>
                    <w:rPr>
                      <w:szCs w:val="21"/>
                    </w:rPr>
                    <w:t>固废</w:t>
                  </w:r>
                </w:p>
              </w:tc>
              <w:tc>
                <w:tcPr>
                  <w:tcW w:w="1701" w:type="dxa"/>
                  <w:vAlign w:val="center"/>
                </w:tcPr>
                <w:p>
                  <w:pPr>
                    <w:autoSpaceDE w:val="0"/>
                    <w:autoSpaceDN w:val="0"/>
                    <w:jc w:val="center"/>
                    <w:rPr>
                      <w:szCs w:val="21"/>
                    </w:rPr>
                  </w:pPr>
                  <w:r>
                    <w:rPr>
                      <w:szCs w:val="21"/>
                    </w:rPr>
                    <w:t>生产固废</w:t>
                  </w:r>
                </w:p>
              </w:tc>
              <w:tc>
                <w:tcPr>
                  <w:tcW w:w="5533" w:type="dxa"/>
                  <w:vAlign w:val="center"/>
                </w:tcPr>
                <w:p>
                  <w:pPr>
                    <w:autoSpaceDE w:val="0"/>
                    <w:autoSpaceDN w:val="0"/>
                    <w:jc w:val="center"/>
                    <w:rPr>
                      <w:szCs w:val="21"/>
                    </w:rPr>
                  </w:pPr>
                  <w:r>
                    <w:rPr>
                      <w:rFonts w:hint="eastAsia"/>
                      <w:szCs w:val="21"/>
                    </w:rPr>
                    <w:t>废包装、边角料、</w:t>
                  </w:r>
                  <w:r>
                    <w:rPr>
                      <w:szCs w:val="21"/>
                    </w:rPr>
                    <w:t>不合格产品</w:t>
                  </w:r>
                  <w:r>
                    <w:rPr>
                      <w:rFonts w:hint="eastAsia"/>
                      <w:szCs w:val="21"/>
                    </w:rPr>
                    <w:t>、</w:t>
                  </w:r>
                  <w:r>
                    <w:rPr>
                      <w:rFonts w:hint="eastAsia"/>
                    </w:rPr>
                    <w:t xml:space="preserve"> </w:t>
                  </w:r>
                  <w:r>
                    <w:rPr>
                      <w:rFonts w:hint="eastAsia"/>
                      <w:szCs w:val="21"/>
                    </w:rPr>
                    <w:t>涂布机清洗废抹布</w:t>
                  </w:r>
                </w:p>
              </w:tc>
            </w:tr>
            <w:tr>
              <w:tblPrEx>
                <w:tblW w:w="9356" w:type="dxa"/>
                <w:tblInd w:w="113" w:type="dxa"/>
                <w:tblLayout w:type="fixed"/>
                <w:tblCellMar>
                  <w:top w:w="0" w:type="dxa"/>
                  <w:left w:w="108" w:type="dxa"/>
                  <w:bottom w:w="0" w:type="dxa"/>
                  <w:right w:w="108" w:type="dxa"/>
                </w:tblCellMar>
                <w:tblLook w:val="0000"/>
              </w:tblPrEx>
              <w:trPr>
                <w:trHeight w:val="121"/>
              </w:trPr>
              <w:tc>
                <w:tcPr>
                  <w:tcW w:w="846" w:type="dxa"/>
                  <w:vMerge/>
                  <w:vAlign w:val="center"/>
                </w:tcPr>
                <w:p>
                  <w:pPr>
                    <w:autoSpaceDE w:val="0"/>
                    <w:autoSpaceDN w:val="0"/>
                    <w:jc w:val="center"/>
                    <w:rPr>
                      <w:szCs w:val="21"/>
                    </w:rPr>
                  </w:pPr>
                </w:p>
              </w:tc>
              <w:tc>
                <w:tcPr>
                  <w:tcW w:w="1276" w:type="dxa"/>
                  <w:vMerge/>
                  <w:vAlign w:val="center"/>
                </w:tcPr>
                <w:p>
                  <w:pPr>
                    <w:autoSpaceDE w:val="0"/>
                    <w:autoSpaceDN w:val="0"/>
                    <w:jc w:val="center"/>
                    <w:rPr>
                      <w:szCs w:val="21"/>
                    </w:rPr>
                  </w:pPr>
                </w:p>
              </w:tc>
              <w:tc>
                <w:tcPr>
                  <w:tcW w:w="1701" w:type="dxa"/>
                  <w:vAlign w:val="center"/>
                </w:tcPr>
                <w:p>
                  <w:pPr>
                    <w:autoSpaceDE w:val="0"/>
                    <w:autoSpaceDN w:val="0"/>
                    <w:jc w:val="center"/>
                    <w:rPr>
                      <w:szCs w:val="21"/>
                    </w:rPr>
                  </w:pPr>
                  <w:r>
                    <w:rPr>
                      <w:rFonts w:hint="eastAsia"/>
                      <w:szCs w:val="21"/>
                    </w:rPr>
                    <w:t>日常办公</w:t>
                  </w:r>
                </w:p>
              </w:tc>
              <w:tc>
                <w:tcPr>
                  <w:tcW w:w="5533" w:type="dxa"/>
                  <w:vAlign w:val="center"/>
                </w:tcPr>
                <w:p>
                  <w:pPr>
                    <w:autoSpaceDE w:val="0"/>
                    <w:autoSpaceDN w:val="0"/>
                    <w:jc w:val="center"/>
                    <w:rPr>
                      <w:szCs w:val="21"/>
                    </w:rPr>
                  </w:pPr>
                  <w:r>
                    <w:rPr>
                      <w:szCs w:val="21"/>
                    </w:rPr>
                    <w:t>生活垃圾</w:t>
                  </w:r>
                </w:p>
              </w:tc>
            </w:tr>
          </w:tbl>
          <w:p>
            <w:pPr>
              <w:adjustRightInd w:val="0"/>
              <w:spacing w:line="360" w:lineRule="auto"/>
              <w:rPr>
                <w:b/>
                <w:bCs/>
                <w:sz w:val="30"/>
                <w:szCs w:val="30"/>
              </w:rPr>
            </w:pPr>
          </w:p>
        </w:tc>
      </w:tr>
    </w:tbl>
    <w:p>
      <w:pPr>
        <w:rPr>
          <w:vanish/>
        </w:rPr>
      </w:pPr>
    </w:p>
    <w:p>
      <w:pPr>
        <w:snapToGrid w:val="0"/>
        <w:rPr>
          <w:vanish/>
        </w:rPr>
        <w:sectPr>
          <w:headerReference w:type="default" r:id="rId69"/>
          <w:footerReference w:type="even" r:id="rId70"/>
          <w:footerReference w:type="default" r:id="rId71"/>
          <w:pgSz w:w="11906" w:h="16838"/>
          <w:pgMar w:top="1440" w:right="1469" w:bottom="1440" w:left="1797" w:header="851" w:footer="992" w:gutter="0"/>
          <w:pgNumType w:start="22"/>
          <w:cols w:space="708"/>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60"/>
          <w:jc w:val="center"/>
        </w:trPr>
        <w:tc>
          <w:tcPr>
            <w:tcW w:w="8640" w:type="dxa"/>
            <w:tcBorders>
              <w:top w:val="single" w:sz="4" w:space="0" w:color="auto"/>
              <w:left w:val="single" w:sz="4" w:space="0" w:color="auto"/>
              <w:bottom w:val="single" w:sz="4" w:space="0" w:color="auto"/>
              <w:right w:val="single" w:sz="4" w:space="0" w:color="auto"/>
            </w:tcBorders>
          </w:tcPr>
          <w:p>
            <w:pPr>
              <w:spacing w:line="360" w:lineRule="auto"/>
              <w:rPr>
                <w:b/>
                <w:sz w:val="30"/>
                <w:szCs w:val="30"/>
              </w:rPr>
            </w:pPr>
            <w:r>
              <w:rPr>
                <w:b/>
                <w:sz w:val="30"/>
                <w:szCs w:val="30"/>
              </w:rPr>
              <w:t>主要污染</w:t>
            </w:r>
            <w:r>
              <w:rPr>
                <w:rFonts w:hint="eastAsia"/>
                <w:b/>
                <w:sz w:val="30"/>
                <w:szCs w:val="30"/>
              </w:rPr>
              <w:t>源强</w:t>
            </w:r>
            <w:r>
              <w:rPr>
                <w:b/>
                <w:sz w:val="30"/>
                <w:szCs w:val="30"/>
              </w:rPr>
              <w:t>分析：</w:t>
            </w:r>
          </w:p>
          <w:p>
            <w:pPr>
              <w:adjustRightInd w:val="0"/>
              <w:snapToGrid w:val="0"/>
              <w:spacing w:line="360" w:lineRule="auto"/>
              <w:ind w:firstLine="280" w:firstLineChars="100"/>
              <w:rPr>
                <w:b/>
                <w:sz w:val="28"/>
                <w:szCs w:val="28"/>
              </w:rPr>
            </w:pPr>
            <w:r>
              <w:rPr>
                <w:b/>
                <w:sz w:val="28"/>
                <w:szCs w:val="28"/>
              </w:rPr>
              <w:t>营运期主要污染</w:t>
            </w:r>
          </w:p>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1、废水</w:t>
            </w:r>
          </w:p>
          <w:p>
            <w:pPr>
              <w:adjustRightInd w:val="0"/>
              <w:snapToGrid w:val="0"/>
              <w:spacing w:line="360" w:lineRule="auto"/>
              <w:ind w:firstLine="480" w:firstLineChars="200"/>
              <w:rPr>
                <w:rFonts w:hint="eastAsia"/>
                <w:sz w:val="24"/>
              </w:rPr>
            </w:pPr>
            <w:r>
              <w:rPr>
                <w:rFonts w:hint="eastAsia"/>
                <w:sz w:val="24"/>
              </w:rPr>
              <w:t>本项目排水主要包括员工生活污水。</w:t>
            </w:r>
          </w:p>
          <w:p>
            <w:pPr>
              <w:adjustRightInd w:val="0"/>
              <w:snapToGrid w:val="0"/>
              <w:spacing w:line="360" w:lineRule="auto"/>
              <w:ind w:firstLine="480" w:firstLineChars="200"/>
              <w:rPr>
                <w:rFonts w:hint="eastAsia"/>
                <w:sz w:val="24"/>
              </w:rPr>
            </w:pPr>
            <w:r>
              <w:rPr>
                <w:rFonts w:hint="eastAsia"/>
                <w:sz w:val="24"/>
              </w:rPr>
              <w:t>本项目员工人数为1278人，年工作250天，本项目内不设置食堂、宿舍。根据《江西省城市生活用水定额》（GB36/T419-2011），项目工作人员按每人用水量50L/d计算，则用水量约为64t/d，合计为16000t/a。废水按80%的排放系数计算，其排放量为51.2t/d，合计为12800t/a。废水中的主要污染物为COD</w:t>
            </w:r>
            <w:r>
              <w:rPr>
                <w:rFonts w:hint="eastAsia"/>
                <w:sz w:val="24"/>
                <w:vertAlign w:val="subscript"/>
              </w:rPr>
              <w:t>Cr</w:t>
            </w:r>
            <w:r>
              <w:rPr>
                <w:rFonts w:hint="eastAsia"/>
                <w:sz w:val="24"/>
              </w:rPr>
              <w:t>、BOD</w:t>
            </w:r>
            <w:r>
              <w:rPr>
                <w:rFonts w:hint="eastAsia"/>
                <w:sz w:val="24"/>
                <w:vertAlign w:val="subscript"/>
              </w:rPr>
              <w:t>5</w:t>
            </w:r>
            <w:r>
              <w:rPr>
                <w:rFonts w:hint="eastAsia"/>
                <w:sz w:val="24"/>
              </w:rPr>
              <w:t>、SS、NH</w:t>
            </w:r>
            <w:r>
              <w:rPr>
                <w:rFonts w:hint="eastAsia"/>
                <w:sz w:val="24"/>
                <w:vertAlign w:val="subscript"/>
              </w:rPr>
              <w:t>3</w:t>
            </w:r>
            <w:r>
              <w:rPr>
                <w:rFonts w:hint="eastAsia"/>
                <w:sz w:val="24"/>
              </w:rPr>
              <w:t>-N，生活污水经化粪池处理后排入瑶湖污水处理厂处理。</w:t>
            </w:r>
          </w:p>
          <w:p>
            <w:pPr>
              <w:adjustRightInd w:val="0"/>
              <w:snapToGrid w:val="0"/>
              <w:spacing w:line="360" w:lineRule="auto"/>
              <w:ind w:firstLine="480" w:firstLineChars="200"/>
              <w:rPr>
                <w:rFonts w:hint="eastAsia"/>
                <w:sz w:val="24"/>
              </w:rPr>
            </w:pPr>
            <w:r>
              <w:rPr>
                <w:rFonts w:hint="eastAsia"/>
                <w:sz w:val="24"/>
              </w:rPr>
              <w:t>生活污水主要污染指标为COD</w:t>
            </w:r>
            <w:r>
              <w:rPr>
                <w:rFonts w:hint="eastAsia"/>
                <w:sz w:val="24"/>
                <w:vertAlign w:val="subscript"/>
              </w:rPr>
              <w:t>Cr</w:t>
            </w:r>
            <w:r>
              <w:rPr>
                <w:rFonts w:hint="eastAsia"/>
                <w:sz w:val="24"/>
              </w:rPr>
              <w:t>、BOD</w:t>
            </w:r>
            <w:r>
              <w:rPr>
                <w:rFonts w:hint="eastAsia"/>
                <w:sz w:val="24"/>
                <w:vertAlign w:val="subscript"/>
              </w:rPr>
              <w:t>5</w:t>
            </w:r>
            <w:r>
              <w:rPr>
                <w:rFonts w:hint="eastAsia"/>
                <w:sz w:val="24"/>
              </w:rPr>
              <w:t>、SS、氨氮，其产生浓度对应分别为250mg/l、100mg/l、150mg/L、25mg/L。</w:t>
            </w:r>
          </w:p>
          <w:p>
            <w:pPr>
              <w:pStyle w:val="20"/>
              <w:spacing w:line="360" w:lineRule="auto"/>
              <w:ind w:firstLine="480" w:firstLineChars="200"/>
              <w:jc w:val="left"/>
              <w:rPr>
                <w:rFonts w:hint="eastAsia"/>
                <w:szCs w:val="24"/>
              </w:rPr>
            </w:pPr>
            <w:r>
              <w:rPr>
                <w:rFonts w:hint="eastAsia"/>
                <w:szCs w:val="24"/>
              </w:rPr>
              <w:t>项目废水产排情况见表5-3。</w:t>
            </w:r>
          </w:p>
          <w:p>
            <w:pPr>
              <w:adjustRightInd w:val="0"/>
              <w:snapToGrid w:val="0"/>
              <w:spacing w:line="360" w:lineRule="auto"/>
              <w:ind w:firstLine="420" w:firstLineChars="200"/>
              <w:jc w:val="center"/>
              <w:textAlignment w:val="baseline"/>
              <w:rPr>
                <w:kern w:val="0"/>
                <w:szCs w:val="21"/>
              </w:rPr>
            </w:pPr>
            <w:r>
              <w:rPr>
                <w:b/>
                <w:kern w:val="0"/>
                <w:szCs w:val="21"/>
              </w:rPr>
              <w:t>表</w:t>
            </w:r>
            <w:r>
              <w:rPr>
                <w:rFonts w:hint="eastAsia"/>
                <w:b/>
                <w:kern w:val="0"/>
                <w:szCs w:val="21"/>
              </w:rPr>
              <w:t>5-3 项目</w:t>
            </w:r>
            <w:r>
              <w:rPr>
                <w:b/>
                <w:kern w:val="0"/>
                <w:szCs w:val="21"/>
              </w:rPr>
              <w:t>废水污染物产排情况表（单位：mg/L）</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7"/>
              <w:gridCol w:w="2624"/>
              <w:gridCol w:w="1203"/>
              <w:gridCol w:w="1276"/>
              <w:gridCol w:w="1276"/>
              <w:gridCol w:w="1200"/>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1"/>
                <w:jc w:val="center"/>
              </w:trPr>
              <w:tc>
                <w:tcPr>
                  <w:tcW w:w="4401" w:type="dxa"/>
                  <w:gridSpan w:val="2"/>
                  <w:vAlign w:val="center"/>
                </w:tcPr>
                <w:p>
                  <w:pPr>
                    <w:adjustRightInd w:val="0"/>
                    <w:snapToGrid w:val="0"/>
                    <w:jc w:val="center"/>
                    <w:textAlignment w:val="baseline"/>
                    <w:rPr>
                      <w:szCs w:val="21"/>
                    </w:rPr>
                  </w:pPr>
                  <w:r>
                    <w:rPr>
                      <w:szCs w:val="21"/>
                    </w:rPr>
                    <w:t>项目</w:t>
                  </w:r>
                </w:p>
              </w:tc>
              <w:tc>
                <w:tcPr>
                  <w:tcW w:w="1203" w:type="dxa"/>
                  <w:vAlign w:val="center"/>
                </w:tcPr>
                <w:p>
                  <w:pPr>
                    <w:adjustRightInd w:val="0"/>
                    <w:snapToGrid w:val="0"/>
                    <w:jc w:val="center"/>
                    <w:textAlignment w:val="baseline"/>
                    <w:rPr>
                      <w:szCs w:val="21"/>
                    </w:rPr>
                  </w:pPr>
                  <w:r>
                    <w:rPr>
                      <w:szCs w:val="21"/>
                    </w:rPr>
                    <w:t>COD</w:t>
                  </w:r>
                  <w:r>
                    <w:rPr>
                      <w:rFonts w:hint="eastAsia"/>
                      <w:szCs w:val="21"/>
                      <w:vertAlign w:val="subscript"/>
                    </w:rPr>
                    <w:t>Cr</w:t>
                  </w:r>
                </w:p>
              </w:tc>
              <w:tc>
                <w:tcPr>
                  <w:tcW w:w="1276" w:type="dxa"/>
                  <w:vAlign w:val="center"/>
                </w:tcPr>
                <w:p>
                  <w:pPr>
                    <w:adjustRightInd w:val="0"/>
                    <w:snapToGrid w:val="0"/>
                    <w:jc w:val="center"/>
                    <w:textAlignment w:val="baseline"/>
                    <w:rPr>
                      <w:szCs w:val="21"/>
                    </w:rPr>
                  </w:pPr>
                  <w:r>
                    <w:rPr>
                      <w:szCs w:val="21"/>
                    </w:rPr>
                    <w:t>BOD</w:t>
                  </w:r>
                  <w:r>
                    <w:rPr>
                      <w:szCs w:val="21"/>
                      <w:vertAlign w:val="subscript"/>
                    </w:rPr>
                    <w:t>5</w:t>
                  </w:r>
                </w:p>
              </w:tc>
              <w:tc>
                <w:tcPr>
                  <w:tcW w:w="1276" w:type="dxa"/>
                  <w:vAlign w:val="center"/>
                </w:tcPr>
                <w:p>
                  <w:pPr>
                    <w:adjustRightInd w:val="0"/>
                    <w:snapToGrid w:val="0"/>
                    <w:jc w:val="center"/>
                    <w:textAlignment w:val="baseline"/>
                    <w:rPr>
                      <w:szCs w:val="21"/>
                    </w:rPr>
                  </w:pPr>
                  <w:r>
                    <w:rPr>
                      <w:szCs w:val="21"/>
                    </w:rPr>
                    <w:t>SS</w:t>
                  </w:r>
                </w:p>
              </w:tc>
              <w:tc>
                <w:tcPr>
                  <w:tcW w:w="1200" w:type="dxa"/>
                  <w:vAlign w:val="center"/>
                </w:tcPr>
                <w:p>
                  <w:pPr>
                    <w:adjustRightInd w:val="0"/>
                    <w:snapToGrid w:val="0"/>
                    <w:jc w:val="center"/>
                    <w:textAlignment w:val="baseline"/>
                    <w:rPr>
                      <w:szCs w:val="21"/>
                    </w:rPr>
                  </w:pPr>
                  <w:r>
                    <w:rPr>
                      <w:szCs w:val="21"/>
                    </w:rPr>
                    <w:t>NH</w:t>
                  </w:r>
                  <w:r>
                    <w:rPr>
                      <w:szCs w:val="21"/>
                      <w:vertAlign w:val="subscript"/>
                    </w:rPr>
                    <w:t>3</w:t>
                  </w:r>
                  <w:r>
                    <w:rPr>
                      <w:szCs w:val="21"/>
                    </w:rPr>
                    <w:t>-N</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restart"/>
                  <w:vAlign w:val="center"/>
                </w:tcPr>
                <w:p>
                  <w:pPr>
                    <w:adjustRightInd w:val="0"/>
                    <w:snapToGrid w:val="0"/>
                    <w:jc w:val="center"/>
                    <w:textAlignment w:val="baseline"/>
                    <w:rPr>
                      <w:szCs w:val="21"/>
                    </w:rPr>
                  </w:pPr>
                  <w:r>
                    <w:rPr>
                      <w:rFonts w:hint="eastAsia"/>
                      <w:szCs w:val="21"/>
                    </w:rPr>
                    <w:t>生活污水12800</w:t>
                  </w:r>
                  <w:r>
                    <w:rPr>
                      <w:szCs w:val="21"/>
                    </w:rPr>
                    <w:t>m</w:t>
                  </w:r>
                  <w:r>
                    <w:rPr>
                      <w:szCs w:val="21"/>
                      <w:vertAlign w:val="superscript"/>
                    </w:rPr>
                    <w:t>3</w:t>
                  </w:r>
                  <w:r>
                    <w:rPr>
                      <w:szCs w:val="21"/>
                    </w:rPr>
                    <w:t>/a</w:t>
                  </w:r>
                </w:p>
              </w:tc>
              <w:tc>
                <w:tcPr>
                  <w:tcW w:w="2624" w:type="dxa"/>
                  <w:vAlign w:val="center"/>
                </w:tcPr>
                <w:p>
                  <w:pPr>
                    <w:adjustRightInd w:val="0"/>
                    <w:snapToGrid w:val="0"/>
                    <w:jc w:val="center"/>
                    <w:textAlignment w:val="baseline"/>
                    <w:rPr>
                      <w:szCs w:val="21"/>
                    </w:rPr>
                  </w:pPr>
                  <w:r>
                    <w:rPr>
                      <w:szCs w:val="21"/>
                    </w:rPr>
                    <w:t>产生浓度(mg/l)</w:t>
                  </w:r>
                </w:p>
              </w:tc>
              <w:tc>
                <w:tcPr>
                  <w:tcW w:w="1203" w:type="dxa"/>
                  <w:vAlign w:val="center"/>
                </w:tcPr>
                <w:p>
                  <w:pPr>
                    <w:widowControl/>
                    <w:adjustRightInd w:val="0"/>
                    <w:snapToGrid w:val="0"/>
                    <w:jc w:val="center"/>
                    <w:textAlignment w:val="center"/>
                    <w:rPr>
                      <w:szCs w:val="21"/>
                    </w:rPr>
                  </w:pPr>
                  <w:r>
                    <w:rPr>
                      <w:szCs w:val="21"/>
                    </w:rPr>
                    <w:t>250</w:t>
                  </w:r>
                </w:p>
              </w:tc>
              <w:tc>
                <w:tcPr>
                  <w:tcW w:w="1276" w:type="dxa"/>
                  <w:vAlign w:val="center"/>
                </w:tcPr>
                <w:p>
                  <w:pPr>
                    <w:widowControl/>
                    <w:adjustRightInd w:val="0"/>
                    <w:snapToGrid w:val="0"/>
                    <w:jc w:val="center"/>
                    <w:textAlignment w:val="center"/>
                    <w:rPr>
                      <w:szCs w:val="21"/>
                    </w:rPr>
                  </w:pPr>
                  <w:r>
                    <w:rPr>
                      <w:szCs w:val="21"/>
                    </w:rPr>
                    <w:t>100</w:t>
                  </w:r>
                </w:p>
              </w:tc>
              <w:tc>
                <w:tcPr>
                  <w:tcW w:w="1276" w:type="dxa"/>
                  <w:vAlign w:val="center"/>
                </w:tcPr>
                <w:p>
                  <w:pPr>
                    <w:widowControl/>
                    <w:adjustRightInd w:val="0"/>
                    <w:snapToGrid w:val="0"/>
                    <w:jc w:val="center"/>
                    <w:textAlignment w:val="center"/>
                    <w:rPr>
                      <w:szCs w:val="21"/>
                    </w:rPr>
                  </w:pPr>
                  <w:r>
                    <w:rPr>
                      <w:rFonts w:hint="eastAsia"/>
                      <w:szCs w:val="21"/>
                    </w:rPr>
                    <w:t>150</w:t>
                  </w:r>
                </w:p>
              </w:tc>
              <w:tc>
                <w:tcPr>
                  <w:tcW w:w="1200" w:type="dxa"/>
                  <w:vAlign w:val="center"/>
                </w:tcPr>
                <w:p>
                  <w:pPr>
                    <w:widowControl/>
                    <w:adjustRightInd w:val="0"/>
                    <w:snapToGrid w:val="0"/>
                    <w:jc w:val="center"/>
                    <w:textAlignment w:val="center"/>
                    <w:rPr>
                      <w:szCs w:val="21"/>
                    </w:rPr>
                  </w:pPr>
                  <w:r>
                    <w:rPr>
                      <w:rFonts w:hint="eastAsia"/>
                      <w:szCs w:val="21"/>
                    </w:rPr>
                    <w:t>25</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ign w:val="center"/>
                </w:tcPr>
                <w:p>
                  <w:pPr>
                    <w:adjustRightInd w:val="0"/>
                    <w:snapToGrid w:val="0"/>
                    <w:jc w:val="center"/>
                    <w:textAlignment w:val="baseline"/>
                    <w:rPr>
                      <w:szCs w:val="21"/>
                    </w:rPr>
                  </w:pPr>
                </w:p>
              </w:tc>
              <w:tc>
                <w:tcPr>
                  <w:tcW w:w="2624" w:type="dxa"/>
                  <w:vAlign w:val="center"/>
                </w:tcPr>
                <w:p>
                  <w:pPr>
                    <w:adjustRightInd w:val="0"/>
                    <w:snapToGrid w:val="0"/>
                    <w:jc w:val="center"/>
                    <w:textAlignment w:val="baseline"/>
                    <w:rPr>
                      <w:szCs w:val="21"/>
                    </w:rPr>
                  </w:pPr>
                  <w:r>
                    <w:rPr>
                      <w:szCs w:val="21"/>
                    </w:rPr>
                    <w:t>产生量（t/a）</w:t>
                  </w:r>
                </w:p>
              </w:tc>
              <w:tc>
                <w:tcPr>
                  <w:tcW w:w="1203" w:type="dxa"/>
                  <w:vAlign w:val="center"/>
                </w:tcPr>
                <w:p>
                  <w:pPr>
                    <w:widowControl/>
                    <w:adjustRightInd w:val="0"/>
                    <w:snapToGrid w:val="0"/>
                    <w:jc w:val="center"/>
                    <w:textAlignment w:val="center"/>
                    <w:rPr>
                      <w:szCs w:val="21"/>
                    </w:rPr>
                  </w:pPr>
                  <w:r>
                    <w:rPr>
                      <w:rFonts w:hint="eastAsia"/>
                      <w:szCs w:val="21"/>
                    </w:rPr>
                    <w:t>3.2</w:t>
                  </w:r>
                </w:p>
              </w:tc>
              <w:tc>
                <w:tcPr>
                  <w:tcW w:w="1276" w:type="dxa"/>
                  <w:vAlign w:val="center"/>
                </w:tcPr>
                <w:p>
                  <w:pPr>
                    <w:widowControl/>
                    <w:adjustRightInd w:val="0"/>
                    <w:snapToGrid w:val="0"/>
                    <w:jc w:val="center"/>
                    <w:textAlignment w:val="center"/>
                    <w:rPr>
                      <w:szCs w:val="21"/>
                    </w:rPr>
                  </w:pPr>
                  <w:r>
                    <w:rPr>
                      <w:rFonts w:hint="eastAsia"/>
                      <w:szCs w:val="21"/>
                    </w:rPr>
                    <w:t>1.3</w:t>
                  </w:r>
                </w:p>
              </w:tc>
              <w:tc>
                <w:tcPr>
                  <w:tcW w:w="1276" w:type="dxa"/>
                  <w:vAlign w:val="center"/>
                </w:tcPr>
                <w:p>
                  <w:pPr>
                    <w:widowControl/>
                    <w:adjustRightInd w:val="0"/>
                    <w:snapToGrid w:val="0"/>
                    <w:jc w:val="center"/>
                    <w:textAlignment w:val="center"/>
                    <w:rPr>
                      <w:szCs w:val="21"/>
                    </w:rPr>
                  </w:pPr>
                  <w:r>
                    <w:rPr>
                      <w:rFonts w:hint="eastAsia"/>
                      <w:szCs w:val="21"/>
                    </w:rPr>
                    <w:t>1.9</w:t>
                  </w:r>
                </w:p>
              </w:tc>
              <w:tc>
                <w:tcPr>
                  <w:tcW w:w="1200" w:type="dxa"/>
                  <w:vAlign w:val="center"/>
                </w:tcPr>
                <w:p>
                  <w:pPr>
                    <w:widowControl/>
                    <w:adjustRightInd w:val="0"/>
                    <w:snapToGrid w:val="0"/>
                    <w:jc w:val="center"/>
                    <w:textAlignment w:val="center"/>
                    <w:rPr>
                      <w:szCs w:val="21"/>
                    </w:rPr>
                  </w:pPr>
                  <w:r>
                    <w:rPr>
                      <w:rFonts w:hint="eastAsia"/>
                      <w:szCs w:val="21"/>
                    </w:rPr>
                    <w:t>0.32</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ign w:val="center"/>
                </w:tcPr>
                <w:p>
                  <w:pPr>
                    <w:adjustRightInd w:val="0"/>
                    <w:snapToGrid w:val="0"/>
                    <w:jc w:val="center"/>
                    <w:textAlignment w:val="baseline"/>
                    <w:rPr>
                      <w:szCs w:val="21"/>
                    </w:rPr>
                  </w:pPr>
                </w:p>
              </w:tc>
              <w:tc>
                <w:tcPr>
                  <w:tcW w:w="2624" w:type="dxa"/>
                  <w:vAlign w:val="center"/>
                </w:tcPr>
                <w:p>
                  <w:pPr>
                    <w:adjustRightInd w:val="0"/>
                    <w:snapToGrid w:val="0"/>
                    <w:jc w:val="center"/>
                    <w:textAlignment w:val="baseline"/>
                    <w:rPr>
                      <w:szCs w:val="21"/>
                    </w:rPr>
                  </w:pPr>
                  <w:r>
                    <w:rPr>
                      <w:szCs w:val="21"/>
                    </w:rPr>
                    <w:t>治理措施</w:t>
                  </w:r>
                </w:p>
              </w:tc>
              <w:tc>
                <w:tcPr>
                  <w:tcW w:w="4955" w:type="dxa"/>
                  <w:gridSpan w:val="4"/>
                  <w:vAlign w:val="center"/>
                </w:tcPr>
                <w:p>
                  <w:pPr>
                    <w:widowControl/>
                    <w:adjustRightInd w:val="0"/>
                    <w:snapToGrid w:val="0"/>
                    <w:jc w:val="center"/>
                    <w:textAlignment w:val="center"/>
                    <w:rPr>
                      <w:szCs w:val="21"/>
                    </w:rPr>
                  </w:pPr>
                  <w:r>
                    <w:rPr>
                      <w:rFonts w:hint="eastAsia"/>
                      <w:szCs w:val="21"/>
                    </w:rPr>
                    <w:t>化粪池</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ign w:val="center"/>
                </w:tcPr>
                <w:p>
                  <w:pPr>
                    <w:adjustRightInd w:val="0"/>
                    <w:snapToGrid w:val="0"/>
                    <w:jc w:val="center"/>
                    <w:textAlignment w:val="baseline"/>
                    <w:rPr>
                      <w:szCs w:val="21"/>
                    </w:rPr>
                  </w:pPr>
                </w:p>
              </w:tc>
              <w:tc>
                <w:tcPr>
                  <w:tcW w:w="2624" w:type="dxa"/>
                  <w:vAlign w:val="center"/>
                </w:tcPr>
                <w:p>
                  <w:pPr>
                    <w:adjustRightInd w:val="0"/>
                    <w:snapToGrid w:val="0"/>
                    <w:jc w:val="center"/>
                    <w:textAlignment w:val="baseline"/>
                    <w:rPr>
                      <w:szCs w:val="21"/>
                    </w:rPr>
                  </w:pPr>
                  <w:r>
                    <w:rPr>
                      <w:szCs w:val="21"/>
                    </w:rPr>
                    <w:t>去除效率</w:t>
                  </w:r>
                </w:p>
              </w:tc>
              <w:tc>
                <w:tcPr>
                  <w:tcW w:w="1203" w:type="dxa"/>
                  <w:vAlign w:val="center"/>
                </w:tcPr>
                <w:p>
                  <w:pPr>
                    <w:widowControl/>
                    <w:adjustRightInd w:val="0"/>
                    <w:snapToGrid w:val="0"/>
                    <w:jc w:val="center"/>
                    <w:textAlignment w:val="center"/>
                    <w:rPr>
                      <w:szCs w:val="21"/>
                    </w:rPr>
                  </w:pPr>
                  <w:r>
                    <w:rPr>
                      <w:rFonts w:hint="eastAsia"/>
                      <w:szCs w:val="21"/>
                    </w:rPr>
                    <w:t>30</w:t>
                  </w:r>
                  <w:r>
                    <w:rPr>
                      <w:szCs w:val="21"/>
                    </w:rPr>
                    <w:t>%</w:t>
                  </w:r>
                </w:p>
              </w:tc>
              <w:tc>
                <w:tcPr>
                  <w:tcW w:w="1276" w:type="dxa"/>
                  <w:vAlign w:val="center"/>
                </w:tcPr>
                <w:p>
                  <w:pPr>
                    <w:widowControl/>
                    <w:adjustRightInd w:val="0"/>
                    <w:snapToGrid w:val="0"/>
                    <w:jc w:val="center"/>
                    <w:textAlignment w:val="center"/>
                    <w:rPr>
                      <w:szCs w:val="21"/>
                    </w:rPr>
                  </w:pPr>
                  <w:r>
                    <w:rPr>
                      <w:rFonts w:hint="eastAsia"/>
                      <w:szCs w:val="21"/>
                    </w:rPr>
                    <w:t>20</w:t>
                  </w:r>
                  <w:r>
                    <w:rPr>
                      <w:szCs w:val="21"/>
                    </w:rPr>
                    <w:t>%</w:t>
                  </w:r>
                </w:p>
              </w:tc>
              <w:tc>
                <w:tcPr>
                  <w:tcW w:w="1276" w:type="dxa"/>
                  <w:vAlign w:val="center"/>
                </w:tcPr>
                <w:p>
                  <w:pPr>
                    <w:widowControl/>
                    <w:adjustRightInd w:val="0"/>
                    <w:snapToGrid w:val="0"/>
                    <w:jc w:val="center"/>
                    <w:textAlignment w:val="center"/>
                    <w:rPr>
                      <w:szCs w:val="21"/>
                    </w:rPr>
                  </w:pPr>
                  <w:r>
                    <w:rPr>
                      <w:rFonts w:hint="eastAsia"/>
                      <w:szCs w:val="21"/>
                    </w:rPr>
                    <w:t>50</w:t>
                  </w:r>
                  <w:r>
                    <w:rPr>
                      <w:szCs w:val="21"/>
                    </w:rPr>
                    <w:t>%</w:t>
                  </w:r>
                </w:p>
              </w:tc>
              <w:tc>
                <w:tcPr>
                  <w:tcW w:w="1200" w:type="dxa"/>
                  <w:vAlign w:val="center"/>
                </w:tcPr>
                <w:p>
                  <w:pPr>
                    <w:widowControl/>
                    <w:adjustRightInd w:val="0"/>
                    <w:snapToGrid w:val="0"/>
                    <w:jc w:val="center"/>
                    <w:textAlignment w:val="center"/>
                    <w:rPr>
                      <w:szCs w:val="21"/>
                    </w:rPr>
                  </w:pPr>
                  <w:r>
                    <w:rPr>
                      <w:rFonts w:hint="eastAsia"/>
                      <w:szCs w:val="21"/>
                    </w:rPr>
                    <w:t>2</w:t>
                  </w:r>
                  <w:r>
                    <w:rPr>
                      <w:szCs w:val="21"/>
                    </w:rPr>
                    <w:t>0%</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ign w:val="center"/>
                </w:tcPr>
                <w:p>
                  <w:pPr>
                    <w:adjustRightInd w:val="0"/>
                    <w:snapToGrid w:val="0"/>
                    <w:jc w:val="center"/>
                    <w:textAlignment w:val="baseline"/>
                    <w:rPr>
                      <w:szCs w:val="21"/>
                    </w:rPr>
                  </w:pPr>
                </w:p>
              </w:tc>
              <w:tc>
                <w:tcPr>
                  <w:tcW w:w="2624" w:type="dxa"/>
                  <w:vAlign w:val="center"/>
                </w:tcPr>
                <w:p>
                  <w:pPr>
                    <w:adjustRightInd w:val="0"/>
                    <w:snapToGrid w:val="0"/>
                    <w:jc w:val="center"/>
                    <w:textAlignment w:val="baseline"/>
                    <w:rPr>
                      <w:szCs w:val="21"/>
                    </w:rPr>
                  </w:pPr>
                  <w:r>
                    <w:rPr>
                      <w:szCs w:val="21"/>
                    </w:rPr>
                    <w:t>排放浓度(mg/l)</w:t>
                  </w:r>
                </w:p>
              </w:tc>
              <w:tc>
                <w:tcPr>
                  <w:tcW w:w="1203" w:type="dxa"/>
                  <w:vAlign w:val="center"/>
                </w:tcPr>
                <w:p>
                  <w:pPr>
                    <w:widowControl/>
                    <w:adjustRightInd w:val="0"/>
                    <w:snapToGrid w:val="0"/>
                    <w:jc w:val="center"/>
                    <w:textAlignment w:val="center"/>
                    <w:rPr>
                      <w:rFonts w:hint="eastAsia"/>
                      <w:szCs w:val="21"/>
                    </w:rPr>
                  </w:pPr>
                  <w:r>
                    <w:rPr>
                      <w:rFonts w:hint="eastAsia"/>
                      <w:szCs w:val="21"/>
                    </w:rPr>
                    <w:t>175</w:t>
                  </w:r>
                </w:p>
              </w:tc>
              <w:tc>
                <w:tcPr>
                  <w:tcW w:w="1276" w:type="dxa"/>
                  <w:vAlign w:val="center"/>
                </w:tcPr>
                <w:p>
                  <w:pPr>
                    <w:widowControl/>
                    <w:adjustRightInd w:val="0"/>
                    <w:snapToGrid w:val="0"/>
                    <w:jc w:val="center"/>
                    <w:textAlignment w:val="center"/>
                    <w:rPr>
                      <w:rFonts w:hint="eastAsia"/>
                      <w:szCs w:val="21"/>
                    </w:rPr>
                  </w:pPr>
                  <w:r>
                    <w:rPr>
                      <w:rFonts w:hint="eastAsia"/>
                      <w:szCs w:val="21"/>
                    </w:rPr>
                    <w:t>80</w:t>
                  </w:r>
                </w:p>
              </w:tc>
              <w:tc>
                <w:tcPr>
                  <w:tcW w:w="1276" w:type="dxa"/>
                  <w:vAlign w:val="center"/>
                </w:tcPr>
                <w:p>
                  <w:pPr>
                    <w:widowControl/>
                    <w:adjustRightInd w:val="0"/>
                    <w:snapToGrid w:val="0"/>
                    <w:jc w:val="center"/>
                    <w:textAlignment w:val="center"/>
                    <w:rPr>
                      <w:rFonts w:hint="eastAsia"/>
                      <w:szCs w:val="21"/>
                    </w:rPr>
                  </w:pPr>
                  <w:r>
                    <w:rPr>
                      <w:rFonts w:hint="eastAsia"/>
                      <w:szCs w:val="21"/>
                    </w:rPr>
                    <w:t>75</w:t>
                  </w:r>
                </w:p>
              </w:tc>
              <w:tc>
                <w:tcPr>
                  <w:tcW w:w="1200" w:type="dxa"/>
                  <w:vAlign w:val="center"/>
                </w:tcPr>
                <w:p>
                  <w:pPr>
                    <w:widowControl/>
                    <w:adjustRightInd w:val="0"/>
                    <w:snapToGrid w:val="0"/>
                    <w:jc w:val="center"/>
                    <w:textAlignment w:val="center"/>
                    <w:rPr>
                      <w:rFonts w:hint="eastAsia"/>
                      <w:szCs w:val="21"/>
                    </w:rPr>
                  </w:pPr>
                  <w:r>
                    <w:rPr>
                      <w:rFonts w:hint="eastAsia"/>
                      <w:szCs w:val="21"/>
                    </w:rPr>
                    <w:t>20</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1777" w:type="dxa"/>
                  <w:vMerge/>
                  <w:vAlign w:val="center"/>
                </w:tcPr>
                <w:p>
                  <w:pPr>
                    <w:adjustRightInd w:val="0"/>
                    <w:snapToGrid w:val="0"/>
                    <w:jc w:val="center"/>
                    <w:textAlignment w:val="baseline"/>
                    <w:rPr>
                      <w:szCs w:val="21"/>
                    </w:rPr>
                  </w:pPr>
                </w:p>
              </w:tc>
              <w:tc>
                <w:tcPr>
                  <w:tcW w:w="2624" w:type="dxa"/>
                  <w:vAlign w:val="center"/>
                </w:tcPr>
                <w:p>
                  <w:pPr>
                    <w:adjustRightInd w:val="0"/>
                    <w:snapToGrid w:val="0"/>
                    <w:jc w:val="center"/>
                    <w:textAlignment w:val="baseline"/>
                    <w:rPr>
                      <w:szCs w:val="21"/>
                    </w:rPr>
                  </w:pPr>
                  <w:r>
                    <w:rPr>
                      <w:szCs w:val="21"/>
                    </w:rPr>
                    <w:t>排放量（t/a）</w:t>
                  </w:r>
                </w:p>
              </w:tc>
              <w:tc>
                <w:tcPr>
                  <w:tcW w:w="1203" w:type="dxa"/>
                  <w:vAlign w:val="center"/>
                </w:tcPr>
                <w:p>
                  <w:pPr>
                    <w:widowControl/>
                    <w:adjustRightInd w:val="0"/>
                    <w:snapToGrid w:val="0"/>
                    <w:jc w:val="center"/>
                    <w:textAlignment w:val="center"/>
                    <w:rPr>
                      <w:rFonts w:hint="eastAsia"/>
                      <w:szCs w:val="21"/>
                    </w:rPr>
                  </w:pPr>
                  <w:r>
                    <w:rPr>
                      <w:rFonts w:hint="eastAsia"/>
                      <w:szCs w:val="21"/>
                    </w:rPr>
                    <w:t>2.2</w:t>
                  </w:r>
                </w:p>
              </w:tc>
              <w:tc>
                <w:tcPr>
                  <w:tcW w:w="1276" w:type="dxa"/>
                  <w:vAlign w:val="center"/>
                </w:tcPr>
                <w:p>
                  <w:pPr>
                    <w:widowControl/>
                    <w:adjustRightInd w:val="0"/>
                    <w:snapToGrid w:val="0"/>
                    <w:jc w:val="center"/>
                    <w:textAlignment w:val="center"/>
                    <w:rPr>
                      <w:rFonts w:hint="eastAsia"/>
                      <w:szCs w:val="21"/>
                    </w:rPr>
                  </w:pPr>
                  <w:r>
                    <w:rPr>
                      <w:rFonts w:hint="eastAsia"/>
                      <w:szCs w:val="21"/>
                    </w:rPr>
                    <w:t>1.0</w:t>
                  </w:r>
                </w:p>
              </w:tc>
              <w:tc>
                <w:tcPr>
                  <w:tcW w:w="1276" w:type="dxa"/>
                  <w:vAlign w:val="center"/>
                </w:tcPr>
                <w:p>
                  <w:pPr>
                    <w:widowControl/>
                    <w:adjustRightInd w:val="0"/>
                    <w:snapToGrid w:val="0"/>
                    <w:jc w:val="center"/>
                    <w:textAlignment w:val="center"/>
                    <w:rPr>
                      <w:rFonts w:hint="eastAsia"/>
                      <w:szCs w:val="21"/>
                    </w:rPr>
                  </w:pPr>
                  <w:r>
                    <w:rPr>
                      <w:rFonts w:hint="eastAsia"/>
                      <w:szCs w:val="21"/>
                    </w:rPr>
                    <w:t>0.96</w:t>
                  </w:r>
                </w:p>
              </w:tc>
              <w:tc>
                <w:tcPr>
                  <w:tcW w:w="1200" w:type="dxa"/>
                  <w:vAlign w:val="center"/>
                </w:tcPr>
                <w:p>
                  <w:pPr>
                    <w:widowControl/>
                    <w:adjustRightInd w:val="0"/>
                    <w:snapToGrid w:val="0"/>
                    <w:jc w:val="center"/>
                    <w:textAlignment w:val="center"/>
                    <w:rPr>
                      <w:rFonts w:hint="eastAsia"/>
                      <w:szCs w:val="21"/>
                    </w:rPr>
                  </w:pPr>
                  <w:r>
                    <w:rPr>
                      <w:rFonts w:hint="eastAsia"/>
                      <w:szCs w:val="21"/>
                    </w:rPr>
                    <w:t>0.26</w:t>
                  </w:r>
                </w:p>
              </w:tc>
            </w:tr>
            <w:tr>
              <w:tblPrEx>
                <w:tblW w:w="9356" w:type="dxa"/>
                <w:jc w:val="center"/>
                <w:tblInd w:w="113" w:type="dxa"/>
                <w:tblLayout w:type="fixed"/>
                <w:tblCellMar>
                  <w:top w:w="0" w:type="dxa"/>
                  <w:left w:w="108" w:type="dxa"/>
                  <w:bottom w:w="0" w:type="dxa"/>
                  <w:right w:w="108" w:type="dxa"/>
                </w:tblCellMar>
                <w:tblLook w:val="0000"/>
              </w:tblPrEx>
              <w:trPr>
                <w:trHeight w:val="286"/>
                <w:jc w:val="center"/>
              </w:trPr>
              <w:tc>
                <w:tcPr>
                  <w:tcW w:w="4401" w:type="dxa"/>
                  <w:gridSpan w:val="2"/>
                  <w:vAlign w:val="center"/>
                </w:tcPr>
                <w:p>
                  <w:pPr>
                    <w:adjustRightInd w:val="0"/>
                    <w:snapToGrid w:val="0"/>
                    <w:jc w:val="center"/>
                    <w:textAlignment w:val="baseline"/>
                    <w:rPr>
                      <w:szCs w:val="21"/>
                    </w:rPr>
                  </w:pPr>
                  <w:r>
                    <w:rPr>
                      <w:rFonts w:hint="eastAsia"/>
                      <w:bCs/>
                      <w:kern w:val="0"/>
                      <w:szCs w:val="21"/>
                    </w:rPr>
                    <w:t>瑶湖</w:t>
                  </w:r>
                  <w:r>
                    <w:rPr>
                      <w:bCs/>
                      <w:kern w:val="0"/>
                      <w:szCs w:val="21"/>
                    </w:rPr>
                    <w:t>污水处理厂接管标准</w:t>
                  </w:r>
                </w:p>
              </w:tc>
              <w:tc>
                <w:tcPr>
                  <w:tcW w:w="1203" w:type="dxa"/>
                  <w:vAlign w:val="center"/>
                </w:tcPr>
                <w:p>
                  <w:pPr>
                    <w:widowControl/>
                    <w:adjustRightInd w:val="0"/>
                    <w:snapToGrid w:val="0"/>
                    <w:jc w:val="center"/>
                    <w:textAlignment w:val="center"/>
                    <w:rPr>
                      <w:szCs w:val="21"/>
                    </w:rPr>
                  </w:pPr>
                  <w:r>
                    <w:rPr>
                      <w:rFonts w:hint="eastAsia"/>
                      <w:szCs w:val="21"/>
                    </w:rPr>
                    <w:t>300</w:t>
                  </w:r>
                </w:p>
              </w:tc>
              <w:tc>
                <w:tcPr>
                  <w:tcW w:w="1276" w:type="dxa"/>
                  <w:vAlign w:val="center"/>
                </w:tcPr>
                <w:p>
                  <w:pPr>
                    <w:widowControl/>
                    <w:adjustRightInd w:val="0"/>
                    <w:snapToGrid w:val="0"/>
                    <w:jc w:val="center"/>
                    <w:textAlignment w:val="center"/>
                    <w:rPr>
                      <w:szCs w:val="21"/>
                    </w:rPr>
                  </w:pPr>
                  <w:r>
                    <w:rPr>
                      <w:rFonts w:hint="eastAsia"/>
                      <w:szCs w:val="21"/>
                    </w:rPr>
                    <w:t>160</w:t>
                  </w:r>
                </w:p>
              </w:tc>
              <w:tc>
                <w:tcPr>
                  <w:tcW w:w="1276" w:type="dxa"/>
                  <w:vAlign w:val="center"/>
                </w:tcPr>
                <w:p>
                  <w:pPr>
                    <w:widowControl/>
                    <w:adjustRightInd w:val="0"/>
                    <w:snapToGrid w:val="0"/>
                    <w:jc w:val="center"/>
                    <w:textAlignment w:val="center"/>
                    <w:rPr>
                      <w:szCs w:val="21"/>
                    </w:rPr>
                  </w:pPr>
                  <w:r>
                    <w:rPr>
                      <w:rFonts w:hint="eastAsia"/>
                      <w:szCs w:val="21"/>
                    </w:rPr>
                    <w:t>200</w:t>
                  </w:r>
                </w:p>
              </w:tc>
              <w:tc>
                <w:tcPr>
                  <w:tcW w:w="1200" w:type="dxa"/>
                  <w:vAlign w:val="center"/>
                </w:tcPr>
                <w:p>
                  <w:pPr>
                    <w:widowControl/>
                    <w:adjustRightInd w:val="0"/>
                    <w:snapToGrid w:val="0"/>
                    <w:jc w:val="center"/>
                    <w:textAlignment w:val="center"/>
                    <w:rPr>
                      <w:szCs w:val="21"/>
                    </w:rPr>
                  </w:pPr>
                  <w:r>
                    <w:rPr>
                      <w:rFonts w:hint="eastAsia"/>
                      <w:szCs w:val="21"/>
                    </w:rPr>
                    <w:t>30</w:t>
                  </w:r>
                </w:p>
              </w:tc>
            </w:tr>
          </w:tbl>
          <w:p>
            <w:pPr>
              <w:snapToGrid w:val="0"/>
              <w:spacing w:line="360" w:lineRule="auto"/>
              <w:ind w:firstLine="480" w:firstLineChars="200"/>
              <w:rPr>
                <w:kern w:val="0"/>
                <w:sz w:val="24"/>
                <w:szCs w:val="20"/>
              </w:rPr>
            </w:pPr>
            <w:r>
              <w:rPr>
                <w:kern w:val="0"/>
                <w:sz w:val="24"/>
                <w:szCs w:val="20"/>
              </w:rPr>
              <w:t>由表</w:t>
            </w:r>
            <w:r>
              <w:rPr>
                <w:rFonts w:hint="eastAsia"/>
                <w:kern w:val="0"/>
                <w:sz w:val="24"/>
                <w:szCs w:val="20"/>
              </w:rPr>
              <w:t>5-3</w:t>
            </w:r>
            <w:r>
              <w:rPr>
                <w:kern w:val="0"/>
                <w:sz w:val="24"/>
                <w:szCs w:val="20"/>
              </w:rPr>
              <w:t>可知，本项目</w:t>
            </w:r>
            <w:r>
              <w:rPr>
                <w:rFonts w:hint="eastAsia"/>
                <w:kern w:val="0"/>
                <w:sz w:val="24"/>
                <w:szCs w:val="20"/>
              </w:rPr>
              <w:t>废水</w:t>
            </w:r>
            <w:r>
              <w:rPr>
                <w:kern w:val="0"/>
                <w:sz w:val="24"/>
                <w:szCs w:val="20"/>
              </w:rPr>
              <w:t>经</w:t>
            </w:r>
            <w:r>
              <w:rPr>
                <w:rFonts w:hint="eastAsia"/>
                <w:kern w:val="0"/>
                <w:sz w:val="24"/>
                <w:szCs w:val="20"/>
              </w:rPr>
              <w:t>预处理</w:t>
            </w:r>
            <w:r>
              <w:rPr>
                <w:kern w:val="0"/>
                <w:sz w:val="24"/>
                <w:szCs w:val="20"/>
              </w:rPr>
              <w:t>后排入</w:t>
            </w:r>
            <w:r>
              <w:rPr>
                <w:rFonts w:hint="eastAsia"/>
                <w:bCs/>
                <w:kern w:val="0"/>
                <w:sz w:val="24"/>
                <w:szCs w:val="20"/>
              </w:rPr>
              <w:t>瑶湖</w:t>
            </w:r>
            <w:r>
              <w:rPr>
                <w:bCs/>
                <w:kern w:val="0"/>
                <w:sz w:val="24"/>
                <w:szCs w:val="20"/>
              </w:rPr>
              <w:t>污水处理厂，</w:t>
            </w:r>
            <w:r>
              <w:rPr>
                <w:sz w:val="24"/>
              </w:rPr>
              <w:t>达到《城镇污水处理厂污染物排放标准》(GB18918-2002)中一级B标准后</w:t>
            </w:r>
            <w:r>
              <w:rPr>
                <w:kern w:val="0"/>
                <w:sz w:val="24"/>
                <w:szCs w:val="20"/>
              </w:rPr>
              <w:t>尾水最终排入赣江南支。</w:t>
            </w:r>
          </w:p>
          <w:p>
            <w:pPr>
              <w:snapToGrid w:val="0"/>
              <w:spacing w:line="360" w:lineRule="auto"/>
              <w:ind w:firstLine="480" w:firstLineChars="200"/>
              <w:rPr>
                <w:sz w:val="24"/>
              </w:rPr>
            </w:pPr>
            <w:r>
              <w:rPr>
                <w:sz w:val="24"/>
              </w:rPr>
              <w:t>项目废水经</w:t>
            </w:r>
            <w:r>
              <w:rPr>
                <w:rFonts w:hint="eastAsia"/>
                <w:sz w:val="24"/>
              </w:rPr>
              <w:t>瑶湖</w:t>
            </w:r>
            <w:r>
              <w:rPr>
                <w:sz w:val="24"/>
              </w:rPr>
              <w:t>污水处理厂处理后排入地表水环境中的污染物浓度及排放量见表</w:t>
            </w:r>
            <w:r>
              <w:rPr>
                <w:rFonts w:hint="eastAsia"/>
                <w:sz w:val="24"/>
              </w:rPr>
              <w:t>5-4</w:t>
            </w:r>
            <w:r>
              <w:rPr>
                <w:sz w:val="24"/>
              </w:rPr>
              <w:t>。</w:t>
            </w:r>
          </w:p>
          <w:p>
            <w:pPr>
              <w:snapToGrid w:val="0"/>
              <w:spacing w:line="360" w:lineRule="auto"/>
              <w:ind w:left="126"/>
              <w:jc w:val="center"/>
              <w:rPr>
                <w:b/>
                <w:bCs/>
                <w:szCs w:val="21"/>
              </w:rPr>
            </w:pPr>
            <w:r>
              <w:rPr>
                <w:b/>
                <w:bCs/>
                <w:spacing w:val="-2"/>
                <w:szCs w:val="21"/>
              </w:rPr>
              <w:t>表</w:t>
            </w:r>
            <w:r>
              <w:rPr>
                <w:rFonts w:hint="eastAsia"/>
                <w:b/>
                <w:bCs/>
                <w:spacing w:val="-2"/>
                <w:szCs w:val="21"/>
              </w:rPr>
              <w:t xml:space="preserve">5-4 </w:t>
            </w:r>
            <w:r>
              <w:rPr>
                <w:b/>
                <w:bCs/>
                <w:spacing w:val="-2"/>
                <w:szCs w:val="21"/>
              </w:rPr>
              <w:t>处理后</w:t>
            </w:r>
            <w:r>
              <w:rPr>
                <w:b/>
                <w:bCs/>
                <w:szCs w:val="21"/>
              </w:rPr>
              <w:t>污染物浓度及排放量</w:t>
            </w:r>
            <w:r>
              <w:rPr>
                <w:b/>
                <w:bCs/>
                <w:spacing w:val="-2"/>
                <w:szCs w:val="21"/>
              </w:rPr>
              <w:t>废水量：</w:t>
            </w:r>
            <w:r>
              <w:rPr>
                <w:rFonts w:hint="eastAsia"/>
                <w:b/>
                <w:bCs/>
                <w:szCs w:val="21"/>
              </w:rPr>
              <w:t>29975</w:t>
            </w:r>
            <w:r>
              <w:rPr>
                <w:b/>
                <w:bCs/>
                <w:szCs w:val="21"/>
              </w:rPr>
              <w:t>m</w:t>
            </w:r>
            <w:r>
              <w:rPr>
                <w:b/>
                <w:bCs/>
                <w:szCs w:val="21"/>
                <w:vertAlign w:val="superscript"/>
              </w:rPr>
              <w:t>3</w:t>
            </w:r>
            <w:r>
              <w:rPr>
                <w:b/>
                <w:bCs/>
                <w:szCs w:val="21"/>
              </w:rPr>
              <w:t>/a</w:t>
            </w:r>
          </w:p>
          <w:tbl>
            <w:tblPr>
              <w:tblStyle w:val="TableNormal"/>
              <w:tblW w:w="9356" w:type="dxa"/>
              <w:jc w:val="center"/>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870"/>
              <w:gridCol w:w="1871"/>
              <w:gridCol w:w="1872"/>
              <w:gridCol w:w="1872"/>
              <w:gridCol w:w="1871"/>
            </w:tblGrid>
            <w:tr>
              <w:tblPrEx>
                <w:tblW w:w="9356" w:type="dxa"/>
                <w:jc w:val="center"/>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189"/>
                <w:jc w:val="center"/>
              </w:trPr>
              <w:tc>
                <w:tcPr>
                  <w:tcW w:w="1559" w:type="dxa"/>
                  <w:vAlign w:val="center"/>
                </w:tcPr>
                <w:p>
                  <w:pPr>
                    <w:snapToGrid w:val="0"/>
                    <w:jc w:val="center"/>
                    <w:rPr>
                      <w:szCs w:val="21"/>
                    </w:rPr>
                  </w:pPr>
                  <w:r>
                    <w:rPr>
                      <w:szCs w:val="21"/>
                    </w:rPr>
                    <w:t>项目</w:t>
                  </w:r>
                </w:p>
              </w:tc>
              <w:tc>
                <w:tcPr>
                  <w:tcW w:w="1559" w:type="dxa"/>
                  <w:vAlign w:val="center"/>
                </w:tcPr>
                <w:p>
                  <w:pPr>
                    <w:snapToGrid w:val="0"/>
                    <w:jc w:val="center"/>
                    <w:rPr>
                      <w:szCs w:val="21"/>
                    </w:rPr>
                  </w:pPr>
                  <w:r>
                    <w:rPr>
                      <w:szCs w:val="21"/>
                    </w:rPr>
                    <w:t>COD</w:t>
                  </w:r>
                  <w:r>
                    <w:rPr>
                      <w:szCs w:val="21"/>
                      <w:vertAlign w:val="subscript"/>
                    </w:rPr>
                    <w:t>Cr</w:t>
                  </w:r>
                </w:p>
              </w:tc>
              <w:tc>
                <w:tcPr>
                  <w:tcW w:w="1560" w:type="dxa"/>
                  <w:vAlign w:val="center"/>
                </w:tcPr>
                <w:p>
                  <w:pPr>
                    <w:snapToGrid w:val="0"/>
                    <w:jc w:val="center"/>
                    <w:rPr>
                      <w:szCs w:val="21"/>
                    </w:rPr>
                  </w:pPr>
                  <w:r>
                    <w:rPr>
                      <w:szCs w:val="21"/>
                    </w:rPr>
                    <w:t>BOD</w:t>
                  </w:r>
                  <w:r>
                    <w:rPr>
                      <w:szCs w:val="21"/>
                      <w:vertAlign w:val="subscript"/>
                    </w:rPr>
                    <w:t>5</w:t>
                  </w:r>
                </w:p>
              </w:tc>
              <w:tc>
                <w:tcPr>
                  <w:tcW w:w="1560" w:type="dxa"/>
                  <w:vAlign w:val="center"/>
                </w:tcPr>
                <w:p>
                  <w:pPr>
                    <w:snapToGrid w:val="0"/>
                    <w:jc w:val="center"/>
                    <w:rPr>
                      <w:szCs w:val="21"/>
                    </w:rPr>
                  </w:pPr>
                  <w:r>
                    <w:rPr>
                      <w:szCs w:val="21"/>
                    </w:rPr>
                    <w:t>SS</w:t>
                  </w:r>
                </w:p>
              </w:tc>
              <w:tc>
                <w:tcPr>
                  <w:tcW w:w="1559" w:type="dxa"/>
                  <w:vAlign w:val="center"/>
                </w:tcPr>
                <w:p>
                  <w:pPr>
                    <w:snapToGrid w:val="0"/>
                    <w:jc w:val="center"/>
                    <w:rPr>
                      <w:szCs w:val="21"/>
                    </w:rPr>
                  </w:pPr>
                  <w:r>
                    <w:rPr>
                      <w:szCs w:val="21"/>
                    </w:rPr>
                    <w:t>NH</w:t>
                  </w:r>
                  <w:r>
                    <w:rPr>
                      <w:szCs w:val="21"/>
                      <w:vertAlign w:val="subscript"/>
                    </w:rPr>
                    <w:t>3</w:t>
                  </w:r>
                  <w:r>
                    <w:rPr>
                      <w:szCs w:val="21"/>
                    </w:rPr>
                    <w:t>-N</w:t>
                  </w:r>
                </w:p>
              </w:tc>
            </w:tr>
            <w:tr>
              <w:tblPrEx>
                <w:tblW w:w="9356" w:type="dxa"/>
                <w:jc w:val="center"/>
                <w:tblInd w:w="116" w:type="dxa"/>
                <w:tblLayout w:type="fixed"/>
                <w:tblCellMar>
                  <w:top w:w="0" w:type="dxa"/>
                  <w:left w:w="108" w:type="dxa"/>
                  <w:bottom w:w="0" w:type="dxa"/>
                  <w:right w:w="108" w:type="dxa"/>
                </w:tblCellMar>
                <w:tblLook w:val="0000"/>
              </w:tblPrEx>
              <w:trPr>
                <w:trHeight w:val="189"/>
                <w:jc w:val="center"/>
              </w:trPr>
              <w:tc>
                <w:tcPr>
                  <w:tcW w:w="1559" w:type="dxa"/>
                  <w:vAlign w:val="center"/>
                </w:tcPr>
                <w:p>
                  <w:pPr>
                    <w:snapToGrid w:val="0"/>
                    <w:jc w:val="center"/>
                    <w:rPr>
                      <w:szCs w:val="21"/>
                    </w:rPr>
                  </w:pPr>
                  <w:r>
                    <w:rPr>
                      <w:szCs w:val="21"/>
                    </w:rPr>
                    <w:t>浓度（mg/L）</w:t>
                  </w:r>
                </w:p>
              </w:tc>
              <w:tc>
                <w:tcPr>
                  <w:tcW w:w="1559" w:type="dxa"/>
                  <w:vAlign w:val="center"/>
                </w:tcPr>
                <w:p>
                  <w:pPr>
                    <w:snapToGrid w:val="0"/>
                    <w:jc w:val="center"/>
                    <w:rPr>
                      <w:szCs w:val="21"/>
                    </w:rPr>
                  </w:pPr>
                  <w:r>
                    <w:rPr>
                      <w:szCs w:val="21"/>
                    </w:rPr>
                    <w:t>60</w:t>
                  </w:r>
                </w:p>
              </w:tc>
              <w:tc>
                <w:tcPr>
                  <w:tcW w:w="1560" w:type="dxa"/>
                  <w:vAlign w:val="center"/>
                </w:tcPr>
                <w:p>
                  <w:pPr>
                    <w:snapToGrid w:val="0"/>
                    <w:jc w:val="center"/>
                    <w:rPr>
                      <w:szCs w:val="21"/>
                    </w:rPr>
                  </w:pPr>
                  <w:r>
                    <w:rPr>
                      <w:szCs w:val="21"/>
                    </w:rPr>
                    <w:t>20</w:t>
                  </w:r>
                </w:p>
              </w:tc>
              <w:tc>
                <w:tcPr>
                  <w:tcW w:w="1560" w:type="dxa"/>
                  <w:vAlign w:val="center"/>
                </w:tcPr>
                <w:p>
                  <w:pPr>
                    <w:snapToGrid w:val="0"/>
                    <w:jc w:val="center"/>
                    <w:rPr>
                      <w:szCs w:val="21"/>
                    </w:rPr>
                  </w:pPr>
                  <w:r>
                    <w:rPr>
                      <w:szCs w:val="21"/>
                    </w:rPr>
                    <w:t>20</w:t>
                  </w:r>
                </w:p>
              </w:tc>
              <w:tc>
                <w:tcPr>
                  <w:tcW w:w="1559" w:type="dxa"/>
                  <w:vAlign w:val="center"/>
                </w:tcPr>
                <w:p>
                  <w:pPr>
                    <w:snapToGrid w:val="0"/>
                    <w:jc w:val="center"/>
                    <w:rPr>
                      <w:szCs w:val="21"/>
                    </w:rPr>
                  </w:pPr>
                  <w:r>
                    <w:rPr>
                      <w:szCs w:val="21"/>
                    </w:rPr>
                    <w:t>8</w:t>
                  </w:r>
                </w:p>
              </w:tc>
            </w:tr>
            <w:tr>
              <w:tblPrEx>
                <w:tblW w:w="9356" w:type="dxa"/>
                <w:jc w:val="center"/>
                <w:tblInd w:w="116" w:type="dxa"/>
                <w:tblLayout w:type="fixed"/>
                <w:tblCellMar>
                  <w:top w:w="0" w:type="dxa"/>
                  <w:left w:w="108" w:type="dxa"/>
                  <w:bottom w:w="0" w:type="dxa"/>
                  <w:right w:w="108" w:type="dxa"/>
                </w:tblCellMar>
                <w:tblLook w:val="0000"/>
              </w:tblPrEx>
              <w:trPr>
                <w:trHeight w:val="189"/>
                <w:jc w:val="center"/>
              </w:trPr>
              <w:tc>
                <w:tcPr>
                  <w:tcW w:w="1559" w:type="dxa"/>
                  <w:vAlign w:val="center"/>
                </w:tcPr>
                <w:p>
                  <w:pPr>
                    <w:snapToGrid w:val="0"/>
                    <w:jc w:val="center"/>
                    <w:rPr>
                      <w:szCs w:val="21"/>
                    </w:rPr>
                  </w:pPr>
                  <w:r>
                    <w:rPr>
                      <w:szCs w:val="21"/>
                    </w:rPr>
                    <w:t>排放量（t/a）</w:t>
                  </w:r>
                </w:p>
              </w:tc>
              <w:tc>
                <w:tcPr>
                  <w:tcW w:w="1559" w:type="dxa"/>
                  <w:vAlign w:val="center"/>
                </w:tcPr>
                <w:p>
                  <w:pPr>
                    <w:snapToGrid w:val="0"/>
                    <w:jc w:val="center"/>
                    <w:rPr>
                      <w:szCs w:val="21"/>
                    </w:rPr>
                  </w:pPr>
                  <w:r>
                    <w:rPr>
                      <w:rFonts w:hint="eastAsia"/>
                      <w:szCs w:val="21"/>
                    </w:rPr>
                    <w:t>0.77</w:t>
                  </w:r>
                </w:p>
              </w:tc>
              <w:tc>
                <w:tcPr>
                  <w:tcW w:w="1560" w:type="dxa"/>
                  <w:vAlign w:val="center"/>
                </w:tcPr>
                <w:p>
                  <w:pPr>
                    <w:snapToGrid w:val="0"/>
                    <w:jc w:val="center"/>
                    <w:rPr>
                      <w:szCs w:val="21"/>
                    </w:rPr>
                  </w:pPr>
                  <w:r>
                    <w:rPr>
                      <w:rFonts w:hint="eastAsia"/>
                      <w:szCs w:val="21"/>
                    </w:rPr>
                    <w:t>0.26</w:t>
                  </w:r>
                </w:p>
              </w:tc>
              <w:tc>
                <w:tcPr>
                  <w:tcW w:w="1560" w:type="dxa"/>
                  <w:vAlign w:val="center"/>
                </w:tcPr>
                <w:p>
                  <w:pPr>
                    <w:snapToGrid w:val="0"/>
                    <w:jc w:val="center"/>
                    <w:rPr>
                      <w:szCs w:val="21"/>
                    </w:rPr>
                  </w:pPr>
                  <w:r>
                    <w:rPr>
                      <w:rFonts w:hint="eastAsia"/>
                      <w:szCs w:val="21"/>
                    </w:rPr>
                    <w:t>0.26</w:t>
                  </w:r>
                </w:p>
              </w:tc>
              <w:tc>
                <w:tcPr>
                  <w:tcW w:w="1559" w:type="dxa"/>
                  <w:vAlign w:val="center"/>
                </w:tcPr>
                <w:p>
                  <w:pPr>
                    <w:snapToGrid w:val="0"/>
                    <w:jc w:val="center"/>
                    <w:rPr>
                      <w:szCs w:val="21"/>
                    </w:rPr>
                  </w:pPr>
                  <w:r>
                    <w:rPr>
                      <w:rFonts w:hint="eastAsia"/>
                      <w:szCs w:val="21"/>
                    </w:rPr>
                    <w:t>0.10</w:t>
                  </w:r>
                </w:p>
              </w:tc>
            </w:tr>
          </w:tbl>
          <w:p>
            <w:pPr>
              <w:pStyle w:val="Heading2"/>
              <w:snapToGrid w:val="0"/>
              <w:spacing w:before="0" w:after="0" w:line="360" w:lineRule="auto"/>
              <w:ind w:left="210" w:right="210"/>
              <w:rPr>
                <w:rFonts w:ascii="Times New Roman" w:hAnsi="Times New Roman"/>
                <w:lang w:val="en-US" w:eastAsia="zh-CN"/>
              </w:rPr>
            </w:pPr>
            <w:r>
              <w:rPr>
                <w:rFonts w:ascii="Times New Roman" w:hAnsi="Times New Roman"/>
                <w:lang w:val="en-US" w:eastAsia="zh-CN"/>
              </w:rPr>
              <w:t>2、废气</w:t>
            </w:r>
          </w:p>
          <w:p>
            <w:pPr>
              <w:snapToGrid w:val="0"/>
              <w:spacing w:line="360" w:lineRule="auto"/>
              <w:ind w:firstLine="480" w:firstLineChars="200"/>
              <w:rPr>
                <w:rFonts w:hint="eastAsia"/>
                <w:kern w:val="21"/>
                <w:sz w:val="24"/>
                <w:szCs w:val="20"/>
              </w:rPr>
            </w:pPr>
            <w:r>
              <w:rPr>
                <w:rFonts w:hint="eastAsia"/>
                <w:kern w:val="21"/>
                <w:sz w:val="24"/>
                <w:szCs w:val="20"/>
              </w:rPr>
              <w:t>本项目使用的UV胶、ACF（异方性导电胶膜）等性质稳定，在使用过程中不产生挥发性有机物，项目产生的废气主要为涂布过程和银浆印刷过程由于溶剂挥发产生的有机废气以及RTO炉燃烧废气。根据建设单位提供资料，有机废气产生量占有机溶剂用量的100%，溶剂的主要成分主要包括酮类、脂类，故有机废气以VOC</w:t>
            </w:r>
            <w:r>
              <w:rPr>
                <w:rFonts w:hint="eastAsia"/>
                <w:kern w:val="21"/>
                <w:sz w:val="24"/>
                <w:szCs w:val="20"/>
                <w:vertAlign w:val="subscript"/>
              </w:rPr>
              <w:t>S</w:t>
            </w:r>
            <w:r>
              <w:rPr>
                <w:rFonts w:hint="eastAsia"/>
                <w:kern w:val="21"/>
                <w:sz w:val="24"/>
                <w:szCs w:val="20"/>
              </w:rPr>
              <w:t>计。</w:t>
            </w:r>
          </w:p>
        </w:tc>
      </w:tr>
    </w:tbl>
    <w:p>
      <w:pPr>
        <w:sectPr>
          <w:headerReference w:type="default" r:id="rId72"/>
          <w:footerReference w:type="even" r:id="rId73"/>
          <w:footerReference w:type="default" r:id="rId74"/>
          <w:type w:val="nextPage"/>
          <w:pgSz w:w="11906" w:h="16838"/>
          <w:pgMar w:top="1440" w:right="1469" w:bottom="1440" w:left="1797" w:header="851" w:footer="992" w:gutter="0"/>
          <w:pgNumType w:start="23"/>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60"/>
          <w:jc w:val="center"/>
        </w:trPr>
        <w:tc>
          <w:tcPr>
            <w:tcW w:w="8640" w:type="dxa"/>
            <w:tcBorders>
              <w:top w:val="single" w:sz="4" w:space="0" w:color="auto"/>
              <w:left w:val="single" w:sz="4" w:space="0" w:color="auto"/>
              <w:bottom w:val="single" w:sz="4" w:space="0" w:color="auto"/>
              <w:right w:val="single" w:sz="4" w:space="0" w:color="auto"/>
            </w:tcBorders>
          </w:tcPr>
          <w:p>
            <w:pPr>
              <w:snapToGrid w:val="0"/>
              <w:spacing w:line="360" w:lineRule="auto"/>
              <w:ind w:firstLine="480" w:firstLineChars="200"/>
              <w:rPr>
                <w:rFonts w:hint="eastAsia"/>
                <w:kern w:val="21"/>
                <w:sz w:val="24"/>
                <w:szCs w:val="20"/>
              </w:rPr>
            </w:pPr>
            <w:r>
              <w:rPr>
                <w:rFonts w:hint="eastAsia"/>
                <w:kern w:val="21"/>
                <w:sz w:val="24"/>
                <w:szCs w:val="20"/>
              </w:rPr>
              <w:t>（1）VOC</w:t>
            </w:r>
            <w:r>
              <w:rPr>
                <w:rFonts w:hint="eastAsia"/>
                <w:kern w:val="21"/>
                <w:sz w:val="24"/>
                <w:szCs w:val="20"/>
                <w:vertAlign w:val="subscript"/>
              </w:rPr>
              <w:t>S</w:t>
            </w:r>
          </w:p>
          <w:p>
            <w:pPr>
              <w:snapToGrid w:val="0"/>
              <w:spacing w:line="360" w:lineRule="auto"/>
              <w:ind w:firstLine="480" w:firstLineChars="200"/>
              <w:rPr>
                <w:rFonts w:hint="eastAsia"/>
                <w:kern w:val="21"/>
                <w:sz w:val="24"/>
                <w:szCs w:val="20"/>
              </w:rPr>
            </w:pPr>
            <w:r>
              <w:rPr>
                <w:rFonts w:hint="eastAsia"/>
                <w:kern w:val="21"/>
                <w:sz w:val="24"/>
                <w:szCs w:val="20"/>
              </w:rPr>
              <w:t xml:space="preserve">根据建设单位提供资料，项目涂布工艺copolymer </w:t>
            </w:r>
            <w:r>
              <w:rPr>
                <w:kern w:val="21"/>
                <w:sz w:val="24"/>
                <w:szCs w:val="20"/>
              </w:rPr>
              <w:t>ink的用</w:t>
            </w:r>
            <w:r>
              <w:rPr>
                <w:rFonts w:hint="eastAsia"/>
                <w:kern w:val="21"/>
                <w:sz w:val="24"/>
                <w:szCs w:val="20"/>
              </w:rPr>
              <w:t>量为126kg/a，其中有机溶剂主要为</w:t>
            </w:r>
            <w:r>
              <w:rPr>
                <w:bCs/>
                <w:sz w:val="24"/>
              </w:rPr>
              <w:t>2-丁酮</w:t>
            </w:r>
            <w:r>
              <w:rPr>
                <w:rFonts w:hint="eastAsia"/>
                <w:bCs/>
                <w:sz w:val="24"/>
              </w:rPr>
              <w:t>和</w:t>
            </w:r>
            <w:r>
              <w:rPr>
                <w:bCs/>
                <w:sz w:val="24"/>
              </w:rPr>
              <w:t>丙二醇甲醚乙酸酯</w:t>
            </w:r>
            <w:r>
              <w:rPr>
                <w:rFonts w:hint="eastAsia"/>
                <w:bCs/>
                <w:sz w:val="24"/>
              </w:rPr>
              <w:t>，总</w:t>
            </w:r>
            <w:r>
              <w:rPr>
                <w:bCs/>
                <w:sz w:val="24"/>
              </w:rPr>
              <w:t>占比约为</w:t>
            </w:r>
            <w:r>
              <w:rPr>
                <w:rFonts w:hint="eastAsia"/>
                <w:bCs/>
                <w:sz w:val="24"/>
              </w:rPr>
              <w:t>60%~90%（按最不利情况</w:t>
            </w:r>
            <w:r>
              <w:rPr>
                <w:bCs/>
                <w:sz w:val="24"/>
              </w:rPr>
              <w:t>占比</w:t>
            </w:r>
            <w:r>
              <w:rPr>
                <w:rFonts w:hint="eastAsia"/>
                <w:bCs/>
                <w:sz w:val="24"/>
              </w:rPr>
              <w:t>90%进行估算）。</w:t>
            </w:r>
            <w:r>
              <w:rPr>
                <w:rFonts w:hint="eastAsia"/>
                <w:kern w:val="21"/>
                <w:sz w:val="24"/>
                <w:szCs w:val="20"/>
              </w:rPr>
              <w:t>涂布后烘干，溶剂挥发产生有机废气（以VOC</w:t>
            </w:r>
            <w:r>
              <w:rPr>
                <w:rFonts w:hint="eastAsia"/>
                <w:kern w:val="21"/>
                <w:sz w:val="24"/>
                <w:szCs w:val="20"/>
                <w:vertAlign w:val="subscript"/>
              </w:rPr>
              <w:t>S</w:t>
            </w:r>
            <w:r>
              <w:rPr>
                <w:rFonts w:hint="eastAsia"/>
                <w:kern w:val="21"/>
                <w:sz w:val="24"/>
                <w:szCs w:val="20"/>
              </w:rPr>
              <w:t>计），有机废气产生量占有机溶剂用量的100%，</w:t>
            </w:r>
            <w:r>
              <w:rPr>
                <w:rFonts w:hint="eastAsia"/>
                <w:bCs/>
                <w:sz w:val="24"/>
              </w:rPr>
              <w:t>则</w:t>
            </w:r>
            <w:r>
              <w:rPr>
                <w:rFonts w:hint="eastAsia"/>
                <w:kern w:val="21"/>
                <w:sz w:val="24"/>
                <w:szCs w:val="20"/>
              </w:rPr>
              <w:t>VOC</w:t>
            </w:r>
            <w:r>
              <w:rPr>
                <w:rFonts w:hint="eastAsia"/>
                <w:kern w:val="21"/>
                <w:sz w:val="24"/>
                <w:szCs w:val="20"/>
                <w:vertAlign w:val="subscript"/>
              </w:rPr>
              <w:t>S</w:t>
            </w:r>
            <w:r>
              <w:rPr>
                <w:rFonts w:hint="eastAsia"/>
                <w:kern w:val="21"/>
                <w:sz w:val="24"/>
                <w:szCs w:val="20"/>
              </w:rPr>
              <w:t>产生量约为113kg/a，整个过程均为密闭，</w:t>
            </w:r>
            <w:r>
              <w:rPr>
                <w:sz w:val="24"/>
              </w:rPr>
              <w:t>烤箱上部设有废气收集管</w:t>
            </w:r>
            <w:r>
              <w:rPr>
                <w:rFonts w:hint="eastAsia"/>
                <w:sz w:val="24"/>
              </w:rPr>
              <w:t>，可实现废气全部收集。</w:t>
            </w:r>
          </w:p>
          <w:p>
            <w:pPr>
              <w:snapToGrid w:val="0"/>
              <w:spacing w:line="360" w:lineRule="auto"/>
              <w:ind w:firstLine="480" w:firstLineChars="200"/>
              <w:rPr>
                <w:rFonts w:hint="eastAsia"/>
                <w:kern w:val="21"/>
                <w:sz w:val="24"/>
                <w:szCs w:val="20"/>
              </w:rPr>
            </w:pPr>
            <w:r>
              <w:rPr>
                <w:rFonts w:hint="eastAsia"/>
                <w:kern w:val="21"/>
                <w:sz w:val="24"/>
                <w:szCs w:val="20"/>
              </w:rPr>
              <w:t>银浆印刷过程导电银浆用量为360kg/a，其中有机溶剂主要为</w:t>
            </w:r>
            <w:r>
              <w:rPr>
                <w:rFonts w:hint="eastAsia"/>
                <w:bCs/>
                <w:sz w:val="24"/>
              </w:rPr>
              <w:t>二甘醇一乙醚乙酸，</w:t>
            </w:r>
            <w:r>
              <w:rPr>
                <w:bCs/>
                <w:sz w:val="24"/>
              </w:rPr>
              <w:t>占比约为</w:t>
            </w:r>
            <w:r>
              <w:rPr>
                <w:rFonts w:hint="eastAsia"/>
                <w:bCs/>
                <w:sz w:val="24"/>
              </w:rPr>
              <w:t>15%~25%（按最不利情况</w:t>
            </w:r>
            <w:r>
              <w:rPr>
                <w:bCs/>
                <w:sz w:val="24"/>
              </w:rPr>
              <w:t>占比</w:t>
            </w:r>
            <w:r>
              <w:rPr>
                <w:rFonts w:hint="eastAsia"/>
                <w:bCs/>
                <w:sz w:val="24"/>
              </w:rPr>
              <w:t>25%进行估算）。</w:t>
            </w:r>
            <w:r>
              <w:rPr>
                <w:rFonts w:hint="eastAsia"/>
                <w:kern w:val="21"/>
                <w:sz w:val="24"/>
                <w:szCs w:val="20"/>
              </w:rPr>
              <w:t>印刷后烘干，溶剂挥发产生有机废气（以VOC</w:t>
            </w:r>
            <w:r>
              <w:rPr>
                <w:rFonts w:hint="eastAsia"/>
                <w:kern w:val="21"/>
                <w:sz w:val="24"/>
                <w:szCs w:val="20"/>
                <w:vertAlign w:val="subscript"/>
              </w:rPr>
              <w:t>S</w:t>
            </w:r>
            <w:r>
              <w:rPr>
                <w:rFonts w:hint="eastAsia"/>
                <w:kern w:val="21"/>
                <w:sz w:val="24"/>
                <w:szCs w:val="20"/>
              </w:rPr>
              <w:t>计），有机废气产生量占有机溶剂用量的100%，</w:t>
            </w:r>
            <w:r>
              <w:rPr>
                <w:rFonts w:hint="eastAsia"/>
                <w:bCs/>
                <w:sz w:val="24"/>
              </w:rPr>
              <w:t>则</w:t>
            </w:r>
            <w:r>
              <w:rPr>
                <w:rFonts w:hint="eastAsia"/>
                <w:kern w:val="21"/>
                <w:sz w:val="24"/>
                <w:szCs w:val="20"/>
              </w:rPr>
              <w:t>VOC</w:t>
            </w:r>
            <w:r>
              <w:rPr>
                <w:rFonts w:hint="eastAsia"/>
                <w:kern w:val="21"/>
                <w:sz w:val="24"/>
                <w:szCs w:val="20"/>
                <w:vertAlign w:val="subscript"/>
              </w:rPr>
              <w:t>S</w:t>
            </w:r>
            <w:r>
              <w:rPr>
                <w:rFonts w:hint="eastAsia"/>
                <w:kern w:val="21"/>
                <w:sz w:val="24"/>
                <w:szCs w:val="20"/>
              </w:rPr>
              <w:t>产生量约为90kg/a，整个过程均为密闭，银浆印刷机设有</w:t>
            </w:r>
            <w:r>
              <w:rPr>
                <w:sz w:val="24"/>
              </w:rPr>
              <w:t>废气收集管</w:t>
            </w:r>
            <w:r>
              <w:rPr>
                <w:rFonts w:hint="eastAsia"/>
                <w:sz w:val="24"/>
              </w:rPr>
              <w:t>，可实现废气全部收集。</w:t>
            </w:r>
          </w:p>
          <w:p>
            <w:pPr>
              <w:snapToGrid w:val="0"/>
              <w:spacing w:line="360" w:lineRule="auto"/>
              <w:ind w:firstLine="480" w:firstLineChars="200"/>
              <w:rPr>
                <w:rFonts w:hint="eastAsia"/>
                <w:kern w:val="21"/>
                <w:sz w:val="24"/>
                <w:szCs w:val="20"/>
              </w:rPr>
            </w:pPr>
            <w:r>
              <w:rPr>
                <w:rFonts w:hint="eastAsia"/>
                <w:kern w:val="21"/>
                <w:sz w:val="24"/>
                <w:szCs w:val="20"/>
              </w:rPr>
              <w:t>本项目VOC</w:t>
            </w:r>
            <w:r>
              <w:rPr>
                <w:rFonts w:hint="eastAsia"/>
                <w:kern w:val="21"/>
                <w:sz w:val="24"/>
                <w:szCs w:val="20"/>
                <w:vertAlign w:val="subscript"/>
              </w:rPr>
              <w:t>S</w:t>
            </w:r>
            <w:r>
              <w:rPr>
                <w:rFonts w:hint="eastAsia"/>
                <w:kern w:val="21"/>
                <w:sz w:val="24"/>
                <w:szCs w:val="20"/>
              </w:rPr>
              <w:t>产生量总计为203kg/a，按生产车间年工作250天、每日设备运行16小时计，则生产车间VOC</w:t>
            </w:r>
            <w:r>
              <w:rPr>
                <w:rFonts w:hint="eastAsia"/>
                <w:kern w:val="21"/>
                <w:sz w:val="24"/>
                <w:szCs w:val="20"/>
                <w:vertAlign w:val="subscript"/>
              </w:rPr>
              <w:t>S</w:t>
            </w:r>
            <w:r>
              <w:rPr>
                <w:rFonts w:hint="eastAsia"/>
                <w:kern w:val="21"/>
                <w:sz w:val="24"/>
                <w:szCs w:val="20"/>
              </w:rPr>
              <w:t>产生速率为0.051kg/h，风机风量为5000m</w:t>
            </w:r>
            <w:r>
              <w:rPr>
                <w:rFonts w:hint="eastAsia"/>
                <w:kern w:val="21"/>
                <w:sz w:val="24"/>
                <w:szCs w:val="20"/>
                <w:vertAlign w:val="superscript"/>
              </w:rPr>
              <w:t>3</w:t>
            </w:r>
            <w:r>
              <w:rPr>
                <w:rFonts w:hint="eastAsia"/>
                <w:kern w:val="21"/>
                <w:sz w:val="24"/>
                <w:szCs w:val="20"/>
              </w:rPr>
              <w:t>/h，则项目VOC</w:t>
            </w:r>
            <w:r>
              <w:rPr>
                <w:rFonts w:hint="eastAsia"/>
                <w:kern w:val="21"/>
                <w:sz w:val="24"/>
                <w:szCs w:val="20"/>
                <w:vertAlign w:val="subscript"/>
              </w:rPr>
              <w:t>S</w:t>
            </w:r>
            <w:r>
              <w:rPr>
                <w:rFonts w:hint="eastAsia"/>
                <w:kern w:val="21"/>
                <w:sz w:val="24"/>
                <w:szCs w:val="20"/>
              </w:rPr>
              <w:t>产生浓度为10.2mg/m</w:t>
            </w:r>
            <w:r>
              <w:rPr>
                <w:rFonts w:hint="eastAsia"/>
                <w:kern w:val="21"/>
                <w:sz w:val="24"/>
                <w:szCs w:val="20"/>
                <w:vertAlign w:val="superscript"/>
              </w:rPr>
              <w:t>3</w:t>
            </w:r>
            <w:r>
              <w:rPr>
                <w:rFonts w:hint="eastAsia"/>
                <w:kern w:val="21"/>
                <w:sz w:val="24"/>
                <w:szCs w:val="20"/>
              </w:rPr>
              <w:t>。</w:t>
            </w:r>
          </w:p>
          <w:p>
            <w:pPr>
              <w:snapToGrid w:val="0"/>
              <w:spacing w:line="360" w:lineRule="auto"/>
              <w:ind w:firstLine="480" w:firstLineChars="200"/>
              <w:rPr>
                <w:rFonts w:hint="eastAsia"/>
                <w:kern w:val="21"/>
                <w:sz w:val="24"/>
                <w:szCs w:val="20"/>
              </w:rPr>
            </w:pPr>
            <w:r>
              <w:rPr>
                <w:rFonts w:hint="eastAsia"/>
                <w:kern w:val="21"/>
                <w:sz w:val="24"/>
                <w:szCs w:val="20"/>
              </w:rPr>
              <w:t>项目采用RTO蓄热式焚烧炉对该废气进行处理，采用三室蓄热室，废气中的有机物在高温下被氧化分解为二氧化碳和水，为使氧化反应能充分进行，设计了独特的炉体结构，以保证有机废气在炉内得到充分混合并有足够的反应时间，废气在程序控制下，循环执行以下操作流程：废气进入已蓄热的蓄热室，得到预热，然后进入燃烧室，处理后未蓄热的蓄热室冷却后排放，废气循环往复以以上方式不断循环，切换时间与废气浓度有关，浓度越高，切换时间越短；浓度越低，切换时间越长以保证足够的反应时间。</w:t>
            </w:r>
          </w:p>
          <w:p>
            <w:pPr>
              <w:snapToGrid w:val="0"/>
              <w:spacing w:line="360" w:lineRule="auto"/>
              <w:ind w:firstLine="480" w:firstLineChars="200"/>
              <w:rPr>
                <w:rFonts w:hint="eastAsia"/>
                <w:kern w:val="21"/>
                <w:sz w:val="24"/>
                <w:szCs w:val="20"/>
              </w:rPr>
            </w:pPr>
            <w:r>
              <w:rPr>
                <w:rFonts w:hint="eastAsia"/>
                <w:kern w:val="21"/>
                <w:sz w:val="24"/>
                <w:szCs w:val="20"/>
              </w:rPr>
              <w:t>RTO蓄热式焚烧炉燃烧工况见表5-5。</w:t>
            </w:r>
          </w:p>
          <w:p>
            <w:pPr>
              <w:snapToGrid w:val="0"/>
              <w:spacing w:line="360" w:lineRule="auto"/>
              <w:ind w:firstLine="420" w:firstLineChars="200"/>
              <w:jc w:val="center"/>
              <w:rPr>
                <w:b/>
                <w:kern w:val="21"/>
                <w:szCs w:val="21"/>
              </w:rPr>
            </w:pPr>
            <w:r>
              <w:rPr>
                <w:b/>
                <w:kern w:val="21"/>
                <w:szCs w:val="21"/>
              </w:rPr>
              <w:t>表</w:t>
            </w:r>
            <w:r>
              <w:rPr>
                <w:rFonts w:hint="eastAsia"/>
                <w:b/>
                <w:kern w:val="21"/>
                <w:szCs w:val="21"/>
              </w:rPr>
              <w:t xml:space="preserve">5-5  </w:t>
            </w:r>
            <w:r>
              <w:rPr>
                <w:b/>
                <w:kern w:val="21"/>
                <w:szCs w:val="21"/>
              </w:rPr>
              <w:t>RTO蓄热式焚烧炉燃烧工况一览表</w:t>
            </w:r>
          </w:p>
          <w:tbl>
            <w:tblPr>
              <w:tblStyle w:val="TableNormal"/>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10"/>
              <w:gridCol w:w="1701"/>
              <w:gridCol w:w="1276"/>
              <w:gridCol w:w="1275"/>
              <w:gridCol w:w="1132"/>
              <w:gridCol w:w="1246"/>
              <w:gridCol w:w="1516"/>
            </w:tblGrid>
            <w:tr>
              <w:tblPrEx>
                <w:tblW w:w="9356"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8"/>
                <w:jc w:val="center"/>
              </w:trPr>
              <w:tc>
                <w:tcPr>
                  <w:tcW w:w="1210" w:type="dxa"/>
                </w:tcPr>
                <w:p>
                  <w:pPr>
                    <w:snapToGrid w:val="0"/>
                    <w:spacing w:line="360" w:lineRule="auto"/>
                    <w:jc w:val="center"/>
                    <w:rPr>
                      <w:kern w:val="21"/>
                      <w:szCs w:val="21"/>
                    </w:rPr>
                  </w:pPr>
                  <w:r>
                    <w:rPr>
                      <w:kern w:val="21"/>
                      <w:szCs w:val="21"/>
                    </w:rPr>
                    <w:t>处理风量</w:t>
                  </w:r>
                </w:p>
              </w:tc>
              <w:tc>
                <w:tcPr>
                  <w:tcW w:w="1701" w:type="dxa"/>
                </w:tcPr>
                <w:p>
                  <w:pPr>
                    <w:snapToGrid w:val="0"/>
                    <w:spacing w:line="360" w:lineRule="auto"/>
                    <w:jc w:val="center"/>
                    <w:rPr>
                      <w:kern w:val="21"/>
                      <w:szCs w:val="21"/>
                    </w:rPr>
                  </w:pPr>
                  <w:r>
                    <w:rPr>
                      <w:kern w:val="21"/>
                      <w:szCs w:val="21"/>
                    </w:rPr>
                    <w:t>浓度要求</w:t>
                  </w:r>
                </w:p>
              </w:tc>
              <w:tc>
                <w:tcPr>
                  <w:tcW w:w="1276" w:type="dxa"/>
                </w:tcPr>
                <w:p>
                  <w:pPr>
                    <w:snapToGrid w:val="0"/>
                    <w:spacing w:line="360" w:lineRule="auto"/>
                    <w:jc w:val="center"/>
                    <w:rPr>
                      <w:kern w:val="21"/>
                      <w:szCs w:val="21"/>
                    </w:rPr>
                  </w:pPr>
                  <w:r>
                    <w:rPr>
                      <w:kern w:val="21"/>
                      <w:szCs w:val="21"/>
                    </w:rPr>
                    <w:t>氧化温度</w:t>
                  </w:r>
                </w:p>
              </w:tc>
              <w:tc>
                <w:tcPr>
                  <w:tcW w:w="1275" w:type="dxa"/>
                </w:tcPr>
                <w:p>
                  <w:pPr>
                    <w:snapToGrid w:val="0"/>
                    <w:spacing w:line="360" w:lineRule="auto"/>
                    <w:jc w:val="center"/>
                    <w:rPr>
                      <w:kern w:val="21"/>
                      <w:szCs w:val="21"/>
                    </w:rPr>
                  </w:pPr>
                  <w:r>
                    <w:rPr>
                      <w:kern w:val="21"/>
                      <w:szCs w:val="21"/>
                    </w:rPr>
                    <w:t>进气温度</w:t>
                  </w:r>
                </w:p>
              </w:tc>
              <w:tc>
                <w:tcPr>
                  <w:tcW w:w="1132" w:type="dxa"/>
                </w:tcPr>
                <w:p>
                  <w:pPr>
                    <w:snapToGrid w:val="0"/>
                    <w:spacing w:line="360" w:lineRule="auto"/>
                    <w:jc w:val="center"/>
                    <w:rPr>
                      <w:kern w:val="21"/>
                      <w:szCs w:val="21"/>
                    </w:rPr>
                  </w:pPr>
                  <w:r>
                    <w:rPr>
                      <w:kern w:val="21"/>
                      <w:szCs w:val="21"/>
                    </w:rPr>
                    <w:t>出气温度</w:t>
                  </w:r>
                </w:p>
              </w:tc>
              <w:tc>
                <w:tcPr>
                  <w:tcW w:w="1246" w:type="dxa"/>
                </w:tcPr>
                <w:p>
                  <w:pPr>
                    <w:snapToGrid w:val="0"/>
                    <w:spacing w:line="360" w:lineRule="auto"/>
                    <w:jc w:val="center"/>
                    <w:rPr>
                      <w:kern w:val="21"/>
                      <w:szCs w:val="21"/>
                    </w:rPr>
                  </w:pPr>
                  <w:r>
                    <w:rPr>
                      <w:kern w:val="21"/>
                      <w:szCs w:val="21"/>
                    </w:rPr>
                    <w:t>氧化时间</w:t>
                  </w:r>
                </w:p>
              </w:tc>
              <w:tc>
                <w:tcPr>
                  <w:tcW w:w="1516" w:type="dxa"/>
                </w:tcPr>
                <w:p>
                  <w:pPr>
                    <w:snapToGrid w:val="0"/>
                    <w:spacing w:line="360" w:lineRule="auto"/>
                    <w:jc w:val="center"/>
                    <w:rPr>
                      <w:kern w:val="21"/>
                      <w:szCs w:val="21"/>
                    </w:rPr>
                  </w:pPr>
                  <w:r>
                    <w:rPr>
                      <w:kern w:val="21"/>
                      <w:szCs w:val="21"/>
                    </w:rPr>
                    <w:t>VOC去除率</w:t>
                  </w:r>
                </w:p>
              </w:tc>
            </w:tr>
            <w:tr>
              <w:tblPrEx>
                <w:tblW w:w="9356" w:type="dxa"/>
                <w:jc w:val="center"/>
                <w:tblInd w:w="113" w:type="dxa"/>
                <w:tblLayout w:type="fixed"/>
                <w:tblCellMar>
                  <w:top w:w="0" w:type="dxa"/>
                  <w:left w:w="108" w:type="dxa"/>
                  <w:bottom w:w="0" w:type="dxa"/>
                  <w:right w:w="108" w:type="dxa"/>
                </w:tblCellMar>
                <w:tblLook w:val="0000"/>
              </w:tblPrEx>
              <w:trPr>
                <w:trHeight w:val="332"/>
                <w:jc w:val="center"/>
              </w:trPr>
              <w:tc>
                <w:tcPr>
                  <w:tcW w:w="1210" w:type="dxa"/>
                </w:tcPr>
                <w:p>
                  <w:pPr>
                    <w:snapToGrid w:val="0"/>
                    <w:spacing w:line="360" w:lineRule="auto"/>
                    <w:jc w:val="center"/>
                    <w:rPr>
                      <w:kern w:val="21"/>
                      <w:szCs w:val="21"/>
                    </w:rPr>
                  </w:pPr>
                  <w:r>
                    <w:rPr>
                      <w:kern w:val="21"/>
                      <w:szCs w:val="21"/>
                    </w:rPr>
                    <w:t>5000m</w:t>
                  </w:r>
                  <w:r>
                    <w:rPr>
                      <w:kern w:val="21"/>
                      <w:szCs w:val="21"/>
                      <w:vertAlign w:val="superscript"/>
                    </w:rPr>
                    <w:t>3</w:t>
                  </w:r>
                  <w:r>
                    <w:rPr>
                      <w:kern w:val="21"/>
                      <w:szCs w:val="21"/>
                    </w:rPr>
                    <w:t>/h</w:t>
                  </w:r>
                </w:p>
              </w:tc>
              <w:tc>
                <w:tcPr>
                  <w:tcW w:w="1701" w:type="dxa"/>
                </w:tcPr>
                <w:p>
                  <w:pPr>
                    <w:snapToGrid w:val="0"/>
                    <w:spacing w:line="360" w:lineRule="auto"/>
                    <w:jc w:val="center"/>
                    <w:rPr>
                      <w:kern w:val="21"/>
                      <w:szCs w:val="21"/>
                    </w:rPr>
                  </w:pPr>
                  <w:r>
                    <w:rPr>
                      <w:kern w:val="21"/>
                      <w:szCs w:val="21"/>
                    </w:rPr>
                    <w:t>＜</w:t>
                  </w:r>
                  <w:r>
                    <w:rPr>
                      <w:rFonts w:hint="eastAsia"/>
                      <w:kern w:val="21"/>
                      <w:szCs w:val="21"/>
                    </w:rPr>
                    <w:t>3000mg/Nm</w:t>
                  </w:r>
                  <w:r>
                    <w:rPr>
                      <w:rFonts w:hint="eastAsia"/>
                      <w:kern w:val="21"/>
                      <w:szCs w:val="21"/>
                      <w:vertAlign w:val="superscript"/>
                    </w:rPr>
                    <w:t>3</w:t>
                  </w:r>
                </w:p>
              </w:tc>
              <w:tc>
                <w:tcPr>
                  <w:tcW w:w="1276" w:type="dxa"/>
                </w:tcPr>
                <w:p>
                  <w:pPr>
                    <w:snapToGrid w:val="0"/>
                    <w:spacing w:line="360" w:lineRule="auto"/>
                    <w:jc w:val="center"/>
                    <w:rPr>
                      <w:kern w:val="21"/>
                      <w:szCs w:val="21"/>
                    </w:rPr>
                  </w:pPr>
                  <w:r>
                    <w:rPr>
                      <w:kern w:val="21"/>
                      <w:szCs w:val="21"/>
                    </w:rPr>
                    <w:t>760~820℃</w:t>
                  </w:r>
                </w:p>
              </w:tc>
              <w:tc>
                <w:tcPr>
                  <w:tcW w:w="1275" w:type="dxa"/>
                </w:tcPr>
                <w:p>
                  <w:pPr>
                    <w:snapToGrid w:val="0"/>
                    <w:spacing w:line="360" w:lineRule="auto"/>
                    <w:jc w:val="center"/>
                    <w:rPr>
                      <w:kern w:val="21"/>
                      <w:szCs w:val="21"/>
                    </w:rPr>
                  </w:pPr>
                  <w:r>
                    <w:rPr>
                      <w:kern w:val="21"/>
                      <w:szCs w:val="21"/>
                    </w:rPr>
                    <w:t>~30℃</w:t>
                  </w:r>
                </w:p>
              </w:tc>
              <w:tc>
                <w:tcPr>
                  <w:tcW w:w="1132" w:type="dxa"/>
                </w:tcPr>
                <w:p>
                  <w:pPr>
                    <w:snapToGrid w:val="0"/>
                    <w:spacing w:line="360" w:lineRule="auto"/>
                    <w:jc w:val="center"/>
                    <w:rPr>
                      <w:kern w:val="21"/>
                      <w:szCs w:val="21"/>
                    </w:rPr>
                  </w:pPr>
                  <w:r>
                    <w:rPr>
                      <w:kern w:val="21"/>
                      <w:szCs w:val="21"/>
                    </w:rPr>
                    <w:t>~85℃</w:t>
                  </w:r>
                </w:p>
              </w:tc>
              <w:tc>
                <w:tcPr>
                  <w:tcW w:w="1246" w:type="dxa"/>
                </w:tcPr>
                <w:p>
                  <w:pPr>
                    <w:snapToGrid w:val="0"/>
                    <w:spacing w:line="360" w:lineRule="auto"/>
                    <w:jc w:val="center"/>
                    <w:rPr>
                      <w:kern w:val="21"/>
                      <w:szCs w:val="21"/>
                    </w:rPr>
                  </w:pPr>
                  <w:r>
                    <w:rPr>
                      <w:kern w:val="21"/>
                      <w:szCs w:val="21"/>
                    </w:rPr>
                    <w:t>≥1s</w:t>
                  </w:r>
                </w:p>
              </w:tc>
              <w:tc>
                <w:tcPr>
                  <w:tcW w:w="1516" w:type="dxa"/>
                </w:tcPr>
                <w:p>
                  <w:pPr>
                    <w:snapToGrid w:val="0"/>
                    <w:spacing w:line="360" w:lineRule="auto"/>
                    <w:jc w:val="center"/>
                    <w:rPr>
                      <w:kern w:val="21"/>
                      <w:szCs w:val="21"/>
                    </w:rPr>
                  </w:pPr>
                  <w:r>
                    <w:rPr>
                      <w:kern w:val="21"/>
                      <w:szCs w:val="21"/>
                    </w:rPr>
                    <w:t>≥98~99%</w:t>
                  </w:r>
                </w:p>
              </w:tc>
            </w:tr>
          </w:tbl>
          <w:p>
            <w:pPr>
              <w:snapToGrid w:val="0"/>
              <w:spacing w:line="360" w:lineRule="auto"/>
              <w:ind w:firstLine="480" w:firstLineChars="200"/>
              <w:rPr>
                <w:rFonts w:hint="eastAsia"/>
                <w:kern w:val="21"/>
                <w:sz w:val="24"/>
                <w:szCs w:val="20"/>
              </w:rPr>
            </w:pPr>
            <w:r>
              <w:rPr>
                <w:rFonts w:hint="eastAsia"/>
                <w:kern w:val="21"/>
                <w:sz w:val="24"/>
                <w:szCs w:val="20"/>
              </w:rPr>
              <w:t>VOC</w:t>
            </w:r>
            <w:r>
              <w:rPr>
                <w:rFonts w:hint="eastAsia"/>
                <w:kern w:val="21"/>
                <w:sz w:val="24"/>
                <w:szCs w:val="20"/>
                <w:vertAlign w:val="subscript"/>
              </w:rPr>
              <w:t>S</w:t>
            </w:r>
            <w:r>
              <w:rPr>
                <w:rFonts w:hint="eastAsia"/>
                <w:kern w:val="21"/>
                <w:sz w:val="24"/>
                <w:szCs w:val="20"/>
              </w:rPr>
              <w:t>经高温氧化分解为无害的CO</w:t>
            </w:r>
            <w:r>
              <w:rPr>
                <w:rFonts w:hint="eastAsia"/>
                <w:kern w:val="21"/>
                <w:sz w:val="24"/>
                <w:szCs w:val="20"/>
                <w:vertAlign w:val="subscript"/>
              </w:rPr>
              <w:t>2</w:t>
            </w:r>
            <w:r>
              <w:rPr>
                <w:rFonts w:hint="eastAsia"/>
                <w:kern w:val="21"/>
                <w:sz w:val="24"/>
                <w:szCs w:val="20"/>
              </w:rPr>
              <w:t>和H</w:t>
            </w:r>
            <w:r>
              <w:rPr>
                <w:rFonts w:hint="eastAsia"/>
                <w:kern w:val="21"/>
                <w:sz w:val="24"/>
                <w:szCs w:val="20"/>
                <w:vertAlign w:val="subscript"/>
              </w:rPr>
              <w:t>2</w:t>
            </w:r>
            <w:r>
              <w:rPr>
                <w:rFonts w:hint="eastAsia"/>
                <w:kern w:val="21"/>
                <w:sz w:val="24"/>
                <w:szCs w:val="20"/>
              </w:rPr>
              <w:t>O，VOC</w:t>
            </w:r>
            <w:r>
              <w:rPr>
                <w:rFonts w:hint="eastAsia"/>
                <w:kern w:val="21"/>
                <w:sz w:val="24"/>
                <w:szCs w:val="20"/>
                <w:vertAlign w:val="subscript"/>
              </w:rPr>
              <w:t>S</w:t>
            </w:r>
            <w:r>
              <w:rPr>
                <w:rFonts w:hint="eastAsia"/>
                <w:kern w:val="21"/>
                <w:sz w:val="24"/>
                <w:szCs w:val="20"/>
              </w:rPr>
              <w:t>去除效率可达98%以上，风机风量为5000m</w:t>
            </w:r>
            <w:r>
              <w:rPr>
                <w:rFonts w:hint="eastAsia"/>
                <w:kern w:val="21"/>
                <w:sz w:val="24"/>
                <w:szCs w:val="20"/>
                <w:vertAlign w:val="superscript"/>
              </w:rPr>
              <w:t>3</w:t>
            </w:r>
            <w:r>
              <w:rPr>
                <w:rFonts w:hint="eastAsia"/>
                <w:kern w:val="21"/>
                <w:sz w:val="24"/>
                <w:szCs w:val="20"/>
              </w:rPr>
              <w:t>/h，则项目VOC</w:t>
            </w:r>
            <w:r>
              <w:rPr>
                <w:rFonts w:hint="eastAsia"/>
                <w:kern w:val="21"/>
                <w:sz w:val="24"/>
                <w:szCs w:val="20"/>
                <w:vertAlign w:val="subscript"/>
              </w:rPr>
              <w:t>S</w:t>
            </w:r>
            <w:r>
              <w:rPr>
                <w:rFonts w:hint="eastAsia"/>
                <w:kern w:val="21"/>
                <w:sz w:val="24"/>
                <w:szCs w:val="20"/>
              </w:rPr>
              <w:t>排放浓度为0.204mg/m</w:t>
            </w:r>
            <w:r>
              <w:rPr>
                <w:rFonts w:hint="eastAsia"/>
                <w:kern w:val="21"/>
                <w:sz w:val="24"/>
                <w:szCs w:val="20"/>
                <w:vertAlign w:val="superscript"/>
              </w:rPr>
              <w:t>3</w:t>
            </w:r>
            <w:r>
              <w:rPr>
                <w:rFonts w:hint="eastAsia"/>
                <w:kern w:val="21"/>
                <w:sz w:val="24"/>
                <w:szCs w:val="20"/>
              </w:rPr>
              <w:t>。VOC</w:t>
            </w:r>
            <w:r>
              <w:rPr>
                <w:rFonts w:hint="eastAsia"/>
                <w:kern w:val="21"/>
                <w:sz w:val="24"/>
                <w:szCs w:val="20"/>
                <w:vertAlign w:val="subscript"/>
              </w:rPr>
              <w:t>S</w:t>
            </w:r>
            <w:r>
              <w:rPr>
                <w:rFonts w:hint="eastAsia"/>
                <w:kern w:val="21"/>
                <w:sz w:val="24"/>
                <w:szCs w:val="20"/>
              </w:rPr>
              <w:t>的排放总量约为4.1kg/a，排放速率为0.001kg/h，废气最终通过15m高排气筒排放。因此项目VOC</w:t>
            </w:r>
            <w:r>
              <w:rPr>
                <w:rFonts w:hint="eastAsia"/>
                <w:kern w:val="21"/>
                <w:sz w:val="24"/>
                <w:szCs w:val="20"/>
                <w:vertAlign w:val="subscript"/>
              </w:rPr>
              <w:t>S</w:t>
            </w:r>
            <w:r>
              <w:rPr>
                <w:rFonts w:hint="eastAsia"/>
                <w:kern w:val="21"/>
                <w:sz w:val="24"/>
                <w:szCs w:val="20"/>
              </w:rPr>
              <w:t>有组织排放的排放速率和排放浓度均能够达到《天津市工业企业挥发性有机物排放控制标准》（DB12/524-2014）中限值要求。</w:t>
            </w:r>
          </w:p>
          <w:p>
            <w:pPr>
              <w:snapToGrid w:val="0"/>
              <w:spacing w:line="360" w:lineRule="auto"/>
              <w:ind w:firstLine="480" w:firstLineChars="200"/>
              <w:rPr>
                <w:rFonts w:hint="eastAsia"/>
                <w:kern w:val="21"/>
                <w:sz w:val="24"/>
                <w:szCs w:val="20"/>
              </w:rPr>
            </w:pPr>
            <w:r>
              <w:rPr>
                <w:rFonts w:hint="eastAsia"/>
                <w:kern w:val="21"/>
                <w:sz w:val="24"/>
                <w:szCs w:val="20"/>
              </w:rPr>
              <w:t>（2）RTO炉燃烧废气</w:t>
            </w:r>
          </w:p>
          <w:p>
            <w:pPr>
              <w:snapToGrid w:val="0"/>
              <w:spacing w:after="0" w:line="360" w:lineRule="auto"/>
              <w:ind w:firstLine="480" w:firstLineChars="200"/>
              <w:rPr>
                <w:rFonts w:hint="eastAsia"/>
                <w:kern w:val="21"/>
                <w:sz w:val="24"/>
                <w:szCs w:val="20"/>
              </w:rPr>
            </w:pPr>
          </w:p>
        </w:tc>
      </w:tr>
    </w:tbl>
    <w:p>
      <w:pPr>
        <w:sectPr>
          <w:headerReference w:type="default" r:id="rId75"/>
          <w:footerReference w:type="even" r:id="rId76"/>
          <w:footerReference w:type="default" r:id="rId77"/>
          <w:type w:val="nextPage"/>
          <w:pgSz w:w="11906" w:h="16838"/>
          <w:pgMar w:top="1440" w:right="1469" w:bottom="1440" w:left="1797" w:header="851" w:footer="992" w:gutter="0"/>
          <w:pgNumType w:start="24"/>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60"/>
          <w:jc w:val="center"/>
        </w:trPr>
        <w:tc>
          <w:tcPr>
            <w:tcW w:w="8640" w:type="dxa"/>
            <w:tcBorders>
              <w:top w:val="single" w:sz="4" w:space="0" w:color="auto"/>
              <w:left w:val="single" w:sz="4" w:space="0" w:color="auto"/>
              <w:bottom w:val="single" w:sz="4" w:space="0" w:color="auto"/>
              <w:right w:val="single" w:sz="4" w:space="0" w:color="auto"/>
            </w:tcBorders>
          </w:tcPr>
          <w:p>
            <w:pPr>
              <w:snapToGrid w:val="0"/>
              <w:spacing w:before="0" w:line="360" w:lineRule="auto"/>
              <w:ind w:firstLine="480" w:firstLineChars="200"/>
              <w:rPr>
                <w:rFonts w:hint="eastAsia"/>
                <w:kern w:val="21"/>
                <w:sz w:val="24"/>
                <w:szCs w:val="20"/>
              </w:rPr>
            </w:pPr>
            <w:r>
              <w:rPr>
                <w:rFonts w:hint="eastAsia"/>
                <w:kern w:val="21"/>
                <w:sz w:val="24"/>
                <w:szCs w:val="20"/>
              </w:rPr>
              <w:t>本项目拟设一套RTO蓄热式焚烧炉，在废气处理过程中需要消耗能源，保持控制温度，根据建设单位提供资料，燃料采用轻柴油，项目运行后轻柴油使用量约为25t/a，工作时间为250d/a，每天工作时间16小时，</w:t>
            </w:r>
            <w:r>
              <w:rPr>
                <w:kern w:val="21"/>
                <w:sz w:val="24"/>
                <w:szCs w:val="20"/>
              </w:rPr>
              <w:t>燃烧产生的污染物主要为SO</w:t>
            </w:r>
            <w:r>
              <w:rPr>
                <w:kern w:val="21"/>
                <w:sz w:val="24"/>
                <w:szCs w:val="20"/>
                <w:vertAlign w:val="subscript"/>
              </w:rPr>
              <w:t>2</w:t>
            </w:r>
            <w:r>
              <w:rPr>
                <w:rFonts w:hint="eastAsia"/>
                <w:kern w:val="21"/>
                <w:sz w:val="24"/>
                <w:szCs w:val="20"/>
              </w:rPr>
              <w:t>、</w:t>
            </w:r>
            <w:r>
              <w:rPr>
                <w:kern w:val="21"/>
                <w:sz w:val="24"/>
                <w:szCs w:val="20"/>
              </w:rPr>
              <w:t>NOx和烟尘。</w:t>
            </w:r>
          </w:p>
          <w:p>
            <w:pPr>
              <w:snapToGrid w:val="0"/>
              <w:spacing w:line="360" w:lineRule="auto"/>
              <w:ind w:firstLine="480" w:firstLineChars="200"/>
              <w:rPr>
                <w:kern w:val="21"/>
                <w:sz w:val="24"/>
                <w:szCs w:val="20"/>
              </w:rPr>
            </w:pPr>
            <w:r>
              <w:rPr>
                <w:kern w:val="21"/>
                <w:sz w:val="24"/>
                <w:szCs w:val="20"/>
              </w:rPr>
              <w:t>SO</w:t>
            </w:r>
            <w:r>
              <w:rPr>
                <w:kern w:val="21"/>
                <w:sz w:val="24"/>
                <w:szCs w:val="20"/>
                <w:vertAlign w:val="subscript"/>
              </w:rPr>
              <w:t>2</w:t>
            </w:r>
            <w:r>
              <w:rPr>
                <w:rFonts w:hint="eastAsia"/>
                <w:kern w:val="21"/>
                <w:sz w:val="24"/>
                <w:szCs w:val="20"/>
              </w:rPr>
              <w:t>、</w:t>
            </w:r>
            <w:r>
              <w:rPr>
                <w:kern w:val="21"/>
                <w:sz w:val="24"/>
                <w:szCs w:val="20"/>
              </w:rPr>
              <w:t>NOx和烟尘产污</w:t>
            </w:r>
            <w:r>
              <w:rPr>
                <w:rFonts w:hint="eastAsia"/>
                <w:kern w:val="21"/>
                <w:sz w:val="24"/>
                <w:szCs w:val="20"/>
              </w:rPr>
              <w:t>系数参考</w:t>
            </w:r>
            <w:r>
              <w:rPr>
                <w:kern w:val="21"/>
                <w:sz w:val="24"/>
                <w:szCs w:val="20"/>
              </w:rPr>
              <w:t>根据《第一次全国污染源普查工业污染源产排污系数手册》中</w:t>
            </w:r>
            <w:r>
              <w:rPr>
                <w:rFonts w:hint="eastAsia"/>
                <w:kern w:val="21"/>
                <w:sz w:val="24"/>
                <w:szCs w:val="20"/>
              </w:rPr>
              <w:t>的产污</w:t>
            </w:r>
            <w:r>
              <w:rPr>
                <w:kern w:val="21"/>
                <w:sz w:val="24"/>
                <w:szCs w:val="20"/>
              </w:rPr>
              <w:t>系数</w:t>
            </w:r>
            <w:r>
              <w:rPr>
                <w:rFonts w:hint="eastAsia"/>
                <w:kern w:val="21"/>
                <w:sz w:val="24"/>
                <w:szCs w:val="20"/>
              </w:rPr>
              <w:t>计算</w:t>
            </w:r>
            <w:r>
              <w:rPr>
                <w:kern w:val="21"/>
                <w:sz w:val="24"/>
                <w:szCs w:val="20"/>
              </w:rPr>
              <w:t>，SO</w:t>
            </w:r>
            <w:r>
              <w:rPr>
                <w:kern w:val="21"/>
                <w:sz w:val="24"/>
                <w:szCs w:val="20"/>
                <w:vertAlign w:val="subscript"/>
              </w:rPr>
              <w:t>2</w:t>
            </w:r>
            <w:r>
              <w:rPr>
                <w:kern w:val="21"/>
                <w:sz w:val="24"/>
                <w:szCs w:val="20"/>
              </w:rPr>
              <w:t>产污系数为</w:t>
            </w:r>
            <w:r>
              <w:rPr>
                <w:rFonts w:hint="eastAsia"/>
                <w:kern w:val="21"/>
                <w:sz w:val="24"/>
                <w:szCs w:val="20"/>
              </w:rPr>
              <w:t>19</w:t>
            </w:r>
            <w:r>
              <w:rPr>
                <w:kern w:val="21"/>
                <w:sz w:val="24"/>
                <w:szCs w:val="20"/>
              </w:rPr>
              <w:t>S千克/</w:t>
            </w:r>
            <w:r>
              <w:rPr>
                <w:rFonts w:hint="eastAsia"/>
                <w:kern w:val="21"/>
                <w:sz w:val="24"/>
                <w:szCs w:val="20"/>
              </w:rPr>
              <w:t>吨</w:t>
            </w:r>
            <w:r>
              <w:rPr>
                <w:kern w:val="21"/>
                <w:sz w:val="24"/>
                <w:szCs w:val="20"/>
              </w:rPr>
              <w:t>-原料</w:t>
            </w:r>
            <w:r>
              <w:rPr>
                <w:kern w:val="21"/>
                <w:sz w:val="24"/>
              </w:rPr>
              <w:t>（</w:t>
            </w:r>
            <w:r>
              <w:rPr>
                <w:sz w:val="24"/>
              </w:rPr>
              <w:t>含硫量</w:t>
            </w:r>
            <w:r>
              <w:rPr>
                <w:rFonts w:hint="eastAsia"/>
                <w:sz w:val="24"/>
              </w:rPr>
              <w:t>S</w:t>
            </w:r>
            <w:r>
              <w:rPr>
                <w:sz w:val="24"/>
              </w:rPr>
              <w:t>是指燃油收到基硫分含量</w:t>
            </w:r>
            <w:r>
              <w:rPr>
                <w:rFonts w:hint="eastAsia"/>
                <w:sz w:val="24"/>
              </w:rPr>
              <w:t>，以%表示，本项目S=0.2</w:t>
            </w:r>
            <w:r>
              <w:rPr>
                <w:kern w:val="21"/>
                <w:sz w:val="24"/>
              </w:rPr>
              <w:t>）、NOx产污系数为</w:t>
            </w:r>
            <w:r>
              <w:rPr>
                <w:rFonts w:hint="eastAsia"/>
                <w:kern w:val="21"/>
                <w:sz w:val="24"/>
              </w:rPr>
              <w:t>3.67</w:t>
            </w:r>
            <w:r>
              <w:rPr>
                <w:kern w:val="21"/>
                <w:sz w:val="24"/>
              </w:rPr>
              <w:t>千克/</w:t>
            </w:r>
            <w:r>
              <w:rPr>
                <w:rFonts w:hint="eastAsia"/>
                <w:kern w:val="21"/>
                <w:sz w:val="24"/>
              </w:rPr>
              <w:t>吨</w:t>
            </w:r>
            <w:r>
              <w:rPr>
                <w:kern w:val="21"/>
                <w:sz w:val="24"/>
              </w:rPr>
              <w:t>-原料</w:t>
            </w:r>
            <w:r>
              <w:rPr>
                <w:rFonts w:hint="eastAsia"/>
                <w:kern w:val="21"/>
                <w:sz w:val="24"/>
              </w:rPr>
              <w:t>、</w:t>
            </w:r>
            <w:r>
              <w:rPr>
                <w:kern w:val="21"/>
                <w:sz w:val="24"/>
              </w:rPr>
              <w:t>烟尘产污系数</w:t>
            </w:r>
            <w:r>
              <w:rPr>
                <w:rFonts w:hint="eastAsia"/>
                <w:kern w:val="21"/>
                <w:sz w:val="24"/>
              </w:rPr>
              <w:t>为0.26千克/吨-原料。则本项目RTO燃烧废气</w:t>
            </w:r>
            <w:r>
              <w:rPr>
                <w:kern w:val="21"/>
                <w:sz w:val="24"/>
                <w:szCs w:val="20"/>
              </w:rPr>
              <w:t>污染物产生排放情况如表</w:t>
            </w:r>
            <w:r>
              <w:rPr>
                <w:rFonts w:hint="eastAsia"/>
                <w:kern w:val="21"/>
                <w:sz w:val="24"/>
                <w:szCs w:val="20"/>
              </w:rPr>
              <w:t>5-6</w:t>
            </w:r>
            <w:r>
              <w:rPr>
                <w:kern w:val="21"/>
                <w:sz w:val="24"/>
                <w:szCs w:val="20"/>
              </w:rPr>
              <w:t>：</w:t>
            </w:r>
          </w:p>
          <w:p>
            <w:pPr>
              <w:pStyle w:val="NormalIndent"/>
              <w:snapToGrid w:val="0"/>
              <w:spacing w:line="360" w:lineRule="auto"/>
              <w:ind w:firstLine="422"/>
              <w:jc w:val="center"/>
              <w:rPr>
                <w:b/>
              </w:rPr>
            </w:pPr>
            <w:r>
              <w:rPr>
                <w:b/>
              </w:rPr>
              <w:t>表</w:t>
            </w:r>
            <w:r>
              <w:rPr>
                <w:rFonts w:hint="eastAsia"/>
                <w:b/>
              </w:rPr>
              <w:t xml:space="preserve">5-6 </w:t>
            </w:r>
            <w:r>
              <w:rPr>
                <w:b/>
              </w:rPr>
              <w:t xml:space="preserve"> </w:t>
            </w:r>
            <w:r>
              <w:rPr>
                <w:rFonts w:hint="eastAsia"/>
                <w:b/>
                <w:kern w:val="21"/>
                <w:szCs w:val="21"/>
              </w:rPr>
              <w:t>RTO炉燃烧废气</w:t>
            </w:r>
            <w:r>
              <w:rPr>
                <w:b/>
                <w:szCs w:val="21"/>
              </w:rPr>
              <w:t>产排情况</w:t>
            </w:r>
            <w:r>
              <w:rPr>
                <w:b/>
              </w:rPr>
              <w:t>一览表</w:t>
            </w:r>
          </w:p>
          <w:tbl>
            <w:tblPr>
              <w:tblStyle w:val="TableNormal"/>
              <w:tblW w:w="9356" w:type="dxa"/>
              <w:jc w:val="center"/>
              <w:tblInd w:w="43" w:type="dxa"/>
              <w:tblBorders>
                <w:top w:val="single" w:sz="12" w:space="0" w:color="auto"/>
                <w:left w:val="single" w:sz="12" w:space="0" w:color="auto"/>
                <w:bottom w:val="single" w:sz="12" w:space="0" w:color="000000"/>
                <w:right w:val="single" w:sz="12" w:space="0" w:color="auto"/>
                <w:insideH w:val="single" w:sz="4" w:space="0" w:color="auto"/>
                <w:insideV w:val="single" w:sz="4" w:space="0" w:color="auto"/>
              </w:tblBorders>
              <w:tblLayout w:type="fixed"/>
              <w:tblCellMar>
                <w:top w:w="0" w:type="dxa"/>
                <w:left w:w="28" w:type="dxa"/>
                <w:bottom w:w="0" w:type="dxa"/>
                <w:right w:w="28" w:type="dxa"/>
              </w:tblCellMar>
              <w:tblLook w:val="0000"/>
            </w:tblPr>
            <w:tblGrid>
              <w:gridCol w:w="785"/>
              <w:gridCol w:w="992"/>
              <w:gridCol w:w="954"/>
              <w:gridCol w:w="749"/>
              <w:gridCol w:w="1150"/>
              <w:gridCol w:w="868"/>
              <w:gridCol w:w="1008"/>
              <w:gridCol w:w="1153"/>
              <w:gridCol w:w="722"/>
              <w:gridCol w:w="975"/>
            </w:tblGrid>
            <w:tr>
              <w:tblPrEx>
                <w:tblW w:w="9356" w:type="dxa"/>
                <w:jc w:val="center"/>
                <w:tblInd w:w="43" w:type="dxa"/>
                <w:tblBorders>
                  <w:top w:val="single" w:sz="12" w:space="0" w:color="auto"/>
                  <w:left w:val="single" w:sz="12" w:space="0" w:color="auto"/>
                  <w:bottom w:val="single" w:sz="12" w:space="0" w:color="000000"/>
                  <w:right w:val="single" w:sz="12" w:space="0" w:color="auto"/>
                  <w:insideH w:val="single" w:sz="4" w:space="0" w:color="auto"/>
                  <w:insideV w:val="single" w:sz="4" w:space="0" w:color="auto"/>
                </w:tblBorders>
                <w:tblLayout w:type="fixed"/>
                <w:tblCellMar>
                  <w:top w:w="0" w:type="dxa"/>
                  <w:left w:w="28" w:type="dxa"/>
                  <w:bottom w:w="0" w:type="dxa"/>
                  <w:right w:w="28" w:type="dxa"/>
                </w:tblCellMar>
                <w:tblLook w:val="0000"/>
              </w:tblPrEx>
              <w:trPr>
                <w:trHeight w:val="311"/>
                <w:jc w:val="center"/>
              </w:trPr>
              <w:tc>
                <w:tcPr>
                  <w:tcW w:w="785" w:type="dxa"/>
                  <w:vAlign w:val="center"/>
                </w:tcPr>
                <w:p>
                  <w:pPr>
                    <w:pStyle w:val="a"/>
                    <w:rPr>
                      <w:lang w:val="en-US" w:eastAsia="zh-CN"/>
                    </w:rPr>
                  </w:pPr>
                  <w:r>
                    <w:rPr>
                      <w:rFonts w:hint="eastAsia"/>
                      <w:lang w:val="en-US" w:eastAsia="zh-CN"/>
                    </w:rPr>
                    <w:t>燃料</w:t>
                  </w:r>
                </w:p>
              </w:tc>
              <w:tc>
                <w:tcPr>
                  <w:tcW w:w="992" w:type="dxa"/>
                  <w:vAlign w:val="center"/>
                </w:tcPr>
                <w:p>
                  <w:pPr>
                    <w:pStyle w:val="a"/>
                    <w:rPr>
                      <w:rFonts w:hint="eastAsia"/>
                      <w:lang w:val="en-US" w:eastAsia="zh-CN"/>
                    </w:rPr>
                  </w:pPr>
                  <w:r>
                    <w:rPr>
                      <w:lang w:val="en-US" w:eastAsia="zh-CN"/>
                    </w:rPr>
                    <w:t>用量</w:t>
                  </w:r>
                </w:p>
                <w:p>
                  <w:pPr>
                    <w:pStyle w:val="a"/>
                    <w:rPr>
                      <w:lang w:val="en-US" w:eastAsia="zh-CN"/>
                    </w:rPr>
                  </w:pPr>
                  <w:r>
                    <w:rPr>
                      <w:rFonts w:hint="eastAsia"/>
                      <w:lang w:val="en-US" w:eastAsia="zh-CN"/>
                    </w:rPr>
                    <w:t>（吨/a）</w:t>
                  </w:r>
                </w:p>
              </w:tc>
              <w:tc>
                <w:tcPr>
                  <w:tcW w:w="954" w:type="dxa"/>
                  <w:vAlign w:val="center"/>
                </w:tcPr>
                <w:p>
                  <w:pPr>
                    <w:pStyle w:val="a"/>
                    <w:rPr>
                      <w:lang w:val="en-US" w:eastAsia="zh-CN"/>
                    </w:rPr>
                  </w:pPr>
                  <w:r>
                    <w:rPr>
                      <w:lang w:val="en-US" w:eastAsia="zh-CN"/>
                    </w:rPr>
                    <w:t>烟气量</w:t>
                  </w:r>
                  <w:r>
                    <w:rPr>
                      <w:rFonts w:hint="eastAsia"/>
                      <w:lang w:val="en-US" w:eastAsia="zh-CN"/>
                    </w:rPr>
                    <w:t>（m</w:t>
                  </w:r>
                  <w:r>
                    <w:rPr>
                      <w:rFonts w:hint="eastAsia"/>
                      <w:vertAlign w:val="superscript"/>
                      <w:lang w:val="en-US" w:eastAsia="zh-CN"/>
                    </w:rPr>
                    <w:t>3</w:t>
                  </w:r>
                  <w:r>
                    <w:rPr>
                      <w:rFonts w:hint="eastAsia"/>
                      <w:lang w:val="en-US" w:eastAsia="zh-CN"/>
                    </w:rPr>
                    <w:t>/h）</w:t>
                  </w:r>
                </w:p>
              </w:tc>
              <w:tc>
                <w:tcPr>
                  <w:tcW w:w="749" w:type="dxa"/>
                  <w:vAlign w:val="center"/>
                </w:tcPr>
                <w:p>
                  <w:pPr>
                    <w:pStyle w:val="a"/>
                    <w:rPr>
                      <w:lang w:val="en-US" w:eastAsia="zh-CN"/>
                    </w:rPr>
                  </w:pPr>
                  <w:r>
                    <w:rPr>
                      <w:lang w:val="en-US" w:eastAsia="zh-CN"/>
                    </w:rPr>
                    <w:t>污染物</w:t>
                  </w:r>
                </w:p>
              </w:tc>
              <w:tc>
                <w:tcPr>
                  <w:tcW w:w="1150" w:type="dxa"/>
                  <w:vAlign w:val="center"/>
                </w:tcPr>
                <w:p>
                  <w:pPr>
                    <w:pStyle w:val="a"/>
                    <w:rPr>
                      <w:lang w:val="en-US" w:eastAsia="zh-CN"/>
                    </w:rPr>
                  </w:pPr>
                  <w:r>
                    <w:rPr>
                      <w:lang w:val="en-US" w:eastAsia="zh-CN"/>
                    </w:rPr>
                    <w:t>产生浓度</w:t>
                  </w:r>
                  <w:r>
                    <w:rPr>
                      <w:rFonts w:hint="eastAsia"/>
                      <w:lang w:val="en-US" w:eastAsia="zh-CN"/>
                    </w:rPr>
                    <w:t>（</w:t>
                  </w:r>
                  <w:r>
                    <w:rPr>
                      <w:lang w:val="en-US" w:eastAsia="zh-CN"/>
                    </w:rPr>
                    <w:t>mg/m</w:t>
                  </w:r>
                  <w:r>
                    <w:rPr>
                      <w:vertAlign w:val="superscript"/>
                      <w:lang w:val="en-US" w:eastAsia="zh-CN"/>
                    </w:rPr>
                    <w:t>3</w:t>
                  </w:r>
                  <w:r>
                    <w:rPr>
                      <w:rFonts w:hint="eastAsia"/>
                      <w:lang w:val="en-US" w:eastAsia="zh-CN"/>
                    </w:rPr>
                    <w:t>）</w:t>
                  </w:r>
                </w:p>
              </w:tc>
              <w:tc>
                <w:tcPr>
                  <w:tcW w:w="868" w:type="dxa"/>
                  <w:vAlign w:val="center"/>
                </w:tcPr>
                <w:p>
                  <w:pPr>
                    <w:pStyle w:val="a"/>
                    <w:rPr>
                      <w:lang w:val="en-US" w:eastAsia="zh-CN"/>
                    </w:rPr>
                  </w:pPr>
                  <w:r>
                    <w:rPr>
                      <w:lang w:val="en-US" w:eastAsia="zh-CN"/>
                    </w:rPr>
                    <w:t>产生量</w:t>
                  </w:r>
                  <w:r>
                    <w:rPr>
                      <w:rFonts w:hint="eastAsia"/>
                      <w:lang w:val="en-US" w:eastAsia="zh-CN"/>
                    </w:rPr>
                    <w:t>（t/a）</w:t>
                  </w:r>
                </w:p>
              </w:tc>
              <w:tc>
                <w:tcPr>
                  <w:tcW w:w="1008" w:type="dxa"/>
                  <w:vAlign w:val="center"/>
                </w:tcPr>
                <w:p>
                  <w:pPr>
                    <w:pStyle w:val="a"/>
                    <w:rPr>
                      <w:lang w:val="en-US" w:eastAsia="zh-CN"/>
                    </w:rPr>
                  </w:pPr>
                  <w:r>
                    <w:rPr>
                      <w:rFonts w:hint="eastAsia"/>
                      <w:lang w:val="en-US" w:eastAsia="zh-CN"/>
                    </w:rPr>
                    <w:t>产生速率（kg/h）</w:t>
                  </w:r>
                </w:p>
              </w:tc>
              <w:tc>
                <w:tcPr>
                  <w:tcW w:w="1153" w:type="dxa"/>
                  <w:vAlign w:val="center"/>
                </w:tcPr>
                <w:p>
                  <w:pPr>
                    <w:pStyle w:val="a"/>
                    <w:rPr>
                      <w:lang w:val="en-US" w:eastAsia="zh-CN"/>
                    </w:rPr>
                  </w:pPr>
                  <w:r>
                    <w:rPr>
                      <w:lang w:val="en-US" w:eastAsia="zh-CN"/>
                    </w:rPr>
                    <w:t>排放浓度</w:t>
                  </w:r>
                  <w:r>
                    <w:rPr>
                      <w:rFonts w:hint="eastAsia"/>
                      <w:lang w:val="en-US" w:eastAsia="zh-CN"/>
                    </w:rPr>
                    <w:t>（</w:t>
                  </w:r>
                  <w:r>
                    <w:rPr>
                      <w:lang w:val="en-US" w:eastAsia="zh-CN"/>
                    </w:rPr>
                    <w:t>mg/m</w:t>
                  </w:r>
                  <w:r>
                    <w:rPr>
                      <w:vertAlign w:val="superscript"/>
                      <w:lang w:val="en-US" w:eastAsia="zh-CN"/>
                    </w:rPr>
                    <w:t>3</w:t>
                  </w:r>
                  <w:r>
                    <w:rPr>
                      <w:rFonts w:hint="eastAsia"/>
                      <w:lang w:val="en-US" w:eastAsia="zh-CN"/>
                    </w:rPr>
                    <w:t>）</w:t>
                  </w:r>
                </w:p>
              </w:tc>
              <w:tc>
                <w:tcPr>
                  <w:tcW w:w="722" w:type="dxa"/>
                  <w:vAlign w:val="center"/>
                </w:tcPr>
                <w:p>
                  <w:pPr>
                    <w:pStyle w:val="a"/>
                    <w:rPr>
                      <w:lang w:val="en-US" w:eastAsia="zh-CN"/>
                    </w:rPr>
                  </w:pPr>
                  <w:r>
                    <w:rPr>
                      <w:lang w:val="en-US" w:eastAsia="zh-CN"/>
                    </w:rPr>
                    <w:t>排放量</w:t>
                  </w:r>
                  <w:r>
                    <w:rPr>
                      <w:rFonts w:hint="eastAsia"/>
                      <w:lang w:val="en-US" w:eastAsia="zh-CN"/>
                    </w:rPr>
                    <w:t>（t/a）</w:t>
                  </w:r>
                </w:p>
              </w:tc>
              <w:tc>
                <w:tcPr>
                  <w:tcW w:w="975" w:type="dxa"/>
                  <w:vAlign w:val="center"/>
                </w:tcPr>
                <w:p>
                  <w:pPr>
                    <w:pStyle w:val="a"/>
                    <w:rPr>
                      <w:lang w:val="en-US" w:eastAsia="zh-CN"/>
                    </w:rPr>
                  </w:pPr>
                  <w:r>
                    <w:rPr>
                      <w:rFonts w:hint="eastAsia"/>
                      <w:lang w:val="en-US" w:eastAsia="zh-CN"/>
                    </w:rPr>
                    <w:t>排放速率（kg/h）</w:t>
                  </w:r>
                </w:p>
              </w:tc>
            </w:tr>
            <w:tr>
              <w:tblPrEx>
                <w:tblW w:w="9356" w:type="dxa"/>
                <w:jc w:val="center"/>
                <w:tblInd w:w="43" w:type="dxa"/>
                <w:tblLayout w:type="fixed"/>
                <w:tblCellMar>
                  <w:top w:w="0" w:type="dxa"/>
                  <w:left w:w="28" w:type="dxa"/>
                  <w:bottom w:w="0" w:type="dxa"/>
                  <w:right w:w="28" w:type="dxa"/>
                </w:tblCellMar>
                <w:tblLook w:val="0000"/>
              </w:tblPrEx>
              <w:trPr>
                <w:trHeight w:val="190"/>
                <w:jc w:val="center"/>
              </w:trPr>
              <w:tc>
                <w:tcPr>
                  <w:tcW w:w="785" w:type="dxa"/>
                  <w:vMerge w:val="restart"/>
                  <w:vAlign w:val="center"/>
                </w:tcPr>
                <w:p>
                  <w:pPr>
                    <w:pStyle w:val="a"/>
                    <w:rPr>
                      <w:lang w:val="en-US" w:eastAsia="zh-CN"/>
                    </w:rPr>
                  </w:pPr>
                  <w:r>
                    <w:rPr>
                      <w:rFonts w:hint="eastAsia"/>
                      <w:lang w:val="en-US" w:eastAsia="zh-CN"/>
                    </w:rPr>
                    <w:t>轻柴油</w:t>
                  </w:r>
                </w:p>
              </w:tc>
              <w:tc>
                <w:tcPr>
                  <w:tcW w:w="992" w:type="dxa"/>
                  <w:vMerge w:val="restart"/>
                  <w:vAlign w:val="center"/>
                </w:tcPr>
                <w:p>
                  <w:pPr>
                    <w:pStyle w:val="a"/>
                    <w:rPr>
                      <w:lang w:val="en-US" w:eastAsia="zh-CN"/>
                    </w:rPr>
                  </w:pPr>
                  <w:r>
                    <w:rPr>
                      <w:rFonts w:hint="eastAsia"/>
                      <w:lang w:val="en-US" w:eastAsia="zh-CN"/>
                    </w:rPr>
                    <w:t>25</w:t>
                  </w:r>
                </w:p>
              </w:tc>
              <w:tc>
                <w:tcPr>
                  <w:tcW w:w="954" w:type="dxa"/>
                  <w:vMerge w:val="restart"/>
                  <w:vAlign w:val="center"/>
                </w:tcPr>
                <w:p>
                  <w:pPr>
                    <w:pStyle w:val="a"/>
                    <w:rPr>
                      <w:lang w:val="en-US" w:eastAsia="zh-CN"/>
                    </w:rPr>
                  </w:pPr>
                  <w:r>
                    <w:rPr>
                      <w:rFonts w:hint="eastAsia"/>
                      <w:lang w:val="en-US" w:eastAsia="zh-CN"/>
                    </w:rPr>
                    <w:t>5000</w:t>
                  </w:r>
                </w:p>
              </w:tc>
              <w:tc>
                <w:tcPr>
                  <w:tcW w:w="749" w:type="dxa"/>
                  <w:vAlign w:val="center"/>
                </w:tcPr>
                <w:p>
                  <w:pPr>
                    <w:pStyle w:val="a"/>
                    <w:rPr>
                      <w:lang w:val="en-US" w:eastAsia="zh-CN"/>
                    </w:rPr>
                  </w:pPr>
                  <w:r>
                    <w:rPr>
                      <w:lang w:val="en-US" w:eastAsia="zh-CN"/>
                    </w:rPr>
                    <w:t>SO</w:t>
                  </w:r>
                  <w:r>
                    <w:rPr>
                      <w:vertAlign w:val="subscript"/>
                      <w:lang w:val="en-US" w:eastAsia="zh-CN"/>
                    </w:rPr>
                    <w:t>2</w:t>
                  </w:r>
                </w:p>
              </w:tc>
              <w:tc>
                <w:tcPr>
                  <w:tcW w:w="1150" w:type="dxa"/>
                  <w:vAlign w:val="center"/>
                </w:tcPr>
                <w:p>
                  <w:pPr>
                    <w:pStyle w:val="a"/>
                    <w:rPr>
                      <w:lang w:val="en-US" w:eastAsia="zh-CN"/>
                    </w:rPr>
                  </w:pPr>
                  <w:r>
                    <w:rPr>
                      <w:rFonts w:hint="eastAsia"/>
                      <w:lang w:val="en-US" w:eastAsia="zh-CN"/>
                    </w:rPr>
                    <w:t>4.8</w:t>
                  </w:r>
                </w:p>
              </w:tc>
              <w:tc>
                <w:tcPr>
                  <w:tcW w:w="868" w:type="dxa"/>
                  <w:vAlign w:val="center"/>
                </w:tcPr>
                <w:p>
                  <w:pPr>
                    <w:pStyle w:val="a"/>
                    <w:rPr>
                      <w:lang w:val="en-US" w:eastAsia="zh-CN"/>
                    </w:rPr>
                  </w:pPr>
                  <w:r>
                    <w:rPr>
                      <w:rFonts w:hint="eastAsia"/>
                      <w:lang w:val="en-US" w:eastAsia="zh-CN"/>
                    </w:rPr>
                    <w:t>0.095</w:t>
                  </w:r>
                </w:p>
              </w:tc>
              <w:tc>
                <w:tcPr>
                  <w:tcW w:w="1008" w:type="dxa"/>
                  <w:vAlign w:val="center"/>
                </w:tcPr>
                <w:p>
                  <w:pPr>
                    <w:pStyle w:val="a"/>
                    <w:rPr>
                      <w:lang w:val="en-US" w:eastAsia="zh-CN"/>
                    </w:rPr>
                  </w:pPr>
                  <w:r>
                    <w:rPr>
                      <w:rFonts w:hint="eastAsia"/>
                      <w:lang w:val="en-US" w:eastAsia="zh-CN"/>
                    </w:rPr>
                    <w:t>0.024</w:t>
                  </w:r>
                </w:p>
              </w:tc>
              <w:tc>
                <w:tcPr>
                  <w:tcW w:w="1153" w:type="dxa"/>
                  <w:vAlign w:val="center"/>
                </w:tcPr>
                <w:p>
                  <w:pPr>
                    <w:pStyle w:val="a"/>
                    <w:rPr>
                      <w:lang w:val="en-US" w:eastAsia="zh-CN"/>
                    </w:rPr>
                  </w:pPr>
                  <w:r>
                    <w:rPr>
                      <w:rFonts w:hint="eastAsia"/>
                      <w:lang w:val="en-US" w:eastAsia="zh-CN"/>
                    </w:rPr>
                    <w:t>4.8</w:t>
                  </w:r>
                </w:p>
              </w:tc>
              <w:tc>
                <w:tcPr>
                  <w:tcW w:w="722" w:type="dxa"/>
                  <w:vAlign w:val="center"/>
                </w:tcPr>
                <w:p>
                  <w:pPr>
                    <w:pStyle w:val="a"/>
                    <w:rPr>
                      <w:lang w:val="en-US" w:eastAsia="zh-CN"/>
                    </w:rPr>
                  </w:pPr>
                  <w:r>
                    <w:rPr>
                      <w:rFonts w:hint="eastAsia"/>
                      <w:lang w:val="en-US" w:eastAsia="zh-CN"/>
                    </w:rPr>
                    <w:t>0.095</w:t>
                  </w:r>
                </w:p>
              </w:tc>
              <w:tc>
                <w:tcPr>
                  <w:tcW w:w="975" w:type="dxa"/>
                  <w:vAlign w:val="center"/>
                </w:tcPr>
                <w:p>
                  <w:pPr>
                    <w:pStyle w:val="a"/>
                    <w:rPr>
                      <w:lang w:val="en-US" w:eastAsia="zh-CN"/>
                    </w:rPr>
                  </w:pPr>
                  <w:r>
                    <w:rPr>
                      <w:rFonts w:hint="eastAsia"/>
                      <w:lang w:val="en-US" w:eastAsia="zh-CN"/>
                    </w:rPr>
                    <w:t>0.024</w:t>
                  </w:r>
                </w:p>
              </w:tc>
            </w:tr>
            <w:tr>
              <w:tblPrEx>
                <w:tblW w:w="9356" w:type="dxa"/>
                <w:jc w:val="center"/>
                <w:tblInd w:w="43" w:type="dxa"/>
                <w:tblLayout w:type="fixed"/>
                <w:tblCellMar>
                  <w:top w:w="0" w:type="dxa"/>
                  <w:left w:w="28" w:type="dxa"/>
                  <w:bottom w:w="0" w:type="dxa"/>
                  <w:right w:w="28" w:type="dxa"/>
                </w:tblCellMar>
                <w:tblLook w:val="0000"/>
              </w:tblPrEx>
              <w:trPr>
                <w:trHeight w:val="265"/>
                <w:jc w:val="center"/>
              </w:trPr>
              <w:tc>
                <w:tcPr>
                  <w:tcW w:w="785" w:type="dxa"/>
                  <w:vMerge/>
                  <w:vAlign w:val="center"/>
                </w:tcPr>
                <w:p>
                  <w:pPr>
                    <w:pStyle w:val="a"/>
                    <w:rPr>
                      <w:lang w:val="en-US" w:eastAsia="zh-CN"/>
                    </w:rPr>
                  </w:pPr>
                </w:p>
              </w:tc>
              <w:tc>
                <w:tcPr>
                  <w:tcW w:w="992" w:type="dxa"/>
                  <w:vMerge/>
                  <w:vAlign w:val="center"/>
                </w:tcPr>
                <w:p>
                  <w:pPr>
                    <w:pStyle w:val="a"/>
                    <w:rPr>
                      <w:lang w:val="en-US" w:eastAsia="zh-CN"/>
                    </w:rPr>
                  </w:pPr>
                </w:p>
              </w:tc>
              <w:tc>
                <w:tcPr>
                  <w:tcW w:w="954" w:type="dxa"/>
                  <w:vMerge/>
                  <w:vAlign w:val="center"/>
                </w:tcPr>
                <w:p>
                  <w:pPr>
                    <w:pStyle w:val="a"/>
                    <w:rPr>
                      <w:vertAlign w:val="subscript"/>
                      <w:lang w:val="en-US" w:eastAsia="zh-CN"/>
                    </w:rPr>
                  </w:pPr>
                </w:p>
              </w:tc>
              <w:tc>
                <w:tcPr>
                  <w:tcW w:w="749" w:type="dxa"/>
                  <w:vAlign w:val="center"/>
                </w:tcPr>
                <w:p>
                  <w:pPr>
                    <w:pStyle w:val="a"/>
                    <w:rPr>
                      <w:vertAlign w:val="subscript"/>
                      <w:lang w:val="en-US" w:eastAsia="zh-CN"/>
                    </w:rPr>
                  </w:pPr>
                  <w:r>
                    <w:rPr>
                      <w:lang w:val="en-US" w:eastAsia="zh-CN"/>
                    </w:rPr>
                    <w:t>NO</w:t>
                  </w:r>
                  <w:r>
                    <w:rPr>
                      <w:vertAlign w:val="subscript"/>
                      <w:lang w:val="en-US" w:eastAsia="zh-CN"/>
                    </w:rPr>
                    <w:t>X</w:t>
                  </w:r>
                </w:p>
              </w:tc>
              <w:tc>
                <w:tcPr>
                  <w:tcW w:w="1150" w:type="dxa"/>
                  <w:vAlign w:val="center"/>
                </w:tcPr>
                <w:p>
                  <w:pPr>
                    <w:pStyle w:val="a"/>
                    <w:rPr>
                      <w:lang w:val="en-US" w:eastAsia="zh-CN"/>
                    </w:rPr>
                  </w:pPr>
                  <w:r>
                    <w:rPr>
                      <w:rFonts w:hint="eastAsia"/>
                      <w:lang w:val="en-US" w:eastAsia="zh-CN"/>
                    </w:rPr>
                    <w:t>4.6</w:t>
                  </w:r>
                </w:p>
              </w:tc>
              <w:tc>
                <w:tcPr>
                  <w:tcW w:w="868" w:type="dxa"/>
                  <w:vAlign w:val="center"/>
                </w:tcPr>
                <w:p>
                  <w:pPr>
                    <w:pStyle w:val="a"/>
                    <w:rPr>
                      <w:lang w:val="en-US" w:eastAsia="zh-CN"/>
                    </w:rPr>
                  </w:pPr>
                  <w:r>
                    <w:rPr>
                      <w:rFonts w:hint="eastAsia"/>
                      <w:lang w:val="en-US" w:eastAsia="zh-CN"/>
                    </w:rPr>
                    <w:t>0.092</w:t>
                  </w:r>
                </w:p>
              </w:tc>
              <w:tc>
                <w:tcPr>
                  <w:tcW w:w="1008" w:type="dxa"/>
                  <w:vAlign w:val="center"/>
                </w:tcPr>
                <w:p>
                  <w:pPr>
                    <w:pStyle w:val="a"/>
                    <w:rPr>
                      <w:lang w:val="en-US" w:eastAsia="zh-CN"/>
                    </w:rPr>
                  </w:pPr>
                  <w:r>
                    <w:rPr>
                      <w:rFonts w:hint="eastAsia"/>
                      <w:lang w:val="en-US" w:eastAsia="zh-CN"/>
                    </w:rPr>
                    <w:t>0.023</w:t>
                  </w:r>
                </w:p>
              </w:tc>
              <w:tc>
                <w:tcPr>
                  <w:tcW w:w="1153" w:type="dxa"/>
                  <w:vAlign w:val="center"/>
                </w:tcPr>
                <w:p>
                  <w:pPr>
                    <w:pStyle w:val="a"/>
                    <w:rPr>
                      <w:lang w:val="en-US" w:eastAsia="zh-CN"/>
                    </w:rPr>
                  </w:pPr>
                  <w:r>
                    <w:rPr>
                      <w:rFonts w:hint="eastAsia"/>
                      <w:lang w:val="en-US" w:eastAsia="zh-CN"/>
                    </w:rPr>
                    <w:t>4.6</w:t>
                  </w:r>
                </w:p>
              </w:tc>
              <w:tc>
                <w:tcPr>
                  <w:tcW w:w="722" w:type="dxa"/>
                  <w:vAlign w:val="center"/>
                </w:tcPr>
                <w:p>
                  <w:pPr>
                    <w:pStyle w:val="a"/>
                    <w:rPr>
                      <w:lang w:val="en-US" w:eastAsia="zh-CN"/>
                    </w:rPr>
                  </w:pPr>
                  <w:r>
                    <w:rPr>
                      <w:rFonts w:hint="eastAsia"/>
                      <w:lang w:val="en-US" w:eastAsia="zh-CN"/>
                    </w:rPr>
                    <w:t>0.092</w:t>
                  </w:r>
                </w:p>
              </w:tc>
              <w:tc>
                <w:tcPr>
                  <w:tcW w:w="975" w:type="dxa"/>
                  <w:vAlign w:val="center"/>
                </w:tcPr>
                <w:p>
                  <w:pPr>
                    <w:pStyle w:val="a"/>
                    <w:rPr>
                      <w:lang w:val="en-US" w:eastAsia="zh-CN"/>
                    </w:rPr>
                  </w:pPr>
                  <w:r>
                    <w:rPr>
                      <w:rFonts w:hint="eastAsia"/>
                      <w:lang w:val="en-US" w:eastAsia="zh-CN"/>
                    </w:rPr>
                    <w:t>0.023</w:t>
                  </w:r>
                </w:p>
              </w:tc>
            </w:tr>
            <w:tr>
              <w:tblPrEx>
                <w:tblW w:w="9356" w:type="dxa"/>
                <w:jc w:val="center"/>
                <w:tblInd w:w="43" w:type="dxa"/>
                <w:tblLayout w:type="fixed"/>
                <w:tblCellMar>
                  <w:top w:w="0" w:type="dxa"/>
                  <w:left w:w="28" w:type="dxa"/>
                  <w:bottom w:w="0" w:type="dxa"/>
                  <w:right w:w="28" w:type="dxa"/>
                </w:tblCellMar>
                <w:tblLook w:val="0000"/>
              </w:tblPrEx>
              <w:trPr>
                <w:trHeight w:val="265"/>
                <w:jc w:val="center"/>
              </w:trPr>
              <w:tc>
                <w:tcPr>
                  <w:tcW w:w="785" w:type="dxa"/>
                  <w:vMerge/>
                  <w:vAlign w:val="center"/>
                </w:tcPr>
                <w:p>
                  <w:pPr>
                    <w:pStyle w:val="a"/>
                    <w:rPr>
                      <w:lang w:val="en-US" w:eastAsia="zh-CN"/>
                    </w:rPr>
                  </w:pPr>
                </w:p>
              </w:tc>
              <w:tc>
                <w:tcPr>
                  <w:tcW w:w="992" w:type="dxa"/>
                  <w:vMerge/>
                  <w:vAlign w:val="center"/>
                </w:tcPr>
                <w:p>
                  <w:pPr>
                    <w:pStyle w:val="a"/>
                    <w:rPr>
                      <w:lang w:val="en-US" w:eastAsia="zh-CN"/>
                    </w:rPr>
                  </w:pPr>
                </w:p>
              </w:tc>
              <w:tc>
                <w:tcPr>
                  <w:tcW w:w="954" w:type="dxa"/>
                  <w:vMerge/>
                  <w:vAlign w:val="center"/>
                </w:tcPr>
                <w:p>
                  <w:pPr>
                    <w:pStyle w:val="a"/>
                    <w:rPr>
                      <w:vertAlign w:val="subscript"/>
                      <w:lang w:val="en-US" w:eastAsia="zh-CN"/>
                    </w:rPr>
                  </w:pPr>
                </w:p>
              </w:tc>
              <w:tc>
                <w:tcPr>
                  <w:tcW w:w="749" w:type="dxa"/>
                  <w:vAlign w:val="center"/>
                </w:tcPr>
                <w:p>
                  <w:pPr>
                    <w:pStyle w:val="a"/>
                    <w:rPr>
                      <w:lang w:val="en-US" w:eastAsia="zh-CN"/>
                    </w:rPr>
                  </w:pPr>
                  <w:r>
                    <w:rPr>
                      <w:lang w:val="en-US" w:eastAsia="zh-CN"/>
                    </w:rPr>
                    <w:t>烟尘</w:t>
                  </w:r>
                </w:p>
              </w:tc>
              <w:tc>
                <w:tcPr>
                  <w:tcW w:w="1150" w:type="dxa"/>
                  <w:vAlign w:val="center"/>
                </w:tcPr>
                <w:p>
                  <w:pPr>
                    <w:pStyle w:val="a"/>
                    <w:rPr>
                      <w:rFonts w:hint="eastAsia"/>
                      <w:lang w:val="en-US" w:eastAsia="zh-CN"/>
                    </w:rPr>
                  </w:pPr>
                  <w:r>
                    <w:rPr>
                      <w:rFonts w:hint="eastAsia"/>
                      <w:lang w:val="en-US" w:eastAsia="zh-CN"/>
                    </w:rPr>
                    <w:t>0.4</w:t>
                  </w:r>
                </w:p>
              </w:tc>
              <w:tc>
                <w:tcPr>
                  <w:tcW w:w="868" w:type="dxa"/>
                  <w:vAlign w:val="center"/>
                </w:tcPr>
                <w:p>
                  <w:pPr>
                    <w:pStyle w:val="a"/>
                    <w:rPr>
                      <w:rFonts w:hint="eastAsia"/>
                      <w:lang w:val="en-US" w:eastAsia="zh-CN"/>
                    </w:rPr>
                  </w:pPr>
                  <w:r>
                    <w:rPr>
                      <w:rFonts w:hint="eastAsia"/>
                      <w:lang w:val="en-US" w:eastAsia="zh-CN"/>
                    </w:rPr>
                    <w:t>0.007</w:t>
                  </w:r>
                </w:p>
              </w:tc>
              <w:tc>
                <w:tcPr>
                  <w:tcW w:w="1008" w:type="dxa"/>
                  <w:vAlign w:val="center"/>
                </w:tcPr>
                <w:p>
                  <w:pPr>
                    <w:pStyle w:val="a"/>
                    <w:rPr>
                      <w:rFonts w:hint="eastAsia"/>
                      <w:lang w:val="en-US" w:eastAsia="zh-CN"/>
                    </w:rPr>
                  </w:pPr>
                  <w:r>
                    <w:rPr>
                      <w:rFonts w:hint="eastAsia"/>
                      <w:lang w:val="en-US" w:eastAsia="zh-CN"/>
                    </w:rPr>
                    <w:t>0.002</w:t>
                  </w:r>
                </w:p>
              </w:tc>
              <w:tc>
                <w:tcPr>
                  <w:tcW w:w="1153" w:type="dxa"/>
                  <w:vAlign w:val="center"/>
                </w:tcPr>
                <w:p>
                  <w:pPr>
                    <w:pStyle w:val="a"/>
                    <w:rPr>
                      <w:rFonts w:hint="eastAsia"/>
                      <w:lang w:val="en-US" w:eastAsia="zh-CN"/>
                    </w:rPr>
                  </w:pPr>
                  <w:r>
                    <w:rPr>
                      <w:rFonts w:hint="eastAsia"/>
                      <w:lang w:val="en-US" w:eastAsia="zh-CN"/>
                    </w:rPr>
                    <w:t>0.4</w:t>
                  </w:r>
                </w:p>
              </w:tc>
              <w:tc>
                <w:tcPr>
                  <w:tcW w:w="722" w:type="dxa"/>
                  <w:vAlign w:val="center"/>
                </w:tcPr>
                <w:p>
                  <w:pPr>
                    <w:pStyle w:val="a"/>
                    <w:rPr>
                      <w:rFonts w:hint="eastAsia"/>
                      <w:lang w:val="en-US" w:eastAsia="zh-CN"/>
                    </w:rPr>
                  </w:pPr>
                  <w:r>
                    <w:rPr>
                      <w:rFonts w:hint="eastAsia"/>
                      <w:lang w:val="en-US" w:eastAsia="zh-CN"/>
                    </w:rPr>
                    <w:t>0.007</w:t>
                  </w:r>
                </w:p>
              </w:tc>
              <w:tc>
                <w:tcPr>
                  <w:tcW w:w="975" w:type="dxa"/>
                  <w:vAlign w:val="center"/>
                </w:tcPr>
                <w:p>
                  <w:pPr>
                    <w:pStyle w:val="a"/>
                    <w:rPr>
                      <w:rFonts w:hint="eastAsia"/>
                      <w:lang w:val="en-US" w:eastAsia="zh-CN"/>
                    </w:rPr>
                  </w:pPr>
                  <w:r>
                    <w:rPr>
                      <w:rFonts w:hint="eastAsia"/>
                      <w:lang w:val="en-US" w:eastAsia="zh-CN"/>
                    </w:rPr>
                    <w:t>0.002</w:t>
                  </w:r>
                </w:p>
              </w:tc>
            </w:tr>
          </w:tbl>
          <w:p>
            <w:pPr>
              <w:snapToGrid w:val="0"/>
              <w:spacing w:line="360" w:lineRule="auto"/>
              <w:ind w:firstLine="480" w:firstLineChars="200"/>
              <w:rPr>
                <w:rFonts w:hint="eastAsia"/>
                <w:kern w:val="21"/>
                <w:sz w:val="24"/>
                <w:szCs w:val="20"/>
              </w:rPr>
            </w:pPr>
            <w:r>
              <w:rPr>
                <w:rFonts w:hint="eastAsia"/>
                <w:kern w:val="21"/>
                <w:sz w:val="24"/>
              </w:rPr>
              <w:t>本项目RTO燃烧废气和处理后</w:t>
            </w:r>
            <w:r>
              <w:rPr>
                <w:rFonts w:hint="eastAsia"/>
                <w:kern w:val="21"/>
                <w:sz w:val="24"/>
                <w:szCs w:val="20"/>
              </w:rPr>
              <w:t>VOC</w:t>
            </w:r>
            <w:r>
              <w:rPr>
                <w:rFonts w:hint="eastAsia"/>
                <w:kern w:val="21"/>
                <w:sz w:val="24"/>
                <w:szCs w:val="20"/>
                <w:vertAlign w:val="subscript"/>
              </w:rPr>
              <w:t>S</w:t>
            </w:r>
            <w:r>
              <w:rPr>
                <w:rFonts w:hint="eastAsia"/>
                <w:kern w:val="21"/>
                <w:sz w:val="24"/>
              </w:rPr>
              <w:t>废气一起经15m高排气筒直接排放</w:t>
            </w:r>
            <w:r>
              <w:rPr>
                <w:rFonts w:hint="eastAsia"/>
                <w:sz w:val="24"/>
              </w:rPr>
              <w:t>，</w:t>
            </w:r>
            <w:r>
              <w:rPr>
                <w:rFonts w:hint="eastAsia"/>
                <w:kern w:val="21"/>
                <w:sz w:val="24"/>
              </w:rPr>
              <w:t>由上表结果可知，</w:t>
            </w:r>
            <w:r>
              <w:rPr>
                <w:sz w:val="24"/>
              </w:rPr>
              <w:t>可</w:t>
            </w:r>
            <w:r>
              <w:rPr>
                <w:rFonts w:hint="eastAsia"/>
                <w:sz w:val="24"/>
              </w:rPr>
              <w:t>满足《大气污染物综合排放标准》（GB16297-1996）表2二级标准要求。</w:t>
            </w:r>
          </w:p>
          <w:p>
            <w:pPr>
              <w:adjustRightInd w:val="0"/>
              <w:snapToGrid w:val="0"/>
              <w:spacing w:line="360" w:lineRule="auto"/>
              <w:ind w:firstLine="470" w:firstLineChars="196"/>
              <w:jc w:val="left"/>
              <w:textAlignment w:val="baseline"/>
              <w:rPr>
                <w:b/>
                <w:kern w:val="0"/>
                <w:sz w:val="24"/>
                <w:szCs w:val="20"/>
              </w:rPr>
            </w:pPr>
            <w:r>
              <w:rPr>
                <w:b/>
                <w:kern w:val="0"/>
                <w:sz w:val="24"/>
                <w:szCs w:val="20"/>
              </w:rPr>
              <w:t>3、噪声</w:t>
            </w:r>
          </w:p>
          <w:p>
            <w:pPr>
              <w:snapToGrid w:val="0"/>
              <w:spacing w:line="360" w:lineRule="auto"/>
              <w:ind w:firstLine="573"/>
              <w:rPr>
                <w:rFonts w:hint="eastAsia"/>
                <w:sz w:val="24"/>
              </w:rPr>
            </w:pPr>
            <w:r>
              <w:rPr>
                <w:rFonts w:hint="eastAsia"/>
                <w:sz w:val="24"/>
              </w:rPr>
              <w:t>本项目营运期的主要噪声来源是等离子清洗机、切割机、中央空调冷却塔等生产设备产生的机械噪声。</w:t>
            </w:r>
          </w:p>
          <w:p>
            <w:pPr>
              <w:adjustRightInd w:val="0"/>
              <w:snapToGrid w:val="0"/>
              <w:spacing w:line="360" w:lineRule="auto"/>
              <w:ind w:firstLine="420" w:firstLineChars="200"/>
              <w:jc w:val="center"/>
              <w:textAlignment w:val="baseline"/>
              <w:rPr>
                <w:sz w:val="24"/>
              </w:rPr>
            </w:pPr>
            <w:r>
              <w:rPr>
                <w:b/>
                <w:kern w:val="0"/>
                <w:szCs w:val="21"/>
              </w:rPr>
              <w:t>表</w:t>
            </w:r>
            <w:r>
              <w:rPr>
                <w:rFonts w:hint="eastAsia"/>
                <w:b/>
                <w:kern w:val="0"/>
                <w:szCs w:val="21"/>
              </w:rPr>
              <w:t xml:space="preserve">5-7 </w:t>
            </w:r>
            <w:r>
              <w:rPr>
                <w:b/>
                <w:kern w:val="0"/>
                <w:szCs w:val="21"/>
              </w:rPr>
              <w:t>主要噪声源强情况（单位：dB（A））</w:t>
            </w:r>
          </w:p>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1"/>
              <w:gridCol w:w="3090"/>
              <w:gridCol w:w="1559"/>
              <w:gridCol w:w="1276"/>
              <w:gridCol w:w="2590"/>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841" w:type="dxa"/>
                  <w:vAlign w:val="center"/>
                </w:tcPr>
                <w:p>
                  <w:pPr>
                    <w:adjustRightInd w:val="0"/>
                    <w:snapToGrid w:val="0"/>
                    <w:jc w:val="center"/>
                    <w:textAlignment w:val="baseline"/>
                    <w:rPr>
                      <w:szCs w:val="21"/>
                    </w:rPr>
                  </w:pPr>
                  <w:r>
                    <w:rPr>
                      <w:szCs w:val="21"/>
                    </w:rPr>
                    <w:t>序号</w:t>
                  </w:r>
                </w:p>
              </w:tc>
              <w:tc>
                <w:tcPr>
                  <w:tcW w:w="3090" w:type="dxa"/>
                  <w:vAlign w:val="center"/>
                </w:tcPr>
                <w:p>
                  <w:pPr>
                    <w:adjustRightInd w:val="0"/>
                    <w:snapToGrid w:val="0"/>
                    <w:jc w:val="center"/>
                    <w:textAlignment w:val="baseline"/>
                    <w:rPr>
                      <w:szCs w:val="21"/>
                    </w:rPr>
                  </w:pPr>
                  <w:r>
                    <w:rPr>
                      <w:szCs w:val="21"/>
                    </w:rPr>
                    <w:t>设备名称</w:t>
                  </w:r>
                </w:p>
              </w:tc>
              <w:tc>
                <w:tcPr>
                  <w:tcW w:w="1559" w:type="dxa"/>
                  <w:vAlign w:val="center"/>
                </w:tcPr>
                <w:p>
                  <w:pPr>
                    <w:adjustRightInd w:val="0"/>
                    <w:snapToGrid w:val="0"/>
                    <w:jc w:val="center"/>
                    <w:textAlignment w:val="baseline"/>
                    <w:rPr>
                      <w:szCs w:val="22"/>
                    </w:rPr>
                  </w:pPr>
                  <w:r>
                    <w:rPr>
                      <w:szCs w:val="21"/>
                    </w:rPr>
                    <w:t>源强值（dB）</w:t>
                  </w:r>
                </w:p>
              </w:tc>
              <w:tc>
                <w:tcPr>
                  <w:tcW w:w="1276" w:type="dxa"/>
                  <w:vAlign w:val="center"/>
                </w:tcPr>
                <w:p>
                  <w:pPr>
                    <w:adjustRightInd w:val="0"/>
                    <w:snapToGrid w:val="0"/>
                    <w:jc w:val="center"/>
                    <w:textAlignment w:val="baseline"/>
                    <w:rPr>
                      <w:szCs w:val="21"/>
                    </w:rPr>
                  </w:pPr>
                  <w:r>
                    <w:rPr>
                      <w:szCs w:val="21"/>
                    </w:rPr>
                    <w:t>数量（台）</w:t>
                  </w:r>
                </w:p>
              </w:tc>
              <w:tc>
                <w:tcPr>
                  <w:tcW w:w="2590" w:type="dxa"/>
                  <w:vAlign w:val="center"/>
                </w:tcPr>
                <w:p>
                  <w:pPr>
                    <w:adjustRightInd w:val="0"/>
                    <w:snapToGrid w:val="0"/>
                    <w:jc w:val="center"/>
                    <w:textAlignment w:val="baseline"/>
                    <w:rPr>
                      <w:szCs w:val="21"/>
                    </w:rPr>
                  </w:pPr>
                  <w:r>
                    <w:rPr>
                      <w:szCs w:val="21"/>
                    </w:rPr>
                    <w:t>位置</w:t>
                  </w:r>
                </w:p>
              </w:tc>
            </w:tr>
            <w:tr>
              <w:tblPrEx>
                <w:tblW w:w="9356" w:type="dxa"/>
                <w:tblInd w:w="113" w:type="dxa"/>
                <w:tblLayout w:type="fixed"/>
                <w:tblCellMar>
                  <w:top w:w="0" w:type="dxa"/>
                  <w:left w:w="108" w:type="dxa"/>
                  <w:bottom w:w="0" w:type="dxa"/>
                  <w:right w:w="108" w:type="dxa"/>
                </w:tblCellMar>
                <w:tblLook w:val="0000"/>
              </w:tblPrEx>
              <w:tc>
                <w:tcPr>
                  <w:tcW w:w="841" w:type="dxa"/>
                  <w:vAlign w:val="center"/>
                </w:tcPr>
                <w:p>
                  <w:pPr>
                    <w:adjustRightInd w:val="0"/>
                    <w:snapToGrid w:val="0"/>
                    <w:jc w:val="center"/>
                    <w:textAlignment w:val="baseline"/>
                    <w:rPr>
                      <w:szCs w:val="21"/>
                    </w:rPr>
                  </w:pPr>
                  <w:r>
                    <w:rPr>
                      <w:szCs w:val="21"/>
                    </w:rPr>
                    <w:t>1</w:t>
                  </w:r>
                </w:p>
              </w:tc>
              <w:tc>
                <w:tcPr>
                  <w:tcW w:w="3090" w:type="dxa"/>
                  <w:vAlign w:val="center"/>
                </w:tcPr>
                <w:p>
                  <w:pPr>
                    <w:adjustRightInd w:val="0"/>
                    <w:snapToGrid w:val="0"/>
                    <w:jc w:val="center"/>
                    <w:textAlignment w:val="baseline"/>
                    <w:rPr>
                      <w:rFonts w:hint="eastAsia"/>
                      <w:szCs w:val="21"/>
                    </w:rPr>
                  </w:pPr>
                  <w:r>
                    <w:rPr>
                      <w:rFonts w:hint="eastAsia"/>
                      <w:szCs w:val="21"/>
                    </w:rPr>
                    <w:t>等离子清洗机</w:t>
                  </w:r>
                </w:p>
              </w:tc>
              <w:tc>
                <w:tcPr>
                  <w:tcW w:w="1559" w:type="dxa"/>
                  <w:vAlign w:val="center"/>
                </w:tcPr>
                <w:p>
                  <w:pPr>
                    <w:adjustRightInd w:val="0"/>
                    <w:snapToGrid w:val="0"/>
                    <w:jc w:val="center"/>
                    <w:textAlignment w:val="baseline"/>
                    <w:rPr>
                      <w:szCs w:val="21"/>
                    </w:rPr>
                  </w:pPr>
                  <w:r>
                    <w:rPr>
                      <w:rFonts w:hint="eastAsia"/>
                      <w:szCs w:val="21"/>
                    </w:rPr>
                    <w:t>70~75</w:t>
                  </w:r>
                </w:p>
              </w:tc>
              <w:tc>
                <w:tcPr>
                  <w:tcW w:w="1276" w:type="dxa"/>
                  <w:vAlign w:val="center"/>
                </w:tcPr>
                <w:p>
                  <w:pPr>
                    <w:adjustRightInd w:val="0"/>
                    <w:snapToGrid w:val="0"/>
                    <w:jc w:val="center"/>
                    <w:textAlignment w:val="baseline"/>
                    <w:rPr>
                      <w:rFonts w:hint="eastAsia"/>
                      <w:szCs w:val="21"/>
                    </w:rPr>
                  </w:pPr>
                  <w:r>
                    <w:rPr>
                      <w:rFonts w:hint="eastAsia"/>
                      <w:szCs w:val="21"/>
                    </w:rPr>
                    <w:t>4</w:t>
                  </w:r>
                </w:p>
              </w:tc>
              <w:tc>
                <w:tcPr>
                  <w:tcW w:w="2590" w:type="dxa"/>
                  <w:vMerge w:val="restart"/>
                  <w:vAlign w:val="center"/>
                </w:tcPr>
                <w:p>
                  <w:pPr>
                    <w:adjustRightInd w:val="0"/>
                    <w:snapToGrid w:val="0"/>
                    <w:spacing w:line="312" w:lineRule="atLeast"/>
                    <w:jc w:val="center"/>
                    <w:textAlignment w:val="baseline"/>
                    <w:rPr>
                      <w:rFonts w:hint="eastAsia"/>
                      <w:szCs w:val="21"/>
                    </w:rPr>
                  </w:pPr>
                  <w:r>
                    <w:rPr>
                      <w:rFonts w:hint="eastAsia"/>
                      <w:szCs w:val="21"/>
                    </w:rPr>
                    <w:t>1#生产车间</w:t>
                  </w:r>
                </w:p>
              </w:tc>
            </w:tr>
            <w:tr>
              <w:tblPrEx>
                <w:tblW w:w="9356" w:type="dxa"/>
                <w:tblInd w:w="113" w:type="dxa"/>
                <w:tblLayout w:type="fixed"/>
                <w:tblCellMar>
                  <w:top w:w="0" w:type="dxa"/>
                  <w:left w:w="108" w:type="dxa"/>
                  <w:bottom w:w="0" w:type="dxa"/>
                  <w:right w:w="108" w:type="dxa"/>
                </w:tblCellMar>
                <w:tblLook w:val="0000"/>
              </w:tblPrEx>
              <w:tc>
                <w:tcPr>
                  <w:tcW w:w="841" w:type="dxa"/>
                  <w:vAlign w:val="center"/>
                </w:tcPr>
                <w:p>
                  <w:pPr>
                    <w:adjustRightInd w:val="0"/>
                    <w:snapToGrid w:val="0"/>
                    <w:jc w:val="center"/>
                    <w:textAlignment w:val="baseline"/>
                    <w:rPr>
                      <w:szCs w:val="21"/>
                    </w:rPr>
                  </w:pPr>
                  <w:r>
                    <w:rPr>
                      <w:rFonts w:hint="eastAsia"/>
                      <w:szCs w:val="21"/>
                    </w:rPr>
                    <w:t>2</w:t>
                  </w:r>
                </w:p>
              </w:tc>
              <w:tc>
                <w:tcPr>
                  <w:tcW w:w="3090" w:type="dxa"/>
                  <w:vAlign w:val="center"/>
                </w:tcPr>
                <w:p>
                  <w:pPr>
                    <w:adjustRightInd w:val="0"/>
                    <w:snapToGrid w:val="0"/>
                    <w:jc w:val="center"/>
                    <w:textAlignment w:val="baseline"/>
                    <w:rPr>
                      <w:szCs w:val="21"/>
                    </w:rPr>
                  </w:pPr>
                  <w:r>
                    <w:rPr>
                      <w:rFonts w:hint="eastAsia"/>
                      <w:szCs w:val="21"/>
                    </w:rPr>
                    <w:t>切割机</w:t>
                  </w:r>
                </w:p>
              </w:tc>
              <w:tc>
                <w:tcPr>
                  <w:tcW w:w="1559" w:type="dxa"/>
                  <w:vAlign w:val="center"/>
                </w:tcPr>
                <w:p>
                  <w:pPr>
                    <w:adjustRightInd w:val="0"/>
                    <w:snapToGrid w:val="0"/>
                    <w:jc w:val="center"/>
                    <w:textAlignment w:val="baseline"/>
                    <w:rPr>
                      <w:szCs w:val="21"/>
                    </w:rPr>
                  </w:pPr>
                  <w:r>
                    <w:rPr>
                      <w:szCs w:val="21"/>
                    </w:rPr>
                    <w:t>80</w:t>
                  </w:r>
                  <w:r>
                    <w:rPr>
                      <w:rFonts w:hint="eastAsia"/>
                      <w:szCs w:val="21"/>
                    </w:rPr>
                    <w:t>~85</w:t>
                  </w:r>
                </w:p>
              </w:tc>
              <w:tc>
                <w:tcPr>
                  <w:tcW w:w="1276" w:type="dxa"/>
                  <w:vAlign w:val="center"/>
                </w:tcPr>
                <w:p>
                  <w:pPr>
                    <w:adjustRightInd w:val="0"/>
                    <w:snapToGrid w:val="0"/>
                    <w:jc w:val="center"/>
                    <w:textAlignment w:val="baseline"/>
                    <w:rPr>
                      <w:szCs w:val="21"/>
                    </w:rPr>
                  </w:pPr>
                  <w:r>
                    <w:rPr>
                      <w:rFonts w:hint="eastAsia"/>
                      <w:szCs w:val="21"/>
                    </w:rPr>
                    <w:t>1</w:t>
                  </w:r>
                </w:p>
              </w:tc>
              <w:tc>
                <w:tcPr>
                  <w:tcW w:w="2590" w:type="dxa"/>
                  <w:vMerge/>
                  <w:vAlign w:val="center"/>
                </w:tcPr>
                <w:p>
                  <w:pPr>
                    <w:adjustRightInd w:val="0"/>
                    <w:snapToGrid w:val="0"/>
                    <w:spacing w:line="312" w:lineRule="atLeast"/>
                    <w:jc w:val="center"/>
                    <w:textAlignment w:val="baseline"/>
                    <w:rPr>
                      <w:szCs w:val="21"/>
                    </w:rPr>
                  </w:pPr>
                </w:p>
              </w:tc>
            </w:tr>
            <w:tr>
              <w:tblPrEx>
                <w:tblW w:w="9356" w:type="dxa"/>
                <w:tblInd w:w="113" w:type="dxa"/>
                <w:tblLayout w:type="fixed"/>
                <w:tblCellMar>
                  <w:top w:w="0" w:type="dxa"/>
                  <w:left w:w="108" w:type="dxa"/>
                  <w:bottom w:w="0" w:type="dxa"/>
                  <w:right w:w="108" w:type="dxa"/>
                </w:tblCellMar>
                <w:tblLook w:val="0000"/>
              </w:tblPrEx>
              <w:tc>
                <w:tcPr>
                  <w:tcW w:w="841" w:type="dxa"/>
                  <w:vAlign w:val="center"/>
                </w:tcPr>
                <w:p>
                  <w:pPr>
                    <w:adjustRightInd w:val="0"/>
                    <w:snapToGrid w:val="0"/>
                    <w:jc w:val="center"/>
                    <w:textAlignment w:val="baseline"/>
                    <w:rPr>
                      <w:szCs w:val="21"/>
                    </w:rPr>
                  </w:pPr>
                  <w:r>
                    <w:rPr>
                      <w:rFonts w:hint="eastAsia"/>
                      <w:szCs w:val="21"/>
                    </w:rPr>
                    <w:t>3</w:t>
                  </w:r>
                </w:p>
              </w:tc>
              <w:tc>
                <w:tcPr>
                  <w:tcW w:w="3090" w:type="dxa"/>
                  <w:vAlign w:val="center"/>
                </w:tcPr>
                <w:p>
                  <w:pPr>
                    <w:adjustRightInd w:val="0"/>
                    <w:snapToGrid w:val="0"/>
                    <w:jc w:val="center"/>
                    <w:textAlignment w:val="baseline"/>
                    <w:rPr>
                      <w:szCs w:val="21"/>
                    </w:rPr>
                  </w:pPr>
                  <w:r>
                    <w:rPr>
                      <w:rFonts w:hint="eastAsia"/>
                      <w:szCs w:val="21"/>
                    </w:rPr>
                    <w:t>中央空调</w:t>
                  </w:r>
                  <w:r>
                    <w:rPr>
                      <w:szCs w:val="21"/>
                    </w:rPr>
                    <w:t>冷却塔</w:t>
                  </w:r>
                </w:p>
              </w:tc>
              <w:tc>
                <w:tcPr>
                  <w:tcW w:w="1559" w:type="dxa"/>
                  <w:vAlign w:val="center"/>
                </w:tcPr>
                <w:p>
                  <w:pPr>
                    <w:adjustRightInd w:val="0"/>
                    <w:snapToGrid w:val="0"/>
                    <w:jc w:val="center"/>
                    <w:textAlignment w:val="baseline"/>
                    <w:rPr>
                      <w:szCs w:val="21"/>
                    </w:rPr>
                  </w:pPr>
                  <w:r>
                    <w:rPr>
                      <w:rFonts w:hint="eastAsia"/>
                      <w:szCs w:val="21"/>
                    </w:rPr>
                    <w:t>85~90</w:t>
                  </w:r>
                </w:p>
              </w:tc>
              <w:tc>
                <w:tcPr>
                  <w:tcW w:w="1276" w:type="dxa"/>
                  <w:vAlign w:val="center"/>
                </w:tcPr>
                <w:p>
                  <w:pPr>
                    <w:adjustRightInd w:val="0"/>
                    <w:snapToGrid w:val="0"/>
                    <w:jc w:val="center"/>
                    <w:textAlignment w:val="baseline"/>
                    <w:rPr>
                      <w:szCs w:val="21"/>
                    </w:rPr>
                  </w:pPr>
                  <w:r>
                    <w:rPr>
                      <w:szCs w:val="21"/>
                    </w:rPr>
                    <w:t>1</w:t>
                  </w:r>
                </w:p>
              </w:tc>
              <w:tc>
                <w:tcPr>
                  <w:tcW w:w="2590" w:type="dxa"/>
                  <w:vAlign w:val="center"/>
                </w:tcPr>
                <w:p>
                  <w:pPr>
                    <w:adjustRightInd w:val="0"/>
                    <w:snapToGrid w:val="0"/>
                    <w:jc w:val="center"/>
                    <w:textAlignment w:val="baseline"/>
                    <w:rPr>
                      <w:szCs w:val="21"/>
                    </w:rPr>
                  </w:pPr>
                  <w:r>
                    <w:rPr>
                      <w:rFonts w:hint="eastAsia"/>
                      <w:szCs w:val="21"/>
                    </w:rPr>
                    <w:t>1#车间楼顶</w:t>
                  </w:r>
                </w:p>
              </w:tc>
            </w:tr>
          </w:tbl>
          <w:p>
            <w:pPr>
              <w:adjustRightInd w:val="0"/>
              <w:snapToGrid w:val="0"/>
              <w:spacing w:line="360" w:lineRule="auto"/>
              <w:ind w:firstLine="470" w:firstLineChars="196"/>
              <w:jc w:val="left"/>
              <w:textAlignment w:val="baseline"/>
              <w:rPr>
                <w:b/>
                <w:kern w:val="0"/>
                <w:sz w:val="24"/>
                <w:szCs w:val="20"/>
              </w:rPr>
            </w:pPr>
            <w:r>
              <w:rPr>
                <w:b/>
                <w:kern w:val="0"/>
                <w:sz w:val="24"/>
                <w:szCs w:val="20"/>
              </w:rPr>
              <w:t>4、固体废物</w:t>
            </w:r>
          </w:p>
          <w:p>
            <w:pPr>
              <w:snapToGrid w:val="0"/>
              <w:spacing w:line="360" w:lineRule="auto"/>
              <w:ind w:firstLine="480" w:firstLineChars="200"/>
              <w:rPr>
                <w:rFonts w:hint="eastAsia"/>
                <w:sz w:val="24"/>
              </w:rPr>
            </w:pPr>
            <w:r>
              <w:rPr>
                <w:rFonts w:hint="eastAsia"/>
                <w:sz w:val="24"/>
              </w:rPr>
              <w:t>本项目固体废物主要包括：废包装、不合格产品、涂布机清洗废抹布、切割成型工序中产生的边角料和生活垃圾等。</w:t>
            </w:r>
          </w:p>
          <w:p>
            <w:pPr>
              <w:snapToGrid w:val="0"/>
              <w:spacing w:line="360" w:lineRule="auto"/>
              <w:ind w:firstLine="480" w:firstLineChars="200"/>
              <w:rPr>
                <w:rFonts w:hint="eastAsia"/>
                <w:sz w:val="24"/>
              </w:rPr>
            </w:pPr>
            <w:r>
              <w:rPr>
                <w:rFonts w:hint="eastAsia"/>
                <w:sz w:val="24"/>
              </w:rPr>
              <w:t>项目劳动定员1278人，生活垃圾按照每人每天1.0kg计算，则生活垃圾产生量约为1.3t/d（325t/a），交由环卫部门处理。</w:t>
            </w:r>
          </w:p>
          <w:p>
            <w:pPr>
              <w:snapToGrid w:val="0"/>
              <w:spacing w:line="360" w:lineRule="auto"/>
              <w:ind w:firstLine="480" w:firstLineChars="200"/>
              <w:rPr>
                <w:rFonts w:hint="eastAsia"/>
                <w:sz w:val="24"/>
              </w:rPr>
            </w:pPr>
            <w:r>
              <w:rPr>
                <w:rFonts w:hint="eastAsia"/>
                <w:sz w:val="24"/>
              </w:rPr>
              <w:t>本项目在包装产品时会产生部分废包装，主要为废弃的包装盘、包装盒等，产生量约为1t/a，可回收利用，实现固体废物资源化。</w:t>
            </w:r>
          </w:p>
          <w:p>
            <w:pPr>
              <w:snapToGrid w:val="0"/>
              <w:spacing w:line="360" w:lineRule="auto"/>
              <w:ind w:firstLine="480" w:firstLineChars="200"/>
              <w:rPr>
                <w:rFonts w:hint="eastAsia"/>
                <w:sz w:val="24"/>
              </w:rPr>
            </w:pPr>
            <w:r>
              <w:rPr>
                <w:rFonts w:hint="eastAsia"/>
                <w:sz w:val="24"/>
              </w:rPr>
              <w:t>项目生产过程中，会有检验不合格产品产生，项目良品率约为99%，不合格产品为36万个（约1.2t/a），该部分固废属于《国家危险废物名录》中编号HW49的危险废物，全部交由资质单位处置。</w:t>
            </w:r>
          </w:p>
          <w:p>
            <w:pPr>
              <w:snapToGrid w:val="0"/>
              <w:spacing w:after="0" w:line="360" w:lineRule="auto"/>
              <w:ind w:firstLine="480" w:firstLineChars="200"/>
              <w:rPr>
                <w:rFonts w:hint="eastAsia"/>
                <w:sz w:val="24"/>
              </w:rPr>
            </w:pPr>
          </w:p>
        </w:tc>
      </w:tr>
    </w:tbl>
    <w:p>
      <w:pPr>
        <w:sectPr>
          <w:headerReference w:type="default" r:id="rId78"/>
          <w:footerReference w:type="even" r:id="rId79"/>
          <w:footerReference w:type="default" r:id="rId80"/>
          <w:type w:val="nextPage"/>
          <w:pgSz w:w="11906" w:h="16838"/>
          <w:pgMar w:top="1440" w:right="1469" w:bottom="1440" w:left="1797" w:header="851" w:footer="992" w:gutter="0"/>
          <w:pgNumType w:start="25"/>
          <w:cols w:space="708"/>
          <w:titlePg w:val="0"/>
          <w:docGrid w:type="lines" w:linePitch="312"/>
        </w:sectPr>
      </w:pPr>
    </w:p>
    <w:tbl>
      <w:tblPr>
        <w:tblStyle w:val="TableNorm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9"/>
      </w:tblGrid>
      <w:tr>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60"/>
          <w:jc w:val="center"/>
        </w:trPr>
        <w:tc>
          <w:tcPr>
            <w:tcW w:w="8640" w:type="dxa"/>
            <w:tcBorders>
              <w:top w:val="single" w:sz="4" w:space="0" w:color="auto"/>
              <w:left w:val="single" w:sz="4" w:space="0" w:color="auto"/>
              <w:bottom w:val="single" w:sz="4" w:space="0" w:color="auto"/>
              <w:right w:val="single" w:sz="4" w:space="0" w:color="auto"/>
            </w:tcBorders>
          </w:tcPr>
          <w:p>
            <w:pPr>
              <w:snapToGrid w:val="0"/>
              <w:spacing w:before="0" w:line="360" w:lineRule="auto"/>
              <w:ind w:firstLine="480" w:firstLineChars="200"/>
              <w:rPr>
                <w:rFonts w:hint="eastAsia"/>
                <w:sz w:val="24"/>
              </w:rPr>
            </w:pPr>
            <w:r>
              <w:rPr>
                <w:rFonts w:hint="eastAsia"/>
                <w:sz w:val="24"/>
              </w:rPr>
              <w:t>项目涂布机采用抹布蘸酒精擦拭的方式清洗，废抹布产生量约为30kg/a，该部分固废属于《国家危险废物名录》中编号HW49的危险废物，全部交由具有危险废物处理资质的单位处置。</w:t>
            </w:r>
          </w:p>
          <w:p>
            <w:pPr>
              <w:snapToGrid w:val="0"/>
              <w:spacing w:line="360" w:lineRule="auto"/>
              <w:ind w:firstLine="480" w:firstLineChars="200"/>
              <w:rPr>
                <w:rFonts w:hint="eastAsia"/>
                <w:sz w:val="24"/>
              </w:rPr>
            </w:pPr>
            <w:r>
              <w:rPr>
                <w:rFonts w:hint="eastAsia"/>
                <w:sz w:val="24"/>
              </w:rPr>
              <w:t>分割裂片工序中产生的边角料约为0.5t/a，交由相关单位回收利用。</w:t>
            </w:r>
          </w:p>
          <w:p>
            <w:pPr>
              <w:adjustRightInd w:val="0"/>
              <w:snapToGrid w:val="0"/>
              <w:spacing w:line="360" w:lineRule="auto"/>
              <w:ind w:firstLine="420" w:firstLineChars="200"/>
              <w:jc w:val="center"/>
              <w:textAlignment w:val="baseline"/>
              <w:rPr>
                <w:b/>
                <w:kern w:val="0"/>
                <w:szCs w:val="21"/>
              </w:rPr>
            </w:pPr>
            <w:r>
              <w:rPr>
                <w:b/>
                <w:kern w:val="0"/>
                <w:szCs w:val="21"/>
              </w:rPr>
              <w:t>表</w:t>
            </w:r>
            <w:r>
              <w:rPr>
                <w:rFonts w:hint="eastAsia"/>
                <w:b/>
                <w:kern w:val="0"/>
                <w:szCs w:val="21"/>
              </w:rPr>
              <w:t xml:space="preserve">5-8 </w:t>
            </w:r>
            <w:r>
              <w:rPr>
                <w:b/>
                <w:kern w:val="0"/>
                <w:szCs w:val="21"/>
              </w:rPr>
              <w:t>固体废物产排情况</w:t>
            </w:r>
          </w:p>
          <w:tbl>
            <w:tblPr>
              <w:tblStyle w:val="TableNormal"/>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1"/>
              <w:gridCol w:w="1984"/>
              <w:gridCol w:w="993"/>
              <w:gridCol w:w="1275"/>
              <w:gridCol w:w="1276"/>
              <w:gridCol w:w="3157"/>
            </w:tblGrid>
            <w:tr>
              <w:tblPrEx>
                <w:tblW w:w="935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671" w:type="dxa"/>
                  <w:vAlign w:val="center"/>
                </w:tcPr>
                <w:p>
                  <w:pPr>
                    <w:adjustRightInd w:val="0"/>
                    <w:snapToGrid w:val="0"/>
                    <w:jc w:val="center"/>
                    <w:textAlignment w:val="baseline"/>
                    <w:rPr>
                      <w:szCs w:val="21"/>
                    </w:rPr>
                  </w:pPr>
                  <w:r>
                    <w:rPr>
                      <w:szCs w:val="21"/>
                    </w:rPr>
                    <w:t>序号</w:t>
                  </w:r>
                </w:p>
              </w:tc>
              <w:tc>
                <w:tcPr>
                  <w:tcW w:w="1984" w:type="dxa"/>
                  <w:vAlign w:val="center"/>
                </w:tcPr>
                <w:p>
                  <w:pPr>
                    <w:adjustRightInd w:val="0"/>
                    <w:snapToGrid w:val="0"/>
                    <w:jc w:val="center"/>
                    <w:textAlignment w:val="baseline"/>
                    <w:rPr>
                      <w:szCs w:val="21"/>
                    </w:rPr>
                  </w:pPr>
                  <w:r>
                    <w:rPr>
                      <w:szCs w:val="21"/>
                    </w:rPr>
                    <w:t>类别</w:t>
                  </w:r>
                </w:p>
              </w:tc>
              <w:tc>
                <w:tcPr>
                  <w:tcW w:w="993" w:type="dxa"/>
                  <w:vAlign w:val="center"/>
                </w:tcPr>
                <w:p>
                  <w:pPr>
                    <w:adjustRightInd w:val="0"/>
                    <w:snapToGrid w:val="0"/>
                    <w:jc w:val="center"/>
                    <w:textAlignment w:val="baseline"/>
                    <w:rPr>
                      <w:szCs w:val="21"/>
                    </w:rPr>
                  </w:pPr>
                  <w:r>
                    <w:rPr>
                      <w:szCs w:val="21"/>
                    </w:rPr>
                    <w:t>数量</w:t>
                  </w:r>
                </w:p>
              </w:tc>
              <w:tc>
                <w:tcPr>
                  <w:tcW w:w="1275" w:type="dxa"/>
                  <w:vAlign w:val="center"/>
                </w:tcPr>
                <w:p>
                  <w:pPr>
                    <w:adjustRightInd w:val="0"/>
                    <w:snapToGrid w:val="0"/>
                    <w:jc w:val="center"/>
                    <w:textAlignment w:val="baseline"/>
                    <w:rPr>
                      <w:szCs w:val="21"/>
                    </w:rPr>
                  </w:pPr>
                  <w:r>
                    <w:rPr>
                      <w:szCs w:val="21"/>
                    </w:rPr>
                    <w:t>产量标准</w:t>
                  </w:r>
                </w:p>
              </w:tc>
              <w:tc>
                <w:tcPr>
                  <w:tcW w:w="1276" w:type="dxa"/>
                  <w:vAlign w:val="center"/>
                </w:tcPr>
                <w:p>
                  <w:pPr>
                    <w:adjustRightInd w:val="0"/>
                    <w:snapToGrid w:val="0"/>
                    <w:jc w:val="center"/>
                    <w:textAlignment w:val="baseline"/>
                    <w:rPr>
                      <w:szCs w:val="21"/>
                    </w:rPr>
                  </w:pPr>
                  <w:r>
                    <w:rPr>
                      <w:szCs w:val="21"/>
                    </w:rPr>
                    <w:t>产生量（t/a）</w:t>
                  </w:r>
                </w:p>
              </w:tc>
              <w:tc>
                <w:tcPr>
                  <w:tcW w:w="3157" w:type="dxa"/>
                  <w:vAlign w:val="center"/>
                </w:tcPr>
                <w:p>
                  <w:pPr>
                    <w:adjustRightInd w:val="0"/>
                    <w:snapToGrid w:val="0"/>
                    <w:jc w:val="center"/>
                    <w:textAlignment w:val="baseline"/>
                    <w:rPr>
                      <w:szCs w:val="21"/>
                    </w:rPr>
                  </w:pPr>
                  <w:r>
                    <w:rPr>
                      <w:szCs w:val="21"/>
                    </w:rPr>
                    <w:t>排放量（t/a）</w:t>
                  </w:r>
                </w:p>
              </w:tc>
            </w:tr>
            <w:tr>
              <w:tblPrEx>
                <w:tblW w:w="9356" w:type="dxa"/>
                <w:tblInd w:w="113" w:type="dxa"/>
                <w:tblLayout w:type="fixed"/>
                <w:tblCellMar>
                  <w:top w:w="0" w:type="dxa"/>
                  <w:left w:w="108" w:type="dxa"/>
                  <w:bottom w:w="0" w:type="dxa"/>
                  <w:right w:w="108" w:type="dxa"/>
                </w:tblCellMar>
                <w:tblLook w:val="0000"/>
              </w:tblPrEx>
              <w:trPr>
                <w:trHeight w:val="406"/>
              </w:trPr>
              <w:tc>
                <w:tcPr>
                  <w:tcW w:w="671" w:type="dxa"/>
                  <w:vAlign w:val="center"/>
                </w:tcPr>
                <w:p>
                  <w:pPr>
                    <w:adjustRightInd w:val="0"/>
                    <w:snapToGrid w:val="0"/>
                    <w:jc w:val="center"/>
                    <w:textAlignment w:val="baseline"/>
                    <w:rPr>
                      <w:szCs w:val="21"/>
                    </w:rPr>
                  </w:pPr>
                  <w:r>
                    <w:rPr>
                      <w:rFonts w:hint="eastAsia"/>
                      <w:szCs w:val="21"/>
                    </w:rPr>
                    <w:t>1</w:t>
                  </w:r>
                </w:p>
              </w:tc>
              <w:tc>
                <w:tcPr>
                  <w:tcW w:w="1984" w:type="dxa"/>
                  <w:vAlign w:val="center"/>
                </w:tcPr>
                <w:p>
                  <w:pPr>
                    <w:adjustRightInd w:val="0"/>
                    <w:snapToGrid w:val="0"/>
                    <w:jc w:val="center"/>
                    <w:textAlignment w:val="baseline"/>
                    <w:rPr>
                      <w:szCs w:val="21"/>
                    </w:rPr>
                  </w:pPr>
                  <w:r>
                    <w:rPr>
                      <w:szCs w:val="21"/>
                    </w:rPr>
                    <w:t>生活垃圾</w:t>
                  </w:r>
                </w:p>
              </w:tc>
              <w:tc>
                <w:tcPr>
                  <w:tcW w:w="993" w:type="dxa"/>
                  <w:vAlign w:val="center"/>
                </w:tcPr>
                <w:p>
                  <w:pPr>
                    <w:adjustRightInd w:val="0"/>
                    <w:snapToGrid w:val="0"/>
                    <w:jc w:val="center"/>
                    <w:textAlignment w:val="baseline"/>
                    <w:rPr>
                      <w:szCs w:val="21"/>
                    </w:rPr>
                  </w:pPr>
                  <w:r>
                    <w:rPr>
                      <w:rFonts w:hint="eastAsia"/>
                      <w:szCs w:val="21"/>
                    </w:rPr>
                    <w:t>1278</w:t>
                  </w:r>
                  <w:r>
                    <w:rPr>
                      <w:szCs w:val="21"/>
                    </w:rPr>
                    <w:t>人</w:t>
                  </w:r>
                </w:p>
              </w:tc>
              <w:tc>
                <w:tcPr>
                  <w:tcW w:w="1275" w:type="dxa"/>
                  <w:vAlign w:val="center"/>
                </w:tcPr>
                <w:p>
                  <w:pPr>
                    <w:adjustRightInd w:val="0"/>
                    <w:snapToGrid w:val="0"/>
                    <w:jc w:val="center"/>
                    <w:textAlignment w:val="baseline"/>
                    <w:rPr>
                      <w:szCs w:val="21"/>
                    </w:rPr>
                  </w:pPr>
                  <w:r>
                    <w:rPr>
                      <w:rFonts w:hint="eastAsia"/>
                      <w:szCs w:val="21"/>
                    </w:rPr>
                    <w:t>1</w:t>
                  </w:r>
                  <w:r>
                    <w:rPr>
                      <w:szCs w:val="21"/>
                    </w:rPr>
                    <w:t>kg/人·d</w:t>
                  </w:r>
                </w:p>
              </w:tc>
              <w:tc>
                <w:tcPr>
                  <w:tcW w:w="1276" w:type="dxa"/>
                  <w:vAlign w:val="center"/>
                </w:tcPr>
                <w:p>
                  <w:pPr>
                    <w:adjustRightInd w:val="0"/>
                    <w:snapToGrid w:val="0"/>
                    <w:jc w:val="center"/>
                    <w:textAlignment w:val="baseline"/>
                    <w:rPr>
                      <w:szCs w:val="21"/>
                    </w:rPr>
                  </w:pPr>
                  <w:r>
                    <w:rPr>
                      <w:rFonts w:hint="eastAsia"/>
                      <w:szCs w:val="21"/>
                    </w:rPr>
                    <w:t>325</w:t>
                  </w:r>
                </w:p>
              </w:tc>
              <w:tc>
                <w:tcPr>
                  <w:tcW w:w="3157" w:type="dxa"/>
                  <w:vAlign w:val="center"/>
                </w:tcPr>
                <w:p>
                  <w:pPr>
                    <w:adjustRightInd w:val="0"/>
                    <w:snapToGrid w:val="0"/>
                    <w:jc w:val="center"/>
                    <w:textAlignment w:val="baseline"/>
                    <w:rPr>
                      <w:szCs w:val="21"/>
                    </w:rPr>
                  </w:pPr>
                  <w:r>
                    <w:rPr>
                      <w:szCs w:val="21"/>
                    </w:rPr>
                    <w:t>不外排，交由环卫部门处理</w:t>
                  </w:r>
                </w:p>
              </w:tc>
            </w:tr>
            <w:tr>
              <w:tblPrEx>
                <w:tblW w:w="9356" w:type="dxa"/>
                <w:tblInd w:w="113" w:type="dxa"/>
                <w:tblLayout w:type="fixed"/>
                <w:tblCellMar>
                  <w:top w:w="0" w:type="dxa"/>
                  <w:left w:w="108" w:type="dxa"/>
                  <w:bottom w:w="0" w:type="dxa"/>
                  <w:right w:w="108" w:type="dxa"/>
                </w:tblCellMar>
                <w:tblLook w:val="0000"/>
              </w:tblPrEx>
              <w:trPr>
                <w:trHeight w:val="203"/>
              </w:trPr>
              <w:tc>
                <w:tcPr>
                  <w:tcW w:w="671" w:type="dxa"/>
                  <w:vAlign w:val="center"/>
                </w:tcPr>
                <w:p>
                  <w:pPr>
                    <w:adjustRightInd w:val="0"/>
                    <w:snapToGrid w:val="0"/>
                    <w:jc w:val="center"/>
                    <w:textAlignment w:val="baseline"/>
                    <w:rPr>
                      <w:szCs w:val="21"/>
                    </w:rPr>
                  </w:pPr>
                  <w:r>
                    <w:rPr>
                      <w:rFonts w:hint="eastAsia"/>
                      <w:szCs w:val="21"/>
                    </w:rPr>
                    <w:t>2</w:t>
                  </w:r>
                </w:p>
              </w:tc>
              <w:tc>
                <w:tcPr>
                  <w:tcW w:w="1984" w:type="dxa"/>
                  <w:vAlign w:val="center"/>
                </w:tcPr>
                <w:p>
                  <w:pPr>
                    <w:adjustRightInd w:val="0"/>
                    <w:snapToGrid w:val="0"/>
                    <w:jc w:val="center"/>
                    <w:textAlignment w:val="baseline"/>
                    <w:rPr>
                      <w:szCs w:val="21"/>
                    </w:rPr>
                  </w:pPr>
                  <w:r>
                    <w:rPr>
                      <w:szCs w:val="21"/>
                    </w:rPr>
                    <w:t>废包装</w:t>
                  </w:r>
                </w:p>
              </w:tc>
              <w:tc>
                <w:tcPr>
                  <w:tcW w:w="993" w:type="dxa"/>
                  <w:vAlign w:val="center"/>
                </w:tcPr>
                <w:p>
                  <w:pPr>
                    <w:autoSpaceDN w:val="0"/>
                    <w:adjustRightInd w:val="0"/>
                    <w:snapToGrid w:val="0"/>
                    <w:jc w:val="center"/>
                    <w:textAlignment w:val="center"/>
                    <w:rPr>
                      <w:szCs w:val="21"/>
                    </w:rPr>
                  </w:pPr>
                  <w:r>
                    <w:rPr>
                      <w:rFonts w:hint="eastAsia"/>
                      <w:szCs w:val="21"/>
                    </w:rPr>
                    <w:t>/</w:t>
                  </w:r>
                </w:p>
              </w:tc>
              <w:tc>
                <w:tcPr>
                  <w:tcW w:w="1275" w:type="dxa"/>
                  <w:vAlign w:val="center"/>
                </w:tcPr>
                <w:p>
                  <w:pPr>
                    <w:adjustRightInd w:val="0"/>
                    <w:snapToGrid w:val="0"/>
                    <w:jc w:val="center"/>
                    <w:textAlignment w:val="baseline"/>
                    <w:rPr>
                      <w:szCs w:val="21"/>
                    </w:rPr>
                  </w:pPr>
                  <w:r>
                    <w:rPr>
                      <w:rFonts w:hint="eastAsia"/>
                      <w:szCs w:val="21"/>
                    </w:rPr>
                    <w:t>/</w:t>
                  </w:r>
                </w:p>
              </w:tc>
              <w:tc>
                <w:tcPr>
                  <w:tcW w:w="1276" w:type="dxa"/>
                  <w:vAlign w:val="center"/>
                </w:tcPr>
                <w:p>
                  <w:pPr>
                    <w:adjustRightInd w:val="0"/>
                    <w:snapToGrid w:val="0"/>
                    <w:jc w:val="center"/>
                    <w:textAlignment w:val="baseline"/>
                    <w:rPr>
                      <w:szCs w:val="21"/>
                    </w:rPr>
                  </w:pPr>
                  <w:r>
                    <w:rPr>
                      <w:rFonts w:hint="eastAsia"/>
                      <w:szCs w:val="21"/>
                    </w:rPr>
                    <w:t>1</w:t>
                  </w:r>
                </w:p>
              </w:tc>
              <w:tc>
                <w:tcPr>
                  <w:tcW w:w="3157" w:type="dxa"/>
                  <w:vAlign w:val="center"/>
                </w:tcPr>
                <w:p>
                  <w:pPr>
                    <w:adjustRightInd w:val="0"/>
                    <w:snapToGrid w:val="0"/>
                    <w:jc w:val="center"/>
                    <w:textAlignment w:val="baseline"/>
                    <w:rPr>
                      <w:szCs w:val="21"/>
                    </w:rPr>
                  </w:pPr>
                  <w:r>
                    <w:rPr>
                      <w:szCs w:val="21"/>
                    </w:rPr>
                    <w:t>不外排</w:t>
                  </w:r>
                  <w:r>
                    <w:rPr>
                      <w:rFonts w:hint="eastAsia"/>
                      <w:szCs w:val="21"/>
                    </w:rPr>
                    <w:t>，</w:t>
                  </w:r>
                  <w:r>
                    <w:rPr>
                      <w:szCs w:val="21"/>
                    </w:rPr>
                    <w:t>回收利用</w:t>
                  </w:r>
                </w:p>
              </w:tc>
            </w:tr>
            <w:tr>
              <w:tblPrEx>
                <w:tblW w:w="9356" w:type="dxa"/>
                <w:tblInd w:w="113" w:type="dxa"/>
                <w:tblLayout w:type="fixed"/>
                <w:tblCellMar>
                  <w:top w:w="0" w:type="dxa"/>
                  <w:left w:w="108" w:type="dxa"/>
                  <w:bottom w:w="0" w:type="dxa"/>
                  <w:right w:w="108" w:type="dxa"/>
                </w:tblCellMar>
                <w:tblLook w:val="0000"/>
              </w:tblPrEx>
              <w:tc>
                <w:tcPr>
                  <w:tcW w:w="671" w:type="dxa"/>
                  <w:vAlign w:val="center"/>
                </w:tcPr>
                <w:p>
                  <w:pPr>
                    <w:adjustRightInd w:val="0"/>
                    <w:snapToGrid w:val="0"/>
                    <w:jc w:val="center"/>
                    <w:textAlignment w:val="baseline"/>
                    <w:rPr>
                      <w:szCs w:val="21"/>
                    </w:rPr>
                  </w:pPr>
                  <w:r>
                    <w:rPr>
                      <w:rFonts w:hint="eastAsia"/>
                      <w:szCs w:val="21"/>
                    </w:rPr>
                    <w:t>3</w:t>
                  </w:r>
                </w:p>
              </w:tc>
              <w:tc>
                <w:tcPr>
                  <w:tcW w:w="1984" w:type="dxa"/>
                  <w:vAlign w:val="center"/>
                </w:tcPr>
                <w:p>
                  <w:pPr>
                    <w:adjustRightInd w:val="0"/>
                    <w:snapToGrid w:val="0"/>
                    <w:jc w:val="center"/>
                    <w:textAlignment w:val="baseline"/>
                    <w:rPr>
                      <w:szCs w:val="21"/>
                    </w:rPr>
                  </w:pPr>
                  <w:r>
                    <w:rPr>
                      <w:szCs w:val="21"/>
                    </w:rPr>
                    <w:t>不合格产品</w:t>
                  </w:r>
                </w:p>
              </w:tc>
              <w:tc>
                <w:tcPr>
                  <w:tcW w:w="993" w:type="dxa"/>
                  <w:vAlign w:val="center"/>
                </w:tcPr>
                <w:p>
                  <w:pPr>
                    <w:autoSpaceDN w:val="0"/>
                    <w:adjustRightInd w:val="0"/>
                    <w:snapToGrid w:val="0"/>
                    <w:jc w:val="center"/>
                    <w:textAlignment w:val="center"/>
                    <w:rPr>
                      <w:szCs w:val="21"/>
                    </w:rPr>
                  </w:pPr>
                  <w:r>
                    <w:rPr>
                      <w:rFonts w:hint="eastAsia"/>
                      <w:szCs w:val="21"/>
                    </w:rPr>
                    <w:t>/</w:t>
                  </w:r>
                </w:p>
              </w:tc>
              <w:tc>
                <w:tcPr>
                  <w:tcW w:w="1275" w:type="dxa"/>
                  <w:vAlign w:val="center"/>
                </w:tcPr>
                <w:p>
                  <w:pPr>
                    <w:adjustRightInd w:val="0"/>
                    <w:snapToGrid w:val="0"/>
                    <w:jc w:val="center"/>
                    <w:textAlignment w:val="baseline"/>
                    <w:rPr>
                      <w:szCs w:val="21"/>
                    </w:rPr>
                  </w:pPr>
                  <w:r>
                    <w:rPr>
                      <w:rFonts w:hint="eastAsia"/>
                      <w:szCs w:val="21"/>
                    </w:rPr>
                    <w:t>/</w:t>
                  </w:r>
                </w:p>
              </w:tc>
              <w:tc>
                <w:tcPr>
                  <w:tcW w:w="1276" w:type="dxa"/>
                  <w:vAlign w:val="center"/>
                </w:tcPr>
                <w:p>
                  <w:pPr>
                    <w:adjustRightInd w:val="0"/>
                    <w:snapToGrid w:val="0"/>
                    <w:jc w:val="center"/>
                    <w:textAlignment w:val="baseline"/>
                    <w:rPr>
                      <w:szCs w:val="21"/>
                    </w:rPr>
                  </w:pPr>
                  <w:r>
                    <w:rPr>
                      <w:rFonts w:hint="eastAsia"/>
                      <w:szCs w:val="21"/>
                    </w:rPr>
                    <w:t>1.2</w:t>
                  </w:r>
                </w:p>
              </w:tc>
              <w:tc>
                <w:tcPr>
                  <w:tcW w:w="3157" w:type="dxa"/>
                  <w:vAlign w:val="center"/>
                </w:tcPr>
                <w:p>
                  <w:pPr>
                    <w:adjustRightInd w:val="0"/>
                    <w:snapToGrid w:val="0"/>
                    <w:jc w:val="center"/>
                    <w:textAlignment w:val="baseline"/>
                    <w:rPr>
                      <w:szCs w:val="21"/>
                    </w:rPr>
                  </w:pPr>
                  <w:r>
                    <w:rPr>
                      <w:szCs w:val="21"/>
                    </w:rPr>
                    <w:t>不外排，委托有资质单位处理</w:t>
                  </w:r>
                </w:p>
              </w:tc>
            </w:tr>
            <w:tr>
              <w:tblPrEx>
                <w:tblW w:w="9356" w:type="dxa"/>
                <w:tblInd w:w="113" w:type="dxa"/>
                <w:tblLayout w:type="fixed"/>
                <w:tblCellMar>
                  <w:top w:w="0" w:type="dxa"/>
                  <w:left w:w="108" w:type="dxa"/>
                  <w:bottom w:w="0" w:type="dxa"/>
                  <w:right w:w="108" w:type="dxa"/>
                </w:tblCellMar>
                <w:tblLook w:val="0000"/>
              </w:tblPrEx>
              <w:tc>
                <w:tcPr>
                  <w:tcW w:w="671" w:type="dxa"/>
                  <w:vAlign w:val="center"/>
                </w:tcPr>
                <w:p>
                  <w:pPr>
                    <w:adjustRightInd w:val="0"/>
                    <w:snapToGrid w:val="0"/>
                    <w:jc w:val="center"/>
                    <w:textAlignment w:val="baseline"/>
                    <w:rPr>
                      <w:szCs w:val="21"/>
                    </w:rPr>
                  </w:pPr>
                  <w:r>
                    <w:rPr>
                      <w:rFonts w:hint="eastAsia"/>
                      <w:szCs w:val="21"/>
                    </w:rPr>
                    <w:t>4</w:t>
                  </w:r>
                </w:p>
              </w:tc>
              <w:tc>
                <w:tcPr>
                  <w:tcW w:w="1984" w:type="dxa"/>
                  <w:vAlign w:val="center"/>
                </w:tcPr>
                <w:p>
                  <w:pPr>
                    <w:adjustRightInd w:val="0"/>
                    <w:snapToGrid w:val="0"/>
                    <w:jc w:val="center"/>
                    <w:textAlignment w:val="baseline"/>
                    <w:rPr>
                      <w:szCs w:val="21"/>
                    </w:rPr>
                  </w:pPr>
                  <w:r>
                    <w:rPr>
                      <w:rFonts w:hint="eastAsia"/>
                      <w:szCs w:val="21"/>
                    </w:rPr>
                    <w:t>涂布机清洗废抹布</w:t>
                  </w:r>
                </w:p>
              </w:tc>
              <w:tc>
                <w:tcPr>
                  <w:tcW w:w="993" w:type="dxa"/>
                  <w:vAlign w:val="center"/>
                </w:tcPr>
                <w:p>
                  <w:pPr>
                    <w:autoSpaceDN w:val="0"/>
                    <w:adjustRightInd w:val="0"/>
                    <w:snapToGrid w:val="0"/>
                    <w:jc w:val="center"/>
                    <w:textAlignment w:val="center"/>
                    <w:rPr>
                      <w:szCs w:val="21"/>
                    </w:rPr>
                  </w:pPr>
                  <w:r>
                    <w:rPr>
                      <w:rFonts w:hint="eastAsia"/>
                      <w:szCs w:val="21"/>
                    </w:rPr>
                    <w:t>/</w:t>
                  </w:r>
                </w:p>
              </w:tc>
              <w:tc>
                <w:tcPr>
                  <w:tcW w:w="1275" w:type="dxa"/>
                  <w:vAlign w:val="center"/>
                </w:tcPr>
                <w:p>
                  <w:pPr>
                    <w:adjustRightInd w:val="0"/>
                    <w:snapToGrid w:val="0"/>
                    <w:jc w:val="center"/>
                    <w:textAlignment w:val="baseline"/>
                    <w:rPr>
                      <w:szCs w:val="21"/>
                    </w:rPr>
                  </w:pPr>
                  <w:r>
                    <w:rPr>
                      <w:rFonts w:hint="eastAsia"/>
                      <w:szCs w:val="21"/>
                    </w:rPr>
                    <w:t>/</w:t>
                  </w:r>
                </w:p>
              </w:tc>
              <w:tc>
                <w:tcPr>
                  <w:tcW w:w="1276" w:type="dxa"/>
                  <w:vAlign w:val="center"/>
                </w:tcPr>
                <w:p>
                  <w:pPr>
                    <w:adjustRightInd w:val="0"/>
                    <w:snapToGrid w:val="0"/>
                    <w:jc w:val="center"/>
                    <w:textAlignment w:val="baseline"/>
                    <w:rPr>
                      <w:szCs w:val="21"/>
                    </w:rPr>
                  </w:pPr>
                  <w:r>
                    <w:rPr>
                      <w:rFonts w:hint="eastAsia"/>
                      <w:szCs w:val="21"/>
                    </w:rPr>
                    <w:t>0.03</w:t>
                  </w:r>
                </w:p>
              </w:tc>
              <w:tc>
                <w:tcPr>
                  <w:tcW w:w="3157" w:type="dxa"/>
                  <w:vAlign w:val="center"/>
                </w:tcPr>
                <w:p>
                  <w:pPr>
                    <w:adjustRightInd w:val="0"/>
                    <w:snapToGrid w:val="0"/>
                    <w:jc w:val="center"/>
                    <w:textAlignment w:val="baseline"/>
                    <w:rPr>
                      <w:szCs w:val="21"/>
                    </w:rPr>
                  </w:pPr>
                  <w:r>
                    <w:rPr>
                      <w:szCs w:val="21"/>
                    </w:rPr>
                    <w:t>不外排</w:t>
                  </w:r>
                  <w:r>
                    <w:rPr>
                      <w:rFonts w:hint="eastAsia"/>
                      <w:szCs w:val="21"/>
                    </w:rPr>
                    <w:t>，</w:t>
                  </w:r>
                  <w:r>
                    <w:rPr>
                      <w:szCs w:val="21"/>
                    </w:rPr>
                    <w:t>委托有资质单位处理</w:t>
                  </w:r>
                </w:p>
              </w:tc>
            </w:tr>
            <w:tr>
              <w:tblPrEx>
                <w:tblW w:w="9356" w:type="dxa"/>
                <w:tblInd w:w="113" w:type="dxa"/>
                <w:tblLayout w:type="fixed"/>
                <w:tblCellMar>
                  <w:top w:w="0" w:type="dxa"/>
                  <w:left w:w="108" w:type="dxa"/>
                  <w:bottom w:w="0" w:type="dxa"/>
                  <w:right w:w="108" w:type="dxa"/>
                </w:tblCellMar>
                <w:tblLook w:val="0000"/>
              </w:tblPrEx>
              <w:tc>
                <w:tcPr>
                  <w:tcW w:w="671" w:type="dxa"/>
                  <w:vAlign w:val="center"/>
                </w:tcPr>
                <w:p>
                  <w:pPr>
                    <w:adjustRightInd w:val="0"/>
                    <w:snapToGrid w:val="0"/>
                    <w:jc w:val="center"/>
                    <w:textAlignment w:val="baseline"/>
                    <w:rPr>
                      <w:szCs w:val="21"/>
                    </w:rPr>
                  </w:pPr>
                  <w:r>
                    <w:rPr>
                      <w:rFonts w:hint="eastAsia"/>
                      <w:szCs w:val="21"/>
                    </w:rPr>
                    <w:t>5</w:t>
                  </w:r>
                </w:p>
              </w:tc>
              <w:tc>
                <w:tcPr>
                  <w:tcW w:w="1984" w:type="dxa"/>
                  <w:vAlign w:val="center"/>
                </w:tcPr>
                <w:p>
                  <w:pPr>
                    <w:adjustRightInd w:val="0"/>
                    <w:snapToGrid w:val="0"/>
                    <w:jc w:val="center"/>
                    <w:textAlignment w:val="baseline"/>
                    <w:rPr>
                      <w:szCs w:val="21"/>
                    </w:rPr>
                  </w:pPr>
                  <w:r>
                    <w:rPr>
                      <w:szCs w:val="21"/>
                    </w:rPr>
                    <w:t>边角料</w:t>
                  </w:r>
                </w:p>
              </w:tc>
              <w:tc>
                <w:tcPr>
                  <w:tcW w:w="993" w:type="dxa"/>
                  <w:vAlign w:val="center"/>
                </w:tcPr>
                <w:p>
                  <w:pPr>
                    <w:autoSpaceDN w:val="0"/>
                    <w:adjustRightInd w:val="0"/>
                    <w:snapToGrid w:val="0"/>
                    <w:jc w:val="center"/>
                    <w:textAlignment w:val="center"/>
                    <w:rPr>
                      <w:szCs w:val="21"/>
                    </w:rPr>
                  </w:pPr>
                  <w:r>
                    <w:rPr>
                      <w:rFonts w:hint="eastAsia"/>
                      <w:szCs w:val="21"/>
                    </w:rPr>
                    <w:t>/</w:t>
                  </w:r>
                </w:p>
              </w:tc>
              <w:tc>
                <w:tcPr>
                  <w:tcW w:w="1275" w:type="dxa"/>
                  <w:vAlign w:val="center"/>
                </w:tcPr>
                <w:p>
                  <w:pPr>
                    <w:adjustRightInd w:val="0"/>
                    <w:snapToGrid w:val="0"/>
                    <w:jc w:val="center"/>
                    <w:textAlignment w:val="baseline"/>
                    <w:rPr>
                      <w:szCs w:val="21"/>
                    </w:rPr>
                  </w:pPr>
                  <w:r>
                    <w:rPr>
                      <w:rFonts w:hint="eastAsia"/>
                      <w:szCs w:val="21"/>
                    </w:rPr>
                    <w:t>/</w:t>
                  </w:r>
                </w:p>
              </w:tc>
              <w:tc>
                <w:tcPr>
                  <w:tcW w:w="1276" w:type="dxa"/>
                  <w:vAlign w:val="center"/>
                </w:tcPr>
                <w:p>
                  <w:pPr>
                    <w:adjustRightInd w:val="0"/>
                    <w:snapToGrid w:val="0"/>
                    <w:jc w:val="center"/>
                    <w:textAlignment w:val="baseline"/>
                    <w:rPr>
                      <w:rFonts w:hint="eastAsia"/>
                      <w:szCs w:val="21"/>
                    </w:rPr>
                  </w:pPr>
                  <w:r>
                    <w:rPr>
                      <w:rFonts w:hint="eastAsia"/>
                      <w:szCs w:val="21"/>
                    </w:rPr>
                    <w:t>0.5</w:t>
                  </w:r>
                </w:p>
              </w:tc>
              <w:tc>
                <w:tcPr>
                  <w:tcW w:w="3157" w:type="dxa"/>
                  <w:vAlign w:val="center"/>
                </w:tcPr>
                <w:p>
                  <w:pPr>
                    <w:adjustRightInd w:val="0"/>
                    <w:snapToGrid w:val="0"/>
                    <w:jc w:val="center"/>
                    <w:textAlignment w:val="baseline"/>
                    <w:rPr>
                      <w:szCs w:val="21"/>
                    </w:rPr>
                  </w:pPr>
                  <w:r>
                    <w:rPr>
                      <w:szCs w:val="21"/>
                    </w:rPr>
                    <w:t>不外排</w:t>
                  </w:r>
                  <w:r>
                    <w:rPr>
                      <w:rFonts w:hint="eastAsia"/>
                      <w:szCs w:val="21"/>
                    </w:rPr>
                    <w:t>，交由相关单位回收利用</w:t>
                  </w:r>
                </w:p>
              </w:tc>
            </w:tr>
            <w:tr>
              <w:tblPrEx>
                <w:tblW w:w="9356" w:type="dxa"/>
                <w:tblInd w:w="113" w:type="dxa"/>
                <w:tblLayout w:type="fixed"/>
                <w:tblCellMar>
                  <w:top w:w="0" w:type="dxa"/>
                  <w:left w:w="108" w:type="dxa"/>
                  <w:bottom w:w="0" w:type="dxa"/>
                  <w:right w:w="108" w:type="dxa"/>
                </w:tblCellMar>
                <w:tblLook w:val="0000"/>
              </w:tblPrEx>
              <w:tc>
                <w:tcPr>
                  <w:tcW w:w="2655" w:type="dxa"/>
                  <w:gridSpan w:val="2"/>
                  <w:vAlign w:val="center"/>
                </w:tcPr>
                <w:p>
                  <w:pPr>
                    <w:adjustRightInd w:val="0"/>
                    <w:snapToGrid w:val="0"/>
                    <w:jc w:val="center"/>
                    <w:textAlignment w:val="baseline"/>
                    <w:rPr>
                      <w:szCs w:val="21"/>
                    </w:rPr>
                  </w:pPr>
                  <w:r>
                    <w:rPr>
                      <w:szCs w:val="21"/>
                    </w:rPr>
                    <w:t>合计</w:t>
                  </w:r>
                </w:p>
              </w:tc>
              <w:tc>
                <w:tcPr>
                  <w:tcW w:w="993" w:type="dxa"/>
                  <w:vAlign w:val="center"/>
                </w:tcPr>
                <w:p>
                  <w:pPr>
                    <w:autoSpaceDN w:val="0"/>
                    <w:adjustRightInd w:val="0"/>
                    <w:snapToGrid w:val="0"/>
                    <w:jc w:val="center"/>
                    <w:textAlignment w:val="center"/>
                    <w:rPr>
                      <w:szCs w:val="22"/>
                    </w:rPr>
                  </w:pPr>
                  <w:r>
                    <w:rPr>
                      <w:szCs w:val="22"/>
                    </w:rPr>
                    <w:t>/</w:t>
                  </w:r>
                </w:p>
              </w:tc>
              <w:tc>
                <w:tcPr>
                  <w:tcW w:w="1275" w:type="dxa"/>
                  <w:vAlign w:val="center"/>
                </w:tcPr>
                <w:p>
                  <w:pPr>
                    <w:adjustRightInd w:val="0"/>
                    <w:snapToGrid w:val="0"/>
                    <w:jc w:val="center"/>
                    <w:textAlignment w:val="baseline"/>
                    <w:rPr>
                      <w:szCs w:val="21"/>
                    </w:rPr>
                  </w:pPr>
                  <w:r>
                    <w:rPr>
                      <w:szCs w:val="21"/>
                    </w:rPr>
                    <w:t>/</w:t>
                  </w:r>
                </w:p>
              </w:tc>
              <w:tc>
                <w:tcPr>
                  <w:tcW w:w="1276" w:type="dxa"/>
                  <w:vAlign w:val="center"/>
                </w:tcPr>
                <w:p>
                  <w:pPr>
                    <w:adjustRightInd w:val="0"/>
                    <w:snapToGrid w:val="0"/>
                    <w:jc w:val="center"/>
                    <w:textAlignment w:val="baseline"/>
                    <w:rPr>
                      <w:szCs w:val="21"/>
                    </w:rPr>
                  </w:pPr>
                  <w:r>
                    <w:rPr>
                      <w:rFonts w:hint="eastAsia"/>
                      <w:szCs w:val="21"/>
                    </w:rPr>
                    <w:t>327.73</w:t>
                  </w:r>
                </w:p>
              </w:tc>
              <w:tc>
                <w:tcPr>
                  <w:tcW w:w="3157" w:type="dxa"/>
                  <w:vAlign w:val="center"/>
                </w:tcPr>
                <w:p>
                  <w:pPr>
                    <w:adjustRightInd w:val="0"/>
                    <w:snapToGrid w:val="0"/>
                    <w:jc w:val="center"/>
                    <w:textAlignment w:val="baseline"/>
                    <w:rPr>
                      <w:szCs w:val="21"/>
                    </w:rPr>
                  </w:pPr>
                  <w:r>
                    <w:rPr>
                      <w:szCs w:val="21"/>
                    </w:rPr>
                    <w:t>均妥善处理</w:t>
                  </w:r>
                </w:p>
              </w:tc>
            </w:tr>
          </w:tbl>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rPr>
                <w:rFonts w:hint="eastAsia"/>
              </w:rPr>
            </w:pPr>
          </w:p>
          <w:p>
            <w:pPr>
              <w:adjustRightInd w:val="0"/>
              <w:snapToGrid w:val="0"/>
              <w:spacing w:line="360" w:lineRule="auto"/>
              <w:ind w:firstLine="420" w:firstLineChars="200"/>
            </w:pPr>
          </w:p>
        </w:tc>
      </w:tr>
    </w:tbl>
    <w:p>
      <w:pPr>
        <w:pStyle w:val="Title"/>
        <w:snapToGrid w:val="0"/>
        <w:spacing w:before="0" w:after="0"/>
        <w:rPr>
          <w:rFonts w:ascii="Times New Roman" w:hAnsi="Times New Roman"/>
        </w:rPr>
        <w:sectPr>
          <w:headerReference w:type="default" r:id="rId81"/>
          <w:footerReference w:type="even" r:id="rId82"/>
          <w:footerReference w:type="default" r:id="rId83"/>
          <w:type w:val="nextPage"/>
          <w:pgSz w:w="11906" w:h="16838"/>
          <w:pgMar w:top="1440" w:right="1469" w:bottom="1440" w:left="1797" w:header="851" w:footer="992" w:gutter="0"/>
          <w:pgNumType w:start="26"/>
          <w:cols w:space="708"/>
          <w:titlePg w:val="0"/>
          <w:docGrid w:type="lines" w:linePitch="312"/>
        </w:sectPr>
      </w:pPr>
    </w:p>
    <w:p>
      <w:pPr>
        <w:pStyle w:val="Title"/>
        <w:snapToGrid w:val="0"/>
        <w:spacing w:before="0" w:after="0"/>
        <w:ind w:left="-420" w:leftChars="-200"/>
        <w:rPr>
          <w:rFonts w:ascii="Times New Roman" w:hAnsi="Times New Roman"/>
        </w:rPr>
        <w:sectPr>
          <w:headerReference w:type="default" r:id="rId84"/>
          <w:footerReference w:type="even" r:id="rId85"/>
          <w:footerReference w:type="default" r:id="rId86"/>
          <w:type w:val="continuous"/>
          <w:pgSz w:w="11906" w:h="16838"/>
          <w:pgMar w:top="1440" w:right="1469" w:bottom="1440" w:left="1797" w:header="851" w:footer="992" w:gutter="0"/>
          <w:pgNumType w:start="27"/>
          <w:cols w:space="708"/>
          <w:docGrid w:type="lines" w:linePitch="312"/>
        </w:sectPr>
      </w:pPr>
    </w:p>
    <w:p>
      <w:pPr>
        <w:pStyle w:val="Title"/>
        <w:snapToGrid w:val="0"/>
        <w:spacing w:before="0" w:after="0"/>
        <w:ind w:left="-420" w:leftChars="-200"/>
        <w:rPr>
          <w:rFonts w:ascii="Times New Roman" w:hAnsi="Times New Roman"/>
        </w:rPr>
      </w:pPr>
      <w:r>
        <w:rPr>
          <w:rFonts w:ascii="Times New Roman" w:hAnsi="Times New Roman"/>
        </w:rPr>
        <w:t>六</w:t>
      </w:r>
      <w:r>
        <w:rPr>
          <w:rFonts w:ascii="Times New Roman" w:hAnsi="Times New Roman" w:hint="eastAsia"/>
          <w:lang w:eastAsia="zh-CN"/>
        </w:rPr>
        <w:t>、</w:t>
      </w:r>
      <w:r>
        <w:rPr>
          <w:rFonts w:ascii="Times New Roman" w:hAnsi="Times New Roman"/>
        </w:rPr>
        <w:t>项目主要污染物产生及预计情况</w:t>
      </w:r>
    </w:p>
    <w:tbl>
      <w:tblPr>
        <w:tblStyle w:val="TableNormal"/>
        <w:tblW w:w="96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1067"/>
        <w:gridCol w:w="1701"/>
        <w:gridCol w:w="1843"/>
        <w:gridCol w:w="1418"/>
        <w:gridCol w:w="1134"/>
        <w:gridCol w:w="1275"/>
        <w:gridCol w:w="1201"/>
      </w:tblGrid>
      <w:tr>
        <w:tblPrEx>
          <w:tblW w:w="96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402"/>
          <w:jc w:val="center"/>
        </w:trPr>
        <w:tc>
          <w:tcPr>
            <w:tcW w:w="1067" w:type="dxa"/>
            <w:tcBorders>
              <w:top w:val="single" w:sz="12" w:space="0" w:color="auto"/>
              <w:bottom w:val="single" w:sz="4" w:space="0" w:color="auto"/>
              <w:tl2br w:val="single" w:sz="4" w:space="0" w:color="auto"/>
            </w:tcBorders>
          </w:tcPr>
          <w:p>
            <w:pPr>
              <w:tabs>
                <w:tab w:val="left" w:pos="320"/>
                <w:tab w:val="center" w:pos="709"/>
              </w:tabs>
              <w:snapToGrid w:val="0"/>
              <w:jc w:val="right"/>
              <w:rPr>
                <w:rFonts w:hint="eastAsia"/>
              </w:rPr>
            </w:pPr>
            <w:r>
              <w:t>内容</w:t>
            </w:r>
          </w:p>
          <w:p>
            <w:pPr>
              <w:tabs>
                <w:tab w:val="left" w:pos="320"/>
                <w:tab w:val="center" w:pos="709"/>
              </w:tabs>
              <w:snapToGrid w:val="0"/>
              <w:jc w:val="left"/>
            </w:pPr>
            <w:r>
              <w:t>类型</w:t>
            </w:r>
          </w:p>
        </w:tc>
        <w:tc>
          <w:tcPr>
            <w:tcW w:w="1701" w:type="dxa"/>
            <w:vAlign w:val="center"/>
          </w:tcPr>
          <w:p>
            <w:pPr>
              <w:tabs>
                <w:tab w:val="left" w:pos="320"/>
                <w:tab w:val="center" w:pos="709"/>
              </w:tabs>
              <w:snapToGrid w:val="0"/>
              <w:jc w:val="center"/>
            </w:pPr>
            <w:r>
              <w:t>排放源（编号）</w:t>
            </w:r>
          </w:p>
        </w:tc>
        <w:tc>
          <w:tcPr>
            <w:tcW w:w="1843" w:type="dxa"/>
            <w:vAlign w:val="center"/>
          </w:tcPr>
          <w:p>
            <w:pPr>
              <w:tabs>
                <w:tab w:val="left" w:pos="320"/>
                <w:tab w:val="center" w:pos="709"/>
              </w:tabs>
              <w:snapToGrid w:val="0"/>
              <w:jc w:val="center"/>
            </w:pPr>
            <w:r>
              <w:t>污染物名称</w:t>
            </w:r>
          </w:p>
        </w:tc>
        <w:tc>
          <w:tcPr>
            <w:tcW w:w="2552" w:type="dxa"/>
            <w:gridSpan w:val="2"/>
            <w:vAlign w:val="center"/>
          </w:tcPr>
          <w:p>
            <w:pPr>
              <w:tabs>
                <w:tab w:val="left" w:pos="320"/>
                <w:tab w:val="center" w:pos="709"/>
              </w:tabs>
              <w:snapToGrid w:val="0"/>
              <w:jc w:val="center"/>
            </w:pPr>
            <w:r>
              <w:t>处理前产生量及浓度</w:t>
            </w:r>
          </w:p>
        </w:tc>
        <w:tc>
          <w:tcPr>
            <w:tcW w:w="2476" w:type="dxa"/>
            <w:gridSpan w:val="2"/>
            <w:vAlign w:val="center"/>
          </w:tcPr>
          <w:p>
            <w:pPr>
              <w:tabs>
                <w:tab w:val="left" w:pos="320"/>
                <w:tab w:val="center" w:pos="709"/>
              </w:tabs>
              <w:snapToGrid w:val="0"/>
              <w:jc w:val="center"/>
            </w:pPr>
            <w:r>
              <w:t>排放浓度及排放量</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restart"/>
            <w:tcBorders>
              <w:top w:val="single" w:sz="4" w:space="0" w:color="auto"/>
            </w:tcBorders>
            <w:vAlign w:val="center"/>
          </w:tcPr>
          <w:p>
            <w:pPr>
              <w:tabs>
                <w:tab w:val="left" w:pos="320"/>
                <w:tab w:val="center" w:pos="709"/>
              </w:tabs>
              <w:snapToGrid w:val="0"/>
              <w:jc w:val="center"/>
            </w:pPr>
            <w:r>
              <w:rPr>
                <w:rFonts w:hint="eastAsia"/>
              </w:rPr>
              <w:t>大气</w:t>
            </w:r>
            <w:r>
              <w:t>污染物</w:t>
            </w:r>
          </w:p>
        </w:tc>
        <w:tc>
          <w:tcPr>
            <w:tcW w:w="1701" w:type="dxa"/>
            <w:vAlign w:val="center"/>
          </w:tcPr>
          <w:p>
            <w:pPr>
              <w:tabs>
                <w:tab w:val="left" w:pos="320"/>
                <w:tab w:val="center" w:pos="709"/>
              </w:tabs>
              <w:snapToGrid w:val="0"/>
              <w:jc w:val="center"/>
            </w:pPr>
            <w:r>
              <w:rPr>
                <w:rFonts w:hint="eastAsia"/>
              </w:rPr>
              <w:t>涂布</w:t>
            </w:r>
            <w:r>
              <w:t>过程</w:t>
            </w:r>
          </w:p>
        </w:tc>
        <w:tc>
          <w:tcPr>
            <w:tcW w:w="1843" w:type="dxa"/>
            <w:vAlign w:val="center"/>
          </w:tcPr>
          <w:p>
            <w:pPr>
              <w:tabs>
                <w:tab w:val="left" w:pos="320"/>
                <w:tab w:val="center" w:pos="709"/>
              </w:tabs>
              <w:snapToGrid w:val="0"/>
              <w:jc w:val="center"/>
            </w:pPr>
            <w:r>
              <w:rPr>
                <w:rFonts w:hint="eastAsia"/>
              </w:rPr>
              <w:t>VOC</w:t>
            </w:r>
            <w:r>
              <w:rPr>
                <w:rFonts w:hint="eastAsia"/>
                <w:vertAlign w:val="subscript"/>
              </w:rPr>
              <w:t>S</w:t>
            </w:r>
          </w:p>
        </w:tc>
        <w:tc>
          <w:tcPr>
            <w:tcW w:w="2552" w:type="dxa"/>
            <w:gridSpan w:val="2"/>
            <w:vAlign w:val="center"/>
          </w:tcPr>
          <w:p>
            <w:pPr>
              <w:tabs>
                <w:tab w:val="left" w:pos="320"/>
                <w:tab w:val="center" w:pos="709"/>
              </w:tabs>
              <w:snapToGrid w:val="0"/>
              <w:jc w:val="center"/>
              <w:rPr>
                <w:szCs w:val="21"/>
              </w:rPr>
            </w:pPr>
            <w:r>
              <w:rPr>
                <w:rFonts w:eastAsia="仿宋_GB2312" w:hint="eastAsia"/>
                <w:szCs w:val="21"/>
              </w:rPr>
              <w:t>10.2</w:t>
            </w:r>
            <w:r>
              <w:rPr>
                <w:rFonts w:eastAsia="仿宋_GB2312"/>
                <w:szCs w:val="21"/>
              </w:rPr>
              <w:t>mg/m</w:t>
            </w:r>
            <w:r>
              <w:rPr>
                <w:rFonts w:eastAsia="仿宋_GB2312"/>
                <w:szCs w:val="21"/>
                <w:vertAlign w:val="superscript"/>
              </w:rPr>
              <w:t>3</w:t>
            </w:r>
            <w:r>
              <w:rPr>
                <w:rFonts w:eastAsia="仿宋_GB2312" w:hint="eastAsia"/>
                <w:szCs w:val="21"/>
              </w:rPr>
              <w:t>，203kg/a</w:t>
            </w:r>
          </w:p>
        </w:tc>
        <w:tc>
          <w:tcPr>
            <w:tcW w:w="2476" w:type="dxa"/>
            <w:gridSpan w:val="2"/>
            <w:vAlign w:val="center"/>
          </w:tcPr>
          <w:p>
            <w:pPr>
              <w:tabs>
                <w:tab w:val="left" w:pos="320"/>
                <w:tab w:val="center" w:pos="709"/>
              </w:tabs>
              <w:snapToGrid w:val="0"/>
              <w:jc w:val="center"/>
            </w:pPr>
            <w:r>
              <w:rPr>
                <w:rFonts w:eastAsia="仿宋_GB2312" w:hint="eastAsia"/>
                <w:szCs w:val="21"/>
              </w:rPr>
              <w:t>0.204</w:t>
            </w:r>
            <w:r>
              <w:rPr>
                <w:rFonts w:eastAsia="仿宋_GB2312"/>
                <w:szCs w:val="21"/>
              </w:rPr>
              <w:t>mg/m</w:t>
            </w:r>
            <w:r>
              <w:rPr>
                <w:rFonts w:eastAsia="仿宋_GB2312"/>
                <w:szCs w:val="21"/>
                <w:vertAlign w:val="superscript"/>
              </w:rPr>
              <w:t>3</w:t>
            </w:r>
            <w:r>
              <w:rPr>
                <w:rFonts w:eastAsia="仿宋_GB2312" w:hint="eastAsia"/>
                <w:szCs w:val="21"/>
              </w:rPr>
              <w:t>，4.1kg/a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textDirection w:val="tbRlV"/>
            <w:vAlign w:val="center"/>
          </w:tcPr>
          <w:p>
            <w:pPr>
              <w:tabs>
                <w:tab w:val="left" w:pos="320"/>
                <w:tab w:val="center" w:pos="709"/>
              </w:tabs>
              <w:snapToGrid w:val="0"/>
              <w:ind w:left="113" w:right="113"/>
              <w:jc w:val="center"/>
            </w:pPr>
          </w:p>
        </w:tc>
        <w:tc>
          <w:tcPr>
            <w:tcW w:w="1701" w:type="dxa"/>
            <w:vMerge w:val="restart"/>
            <w:vAlign w:val="center"/>
          </w:tcPr>
          <w:p>
            <w:pPr>
              <w:tabs>
                <w:tab w:val="left" w:pos="320"/>
                <w:tab w:val="center" w:pos="709"/>
              </w:tabs>
              <w:snapToGrid w:val="0"/>
              <w:jc w:val="center"/>
            </w:pPr>
            <w:r>
              <w:rPr>
                <w:rFonts w:hint="eastAsia"/>
              </w:rPr>
              <w:t>RTO炉燃烧</w:t>
            </w:r>
            <w:r>
              <w:t>废气</w:t>
            </w:r>
          </w:p>
        </w:tc>
        <w:tc>
          <w:tcPr>
            <w:tcW w:w="1843" w:type="dxa"/>
            <w:vAlign w:val="center"/>
          </w:tcPr>
          <w:p>
            <w:pPr>
              <w:pStyle w:val="a"/>
              <w:rPr>
                <w:lang w:val="en-US" w:eastAsia="zh-CN"/>
              </w:rPr>
            </w:pPr>
            <w:r>
              <w:rPr>
                <w:lang w:val="en-US" w:eastAsia="zh-CN"/>
              </w:rPr>
              <w:t>SO</w:t>
            </w:r>
            <w:r>
              <w:rPr>
                <w:vertAlign w:val="subscript"/>
                <w:lang w:val="en-US" w:eastAsia="zh-CN"/>
              </w:rPr>
              <w:t>2</w:t>
            </w:r>
          </w:p>
        </w:tc>
        <w:tc>
          <w:tcPr>
            <w:tcW w:w="2552"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4.8</w:t>
            </w:r>
            <w:r>
              <w:rPr>
                <w:rFonts w:eastAsia="仿宋_GB2312"/>
                <w:szCs w:val="21"/>
              </w:rPr>
              <w:t>mg/m</w:t>
            </w:r>
            <w:r>
              <w:rPr>
                <w:rFonts w:eastAsia="仿宋_GB2312"/>
                <w:szCs w:val="21"/>
                <w:vertAlign w:val="superscript"/>
              </w:rPr>
              <w:t>3</w:t>
            </w:r>
            <w:r>
              <w:rPr>
                <w:rFonts w:eastAsia="仿宋_GB2312" w:hint="eastAsia"/>
                <w:szCs w:val="21"/>
              </w:rPr>
              <w:t>，0.095t/a</w:t>
            </w:r>
          </w:p>
        </w:tc>
        <w:tc>
          <w:tcPr>
            <w:tcW w:w="2476"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4.8</w:t>
            </w:r>
            <w:r>
              <w:rPr>
                <w:rFonts w:eastAsia="仿宋_GB2312"/>
                <w:szCs w:val="21"/>
              </w:rPr>
              <w:t>mg/m</w:t>
            </w:r>
            <w:r>
              <w:rPr>
                <w:rFonts w:eastAsia="仿宋_GB2312"/>
                <w:szCs w:val="21"/>
                <w:vertAlign w:val="superscript"/>
              </w:rPr>
              <w:t>3</w:t>
            </w:r>
            <w:r>
              <w:rPr>
                <w:rFonts w:eastAsia="仿宋_GB2312" w:hint="eastAsia"/>
                <w:szCs w:val="21"/>
              </w:rPr>
              <w:t>，0.095t/a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textDirection w:val="tbRlV"/>
            <w:vAlign w:val="center"/>
          </w:tcPr>
          <w:p>
            <w:pPr>
              <w:tabs>
                <w:tab w:val="left" w:pos="320"/>
                <w:tab w:val="center" w:pos="709"/>
              </w:tabs>
              <w:snapToGrid w:val="0"/>
              <w:ind w:left="113" w:right="113"/>
              <w:jc w:val="center"/>
            </w:pPr>
          </w:p>
        </w:tc>
        <w:tc>
          <w:tcPr>
            <w:tcW w:w="1701" w:type="dxa"/>
            <w:vMerge/>
            <w:vAlign w:val="center"/>
          </w:tcPr>
          <w:p>
            <w:pPr>
              <w:tabs>
                <w:tab w:val="left" w:pos="320"/>
                <w:tab w:val="center" w:pos="709"/>
              </w:tabs>
              <w:snapToGrid w:val="0"/>
              <w:jc w:val="center"/>
              <w:rPr>
                <w:rFonts w:hint="eastAsia"/>
              </w:rPr>
            </w:pPr>
          </w:p>
        </w:tc>
        <w:tc>
          <w:tcPr>
            <w:tcW w:w="1843" w:type="dxa"/>
            <w:vAlign w:val="center"/>
          </w:tcPr>
          <w:p>
            <w:pPr>
              <w:pStyle w:val="a"/>
              <w:rPr>
                <w:vertAlign w:val="subscript"/>
                <w:lang w:val="en-US" w:eastAsia="zh-CN"/>
              </w:rPr>
            </w:pPr>
            <w:r>
              <w:rPr>
                <w:lang w:val="en-US" w:eastAsia="zh-CN"/>
              </w:rPr>
              <w:t>NO</w:t>
            </w:r>
            <w:r>
              <w:rPr>
                <w:vertAlign w:val="subscript"/>
                <w:lang w:val="en-US" w:eastAsia="zh-CN"/>
              </w:rPr>
              <w:t>X</w:t>
            </w:r>
          </w:p>
        </w:tc>
        <w:tc>
          <w:tcPr>
            <w:tcW w:w="2552"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4.6</w:t>
            </w:r>
            <w:r>
              <w:rPr>
                <w:rFonts w:eastAsia="仿宋_GB2312"/>
                <w:szCs w:val="21"/>
              </w:rPr>
              <w:t>mg/m</w:t>
            </w:r>
            <w:r>
              <w:rPr>
                <w:rFonts w:eastAsia="仿宋_GB2312"/>
                <w:szCs w:val="21"/>
                <w:vertAlign w:val="superscript"/>
              </w:rPr>
              <w:t>3</w:t>
            </w:r>
            <w:r>
              <w:rPr>
                <w:rFonts w:eastAsia="仿宋_GB2312" w:hint="eastAsia"/>
                <w:szCs w:val="21"/>
              </w:rPr>
              <w:t>，0.092t/a</w:t>
            </w:r>
          </w:p>
        </w:tc>
        <w:tc>
          <w:tcPr>
            <w:tcW w:w="2476"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4.6</w:t>
            </w:r>
            <w:r>
              <w:rPr>
                <w:rFonts w:eastAsia="仿宋_GB2312"/>
                <w:szCs w:val="21"/>
              </w:rPr>
              <w:t>mg/m</w:t>
            </w:r>
            <w:r>
              <w:rPr>
                <w:rFonts w:eastAsia="仿宋_GB2312"/>
                <w:szCs w:val="21"/>
                <w:vertAlign w:val="superscript"/>
              </w:rPr>
              <w:t>3</w:t>
            </w:r>
            <w:r>
              <w:rPr>
                <w:rFonts w:eastAsia="仿宋_GB2312" w:hint="eastAsia"/>
                <w:szCs w:val="21"/>
              </w:rPr>
              <w:t>，0.092t/a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textDirection w:val="tbRlV"/>
            <w:vAlign w:val="center"/>
          </w:tcPr>
          <w:p>
            <w:pPr>
              <w:tabs>
                <w:tab w:val="left" w:pos="320"/>
                <w:tab w:val="center" w:pos="709"/>
              </w:tabs>
              <w:snapToGrid w:val="0"/>
              <w:ind w:left="113" w:right="113"/>
              <w:jc w:val="center"/>
            </w:pPr>
          </w:p>
        </w:tc>
        <w:tc>
          <w:tcPr>
            <w:tcW w:w="1701" w:type="dxa"/>
            <w:vMerge/>
            <w:vAlign w:val="center"/>
          </w:tcPr>
          <w:p>
            <w:pPr>
              <w:tabs>
                <w:tab w:val="left" w:pos="320"/>
                <w:tab w:val="center" w:pos="709"/>
              </w:tabs>
              <w:snapToGrid w:val="0"/>
              <w:jc w:val="center"/>
              <w:rPr>
                <w:rFonts w:hint="eastAsia"/>
              </w:rPr>
            </w:pPr>
          </w:p>
        </w:tc>
        <w:tc>
          <w:tcPr>
            <w:tcW w:w="1843" w:type="dxa"/>
            <w:vAlign w:val="center"/>
          </w:tcPr>
          <w:p>
            <w:pPr>
              <w:pStyle w:val="a"/>
              <w:rPr>
                <w:lang w:val="en-US" w:eastAsia="zh-CN"/>
              </w:rPr>
            </w:pPr>
            <w:r>
              <w:rPr>
                <w:lang w:val="en-US" w:eastAsia="zh-CN"/>
              </w:rPr>
              <w:t>烟尘</w:t>
            </w:r>
          </w:p>
        </w:tc>
        <w:tc>
          <w:tcPr>
            <w:tcW w:w="2552"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0.4</w:t>
            </w:r>
            <w:r>
              <w:rPr>
                <w:rFonts w:eastAsia="仿宋_GB2312"/>
                <w:szCs w:val="21"/>
              </w:rPr>
              <w:t>mg/m</w:t>
            </w:r>
            <w:r>
              <w:rPr>
                <w:rFonts w:eastAsia="仿宋_GB2312"/>
                <w:szCs w:val="21"/>
                <w:vertAlign w:val="superscript"/>
              </w:rPr>
              <w:t>3</w:t>
            </w:r>
            <w:r>
              <w:rPr>
                <w:rFonts w:eastAsia="仿宋_GB2312" w:hint="eastAsia"/>
                <w:szCs w:val="21"/>
              </w:rPr>
              <w:t>，0.007t/a</w:t>
            </w:r>
          </w:p>
        </w:tc>
        <w:tc>
          <w:tcPr>
            <w:tcW w:w="2476" w:type="dxa"/>
            <w:gridSpan w:val="2"/>
            <w:vAlign w:val="center"/>
          </w:tcPr>
          <w:p>
            <w:pPr>
              <w:tabs>
                <w:tab w:val="left" w:pos="320"/>
                <w:tab w:val="center" w:pos="709"/>
              </w:tabs>
              <w:snapToGrid w:val="0"/>
              <w:jc w:val="center"/>
              <w:rPr>
                <w:rFonts w:eastAsia="仿宋_GB2312" w:hint="eastAsia"/>
                <w:szCs w:val="21"/>
              </w:rPr>
            </w:pPr>
            <w:r>
              <w:rPr>
                <w:rFonts w:eastAsia="仿宋_GB2312" w:hint="eastAsia"/>
                <w:szCs w:val="21"/>
              </w:rPr>
              <w:t>0.4</w:t>
            </w:r>
            <w:r>
              <w:rPr>
                <w:rFonts w:eastAsia="仿宋_GB2312"/>
                <w:szCs w:val="21"/>
              </w:rPr>
              <w:t>mg/m</w:t>
            </w:r>
            <w:r>
              <w:rPr>
                <w:rFonts w:eastAsia="仿宋_GB2312"/>
                <w:szCs w:val="21"/>
                <w:vertAlign w:val="superscript"/>
              </w:rPr>
              <w:t>3</w:t>
            </w:r>
            <w:r>
              <w:rPr>
                <w:rFonts w:eastAsia="仿宋_GB2312" w:hint="eastAsia"/>
                <w:szCs w:val="21"/>
              </w:rPr>
              <w:t>，0.007t/a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restart"/>
            <w:textDirection w:val="tbRlV"/>
            <w:vAlign w:val="center"/>
          </w:tcPr>
          <w:p>
            <w:pPr>
              <w:tabs>
                <w:tab w:val="left" w:pos="320"/>
                <w:tab w:val="center" w:pos="709"/>
              </w:tabs>
              <w:snapToGrid w:val="0"/>
              <w:ind w:left="113" w:right="113"/>
              <w:jc w:val="center"/>
            </w:pPr>
            <w:r>
              <w:t>水污染物</w:t>
            </w:r>
          </w:p>
        </w:tc>
        <w:tc>
          <w:tcPr>
            <w:tcW w:w="1701" w:type="dxa"/>
            <w:vMerge w:val="restart"/>
            <w:vAlign w:val="center"/>
          </w:tcPr>
          <w:p>
            <w:pPr>
              <w:tabs>
                <w:tab w:val="left" w:pos="320"/>
                <w:tab w:val="center" w:pos="709"/>
              </w:tabs>
              <w:snapToGrid w:val="0"/>
              <w:jc w:val="center"/>
            </w:pPr>
            <w:r>
              <w:rPr>
                <w:rFonts w:hint="eastAsia"/>
              </w:rPr>
              <w:t>生活废水</w:t>
            </w:r>
          </w:p>
        </w:tc>
        <w:tc>
          <w:tcPr>
            <w:tcW w:w="1843" w:type="dxa"/>
            <w:vAlign w:val="center"/>
          </w:tcPr>
          <w:p>
            <w:pPr>
              <w:tabs>
                <w:tab w:val="left" w:pos="320"/>
                <w:tab w:val="center" w:pos="709"/>
              </w:tabs>
              <w:snapToGrid w:val="0"/>
              <w:jc w:val="center"/>
              <w:rPr>
                <w:szCs w:val="21"/>
              </w:rPr>
            </w:pPr>
            <w:r>
              <w:rPr>
                <w:szCs w:val="21"/>
              </w:rPr>
              <w:t>废水量</w:t>
            </w:r>
          </w:p>
        </w:tc>
        <w:tc>
          <w:tcPr>
            <w:tcW w:w="2552" w:type="dxa"/>
            <w:gridSpan w:val="2"/>
            <w:vAlign w:val="center"/>
          </w:tcPr>
          <w:p>
            <w:pPr>
              <w:tabs>
                <w:tab w:val="left" w:pos="320"/>
                <w:tab w:val="center" w:pos="709"/>
              </w:tabs>
              <w:snapToGrid w:val="0"/>
              <w:jc w:val="center"/>
              <w:rPr>
                <w:szCs w:val="21"/>
              </w:rPr>
            </w:pPr>
            <w:r>
              <w:rPr>
                <w:rFonts w:hint="eastAsia"/>
              </w:rPr>
              <w:t>12800</w:t>
            </w:r>
            <w:r>
              <w:t>m</w:t>
            </w:r>
            <w:r>
              <w:rPr>
                <w:vertAlign w:val="superscript"/>
              </w:rPr>
              <w:t>3</w:t>
            </w:r>
            <w:r>
              <w:t>/a</w:t>
            </w:r>
          </w:p>
        </w:tc>
        <w:tc>
          <w:tcPr>
            <w:tcW w:w="2476" w:type="dxa"/>
            <w:gridSpan w:val="2"/>
            <w:vAlign w:val="center"/>
          </w:tcPr>
          <w:p>
            <w:pPr>
              <w:tabs>
                <w:tab w:val="left" w:pos="320"/>
                <w:tab w:val="center" w:pos="709"/>
              </w:tabs>
              <w:snapToGrid w:val="0"/>
              <w:jc w:val="center"/>
            </w:pPr>
            <w:r>
              <w:rPr>
                <w:rFonts w:hint="eastAsia"/>
              </w:rPr>
              <w:t>12800</w:t>
            </w:r>
            <w:r>
              <w:t>m</w:t>
            </w:r>
            <w:r>
              <w:rPr>
                <w:vertAlign w:val="superscript"/>
              </w:rPr>
              <w:t>3</w:t>
            </w:r>
            <w:r>
              <w:t>/a</w:t>
            </w:r>
          </w:p>
        </w:tc>
      </w:tr>
      <w:tr>
        <w:tblPrEx>
          <w:tblW w:w="9639" w:type="dxa"/>
          <w:jc w:val="center"/>
          <w:tblLayout w:type="fixed"/>
          <w:tblCellMar>
            <w:top w:w="0" w:type="dxa"/>
            <w:left w:w="57" w:type="dxa"/>
            <w:bottom w:w="0" w:type="dxa"/>
            <w:right w:w="57" w:type="dxa"/>
          </w:tblCellMar>
          <w:tblLook w:val="0000"/>
        </w:tblPrEx>
        <w:trPr>
          <w:trHeight w:val="143"/>
          <w:jc w:val="center"/>
        </w:trPr>
        <w:tc>
          <w:tcPr>
            <w:tcW w:w="1067" w:type="dxa"/>
            <w:vMerge/>
            <w:textDirection w:val="tbRlV"/>
            <w:vAlign w:val="center"/>
          </w:tcPr>
          <w:p>
            <w:pPr>
              <w:tabs>
                <w:tab w:val="left" w:pos="320"/>
                <w:tab w:val="center" w:pos="709"/>
              </w:tabs>
              <w:snapToGrid w:val="0"/>
              <w:ind w:left="113" w:right="113"/>
              <w:jc w:val="center"/>
            </w:pPr>
          </w:p>
        </w:tc>
        <w:tc>
          <w:tcPr>
            <w:tcW w:w="1701" w:type="dxa"/>
            <w:vMerge/>
            <w:vAlign w:val="center"/>
          </w:tcPr>
          <w:p>
            <w:pPr>
              <w:tabs>
                <w:tab w:val="left" w:pos="320"/>
                <w:tab w:val="center" w:pos="709"/>
              </w:tabs>
              <w:snapToGrid w:val="0"/>
              <w:jc w:val="center"/>
            </w:pPr>
          </w:p>
        </w:tc>
        <w:tc>
          <w:tcPr>
            <w:tcW w:w="1843" w:type="dxa"/>
            <w:vAlign w:val="center"/>
          </w:tcPr>
          <w:p>
            <w:pPr>
              <w:tabs>
                <w:tab w:val="left" w:pos="320"/>
                <w:tab w:val="center" w:pos="709"/>
              </w:tabs>
              <w:snapToGrid w:val="0"/>
              <w:jc w:val="center"/>
              <w:rPr>
                <w:szCs w:val="21"/>
              </w:rPr>
            </w:pPr>
            <w:r>
              <w:rPr>
                <w:szCs w:val="21"/>
              </w:rPr>
              <w:t>COD</w:t>
            </w:r>
            <w:r>
              <w:rPr>
                <w:szCs w:val="21"/>
                <w:vertAlign w:val="subscript"/>
              </w:rPr>
              <w:t>Cr</w:t>
            </w:r>
          </w:p>
        </w:tc>
        <w:tc>
          <w:tcPr>
            <w:tcW w:w="1418" w:type="dxa"/>
            <w:vAlign w:val="center"/>
          </w:tcPr>
          <w:p>
            <w:pPr>
              <w:adjustRightInd w:val="0"/>
              <w:snapToGrid w:val="0"/>
              <w:jc w:val="center"/>
            </w:pPr>
            <w:r>
              <w:rPr>
                <w:rFonts w:hint="eastAsia"/>
              </w:rPr>
              <w:t>250</w:t>
            </w:r>
            <w:r>
              <w:t>mg/L</w:t>
            </w:r>
          </w:p>
        </w:tc>
        <w:tc>
          <w:tcPr>
            <w:tcW w:w="1134" w:type="dxa"/>
            <w:vAlign w:val="center"/>
          </w:tcPr>
          <w:p>
            <w:pPr>
              <w:adjustRightInd w:val="0"/>
              <w:snapToGrid w:val="0"/>
              <w:jc w:val="center"/>
            </w:pPr>
            <w:r>
              <w:rPr>
                <w:rFonts w:hint="eastAsia"/>
              </w:rPr>
              <w:t>3.2</w:t>
            </w:r>
            <w:r>
              <w:t>t/a</w:t>
            </w:r>
          </w:p>
        </w:tc>
        <w:tc>
          <w:tcPr>
            <w:tcW w:w="1275" w:type="dxa"/>
            <w:vAlign w:val="center"/>
          </w:tcPr>
          <w:p>
            <w:pPr>
              <w:adjustRightInd w:val="0"/>
              <w:snapToGrid w:val="0"/>
              <w:jc w:val="center"/>
            </w:pPr>
            <w:r>
              <w:rPr>
                <w:rFonts w:hint="eastAsia"/>
              </w:rPr>
              <w:t>175</w:t>
            </w:r>
            <w:r>
              <w:t>mg/L</w:t>
            </w:r>
          </w:p>
        </w:tc>
        <w:tc>
          <w:tcPr>
            <w:tcW w:w="1201" w:type="dxa"/>
            <w:vAlign w:val="center"/>
          </w:tcPr>
          <w:p>
            <w:pPr>
              <w:tabs>
                <w:tab w:val="left" w:pos="320"/>
                <w:tab w:val="center" w:pos="709"/>
              </w:tabs>
              <w:snapToGrid w:val="0"/>
              <w:jc w:val="center"/>
            </w:pPr>
            <w:r>
              <w:rPr>
                <w:rFonts w:hint="eastAsia"/>
              </w:rPr>
              <w:t>2.2</w:t>
            </w:r>
            <w:r>
              <w:t>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tcPr>
          <w:p>
            <w:pPr>
              <w:tabs>
                <w:tab w:val="left" w:pos="320"/>
                <w:tab w:val="center" w:pos="709"/>
              </w:tabs>
              <w:snapToGrid w:val="0"/>
              <w:jc w:val="center"/>
            </w:pPr>
          </w:p>
        </w:tc>
        <w:tc>
          <w:tcPr>
            <w:tcW w:w="1843" w:type="dxa"/>
            <w:vAlign w:val="center"/>
          </w:tcPr>
          <w:p>
            <w:pPr>
              <w:tabs>
                <w:tab w:val="left" w:pos="320"/>
                <w:tab w:val="center" w:pos="709"/>
              </w:tabs>
              <w:snapToGrid w:val="0"/>
              <w:jc w:val="center"/>
              <w:rPr>
                <w:szCs w:val="21"/>
                <w:vertAlign w:val="subscript"/>
              </w:rPr>
            </w:pPr>
            <w:r>
              <w:rPr>
                <w:szCs w:val="21"/>
              </w:rPr>
              <w:t>BOD</w:t>
            </w:r>
            <w:r>
              <w:rPr>
                <w:szCs w:val="21"/>
                <w:vertAlign w:val="subscript"/>
              </w:rPr>
              <w:t>5</w:t>
            </w:r>
          </w:p>
        </w:tc>
        <w:tc>
          <w:tcPr>
            <w:tcW w:w="1418" w:type="dxa"/>
            <w:vAlign w:val="center"/>
          </w:tcPr>
          <w:p>
            <w:pPr>
              <w:adjustRightInd w:val="0"/>
              <w:snapToGrid w:val="0"/>
              <w:jc w:val="center"/>
            </w:pPr>
            <w:r>
              <w:rPr>
                <w:rFonts w:hint="eastAsia"/>
              </w:rPr>
              <w:t>100</w:t>
            </w:r>
            <w:r>
              <w:t>mg/L</w:t>
            </w:r>
          </w:p>
        </w:tc>
        <w:tc>
          <w:tcPr>
            <w:tcW w:w="1134" w:type="dxa"/>
            <w:vAlign w:val="center"/>
          </w:tcPr>
          <w:p>
            <w:pPr>
              <w:adjustRightInd w:val="0"/>
              <w:snapToGrid w:val="0"/>
              <w:jc w:val="center"/>
            </w:pPr>
            <w:r>
              <w:rPr>
                <w:rFonts w:hint="eastAsia"/>
              </w:rPr>
              <w:t>1.3</w:t>
            </w:r>
            <w:r>
              <w:t>t/a</w:t>
            </w:r>
          </w:p>
        </w:tc>
        <w:tc>
          <w:tcPr>
            <w:tcW w:w="1275" w:type="dxa"/>
            <w:vAlign w:val="center"/>
          </w:tcPr>
          <w:p>
            <w:pPr>
              <w:adjustRightInd w:val="0"/>
              <w:snapToGrid w:val="0"/>
              <w:jc w:val="center"/>
            </w:pPr>
            <w:r>
              <w:rPr>
                <w:rFonts w:hint="eastAsia"/>
              </w:rPr>
              <w:t>80</w:t>
            </w:r>
            <w:r>
              <w:t>mg/L</w:t>
            </w:r>
          </w:p>
        </w:tc>
        <w:tc>
          <w:tcPr>
            <w:tcW w:w="1201" w:type="dxa"/>
            <w:vAlign w:val="center"/>
          </w:tcPr>
          <w:p>
            <w:pPr>
              <w:tabs>
                <w:tab w:val="left" w:pos="320"/>
                <w:tab w:val="center" w:pos="709"/>
              </w:tabs>
              <w:snapToGrid w:val="0"/>
              <w:jc w:val="center"/>
            </w:pPr>
            <w:r>
              <w:rPr>
                <w:rFonts w:hint="eastAsia"/>
              </w:rPr>
              <w:t>1.0</w:t>
            </w:r>
            <w:r>
              <w:t>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tcPr>
          <w:p>
            <w:pPr>
              <w:tabs>
                <w:tab w:val="left" w:pos="320"/>
                <w:tab w:val="center" w:pos="709"/>
              </w:tabs>
              <w:snapToGrid w:val="0"/>
              <w:jc w:val="center"/>
            </w:pPr>
          </w:p>
        </w:tc>
        <w:tc>
          <w:tcPr>
            <w:tcW w:w="1843" w:type="dxa"/>
            <w:vAlign w:val="center"/>
          </w:tcPr>
          <w:p>
            <w:pPr>
              <w:tabs>
                <w:tab w:val="left" w:pos="320"/>
                <w:tab w:val="center" w:pos="709"/>
              </w:tabs>
              <w:snapToGrid w:val="0"/>
              <w:jc w:val="center"/>
              <w:rPr>
                <w:szCs w:val="21"/>
              </w:rPr>
            </w:pPr>
            <w:r>
              <w:rPr>
                <w:szCs w:val="21"/>
              </w:rPr>
              <w:t>SS</w:t>
            </w:r>
          </w:p>
        </w:tc>
        <w:tc>
          <w:tcPr>
            <w:tcW w:w="1418" w:type="dxa"/>
            <w:vAlign w:val="center"/>
          </w:tcPr>
          <w:p>
            <w:pPr>
              <w:adjustRightInd w:val="0"/>
              <w:snapToGrid w:val="0"/>
              <w:jc w:val="center"/>
            </w:pPr>
            <w:r>
              <w:rPr>
                <w:rFonts w:hint="eastAsia"/>
              </w:rPr>
              <w:t>150</w:t>
            </w:r>
            <w:r>
              <w:t>mg/L</w:t>
            </w:r>
          </w:p>
        </w:tc>
        <w:tc>
          <w:tcPr>
            <w:tcW w:w="1134" w:type="dxa"/>
            <w:vAlign w:val="center"/>
          </w:tcPr>
          <w:p>
            <w:pPr>
              <w:adjustRightInd w:val="0"/>
              <w:snapToGrid w:val="0"/>
              <w:jc w:val="center"/>
            </w:pPr>
            <w:r>
              <w:rPr>
                <w:rFonts w:hint="eastAsia"/>
              </w:rPr>
              <w:t>1.9</w:t>
            </w:r>
            <w:r>
              <w:t>t/a</w:t>
            </w:r>
          </w:p>
        </w:tc>
        <w:tc>
          <w:tcPr>
            <w:tcW w:w="1275" w:type="dxa"/>
            <w:vAlign w:val="center"/>
          </w:tcPr>
          <w:p>
            <w:pPr>
              <w:adjustRightInd w:val="0"/>
              <w:snapToGrid w:val="0"/>
              <w:jc w:val="center"/>
            </w:pPr>
            <w:r>
              <w:rPr>
                <w:rFonts w:hint="eastAsia"/>
              </w:rPr>
              <w:t>75</w:t>
            </w:r>
            <w:r>
              <w:t>mg/L</w:t>
            </w:r>
          </w:p>
        </w:tc>
        <w:tc>
          <w:tcPr>
            <w:tcW w:w="1201" w:type="dxa"/>
            <w:vAlign w:val="center"/>
          </w:tcPr>
          <w:p>
            <w:pPr>
              <w:tabs>
                <w:tab w:val="left" w:pos="320"/>
                <w:tab w:val="center" w:pos="709"/>
              </w:tabs>
              <w:snapToGrid w:val="0"/>
              <w:jc w:val="center"/>
            </w:pPr>
            <w:r>
              <w:rPr>
                <w:rFonts w:hint="eastAsia"/>
              </w:rPr>
              <w:t>0.96</w:t>
            </w:r>
            <w:r>
              <w:t>t/a</w:t>
            </w:r>
          </w:p>
        </w:tc>
      </w:tr>
      <w:tr>
        <w:tblPrEx>
          <w:tblW w:w="9639" w:type="dxa"/>
          <w:jc w:val="center"/>
          <w:tblLayout w:type="fixed"/>
          <w:tblCellMar>
            <w:top w:w="0" w:type="dxa"/>
            <w:left w:w="57" w:type="dxa"/>
            <w:bottom w:w="0" w:type="dxa"/>
            <w:right w:w="57" w:type="dxa"/>
          </w:tblCellMar>
          <w:tblLook w:val="0000"/>
        </w:tblPrEx>
        <w:trPr>
          <w:trHeight w:val="173"/>
          <w:jc w:val="center"/>
        </w:trPr>
        <w:tc>
          <w:tcPr>
            <w:tcW w:w="1067" w:type="dxa"/>
            <w:vMerge/>
            <w:vAlign w:val="center"/>
          </w:tcPr>
          <w:p>
            <w:pPr>
              <w:tabs>
                <w:tab w:val="left" w:pos="320"/>
                <w:tab w:val="center" w:pos="709"/>
              </w:tabs>
              <w:snapToGrid w:val="0"/>
              <w:jc w:val="center"/>
            </w:pPr>
          </w:p>
        </w:tc>
        <w:tc>
          <w:tcPr>
            <w:tcW w:w="1701" w:type="dxa"/>
            <w:vMerge/>
          </w:tcPr>
          <w:p>
            <w:pPr>
              <w:tabs>
                <w:tab w:val="left" w:pos="320"/>
                <w:tab w:val="center" w:pos="709"/>
              </w:tabs>
              <w:snapToGrid w:val="0"/>
              <w:jc w:val="center"/>
            </w:pPr>
          </w:p>
        </w:tc>
        <w:tc>
          <w:tcPr>
            <w:tcW w:w="1843" w:type="dxa"/>
            <w:vAlign w:val="center"/>
          </w:tcPr>
          <w:p>
            <w:pPr>
              <w:tabs>
                <w:tab w:val="left" w:pos="320"/>
                <w:tab w:val="center" w:pos="709"/>
              </w:tabs>
              <w:snapToGrid w:val="0"/>
              <w:jc w:val="center"/>
              <w:rPr>
                <w:szCs w:val="21"/>
              </w:rPr>
            </w:pPr>
            <w:r>
              <w:rPr>
                <w:szCs w:val="21"/>
              </w:rPr>
              <w:t>NH</w:t>
            </w:r>
            <w:r>
              <w:rPr>
                <w:szCs w:val="21"/>
                <w:vertAlign w:val="subscript"/>
              </w:rPr>
              <w:t>3</w:t>
            </w:r>
            <w:r>
              <w:rPr>
                <w:szCs w:val="21"/>
              </w:rPr>
              <w:t>-N</w:t>
            </w:r>
          </w:p>
        </w:tc>
        <w:tc>
          <w:tcPr>
            <w:tcW w:w="1418" w:type="dxa"/>
            <w:vAlign w:val="center"/>
          </w:tcPr>
          <w:p>
            <w:pPr>
              <w:adjustRightInd w:val="0"/>
              <w:snapToGrid w:val="0"/>
              <w:jc w:val="center"/>
            </w:pPr>
            <w:r>
              <w:rPr>
                <w:rFonts w:hint="eastAsia"/>
              </w:rPr>
              <w:t>25</w:t>
            </w:r>
            <w:r>
              <w:t>mg/L</w:t>
            </w:r>
          </w:p>
        </w:tc>
        <w:tc>
          <w:tcPr>
            <w:tcW w:w="1134" w:type="dxa"/>
            <w:vAlign w:val="center"/>
          </w:tcPr>
          <w:p>
            <w:pPr>
              <w:adjustRightInd w:val="0"/>
              <w:snapToGrid w:val="0"/>
              <w:jc w:val="center"/>
            </w:pPr>
            <w:r>
              <w:rPr>
                <w:rFonts w:hint="eastAsia"/>
              </w:rPr>
              <w:t>0.32</w:t>
            </w:r>
            <w:r>
              <w:t>t/a</w:t>
            </w:r>
          </w:p>
        </w:tc>
        <w:tc>
          <w:tcPr>
            <w:tcW w:w="1275" w:type="dxa"/>
            <w:vAlign w:val="center"/>
          </w:tcPr>
          <w:p>
            <w:pPr>
              <w:adjustRightInd w:val="0"/>
              <w:snapToGrid w:val="0"/>
              <w:jc w:val="center"/>
            </w:pPr>
            <w:r>
              <w:rPr>
                <w:rFonts w:hint="eastAsia"/>
              </w:rPr>
              <w:t>20</w:t>
            </w:r>
            <w:r>
              <w:t>mg/L</w:t>
            </w:r>
          </w:p>
        </w:tc>
        <w:tc>
          <w:tcPr>
            <w:tcW w:w="1201" w:type="dxa"/>
            <w:vAlign w:val="center"/>
          </w:tcPr>
          <w:p>
            <w:pPr>
              <w:tabs>
                <w:tab w:val="left" w:pos="320"/>
                <w:tab w:val="center" w:pos="709"/>
              </w:tabs>
              <w:snapToGrid w:val="0"/>
              <w:jc w:val="center"/>
            </w:pPr>
            <w:r>
              <w:rPr>
                <w:rFonts w:hint="eastAsia"/>
              </w:rPr>
              <w:t>0.26</w:t>
            </w:r>
            <w:r>
              <w:t>t/a</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restart"/>
            <w:vAlign w:val="center"/>
          </w:tcPr>
          <w:p>
            <w:pPr>
              <w:tabs>
                <w:tab w:val="left" w:pos="320"/>
                <w:tab w:val="center" w:pos="709"/>
              </w:tabs>
              <w:snapToGrid w:val="0"/>
              <w:jc w:val="center"/>
            </w:pPr>
            <w:r>
              <w:t>固体废物</w:t>
            </w:r>
          </w:p>
        </w:tc>
        <w:tc>
          <w:tcPr>
            <w:tcW w:w="1701" w:type="dxa"/>
            <w:vAlign w:val="center"/>
          </w:tcPr>
          <w:p>
            <w:pPr>
              <w:tabs>
                <w:tab w:val="left" w:pos="320"/>
                <w:tab w:val="center" w:pos="709"/>
              </w:tabs>
              <w:snapToGrid w:val="0"/>
              <w:jc w:val="center"/>
              <w:rPr>
                <w:rFonts w:hint="eastAsia"/>
                <w:szCs w:val="21"/>
              </w:rPr>
            </w:pPr>
            <w:r>
              <w:rPr>
                <w:rFonts w:hint="eastAsia"/>
                <w:szCs w:val="21"/>
              </w:rPr>
              <w:t>办公过程</w:t>
            </w:r>
          </w:p>
        </w:tc>
        <w:tc>
          <w:tcPr>
            <w:tcW w:w="1843" w:type="dxa"/>
            <w:tcBorders>
              <w:bottom w:val="single" w:sz="4" w:space="0" w:color="auto"/>
            </w:tcBorders>
            <w:vAlign w:val="center"/>
          </w:tcPr>
          <w:p>
            <w:pPr>
              <w:adjustRightInd w:val="0"/>
              <w:snapToGrid w:val="0"/>
              <w:jc w:val="center"/>
              <w:textAlignment w:val="baseline"/>
              <w:rPr>
                <w:szCs w:val="21"/>
              </w:rPr>
            </w:pPr>
            <w:r>
              <w:rPr>
                <w:szCs w:val="21"/>
              </w:rPr>
              <w:t>生活垃圾</w:t>
            </w:r>
          </w:p>
        </w:tc>
        <w:tc>
          <w:tcPr>
            <w:tcW w:w="2552" w:type="dxa"/>
            <w:gridSpan w:val="2"/>
            <w:tcBorders>
              <w:bottom w:val="single" w:sz="4" w:space="0" w:color="auto"/>
            </w:tcBorders>
            <w:vAlign w:val="center"/>
          </w:tcPr>
          <w:p>
            <w:pPr>
              <w:tabs>
                <w:tab w:val="left" w:pos="320"/>
                <w:tab w:val="center" w:pos="709"/>
              </w:tabs>
              <w:snapToGrid w:val="0"/>
              <w:jc w:val="center"/>
              <w:rPr>
                <w:szCs w:val="21"/>
              </w:rPr>
            </w:pPr>
            <w:r>
              <w:rPr>
                <w:rFonts w:hint="eastAsia"/>
                <w:szCs w:val="21"/>
              </w:rPr>
              <w:t>325</w:t>
            </w:r>
            <w:r>
              <w:rPr>
                <w:szCs w:val="21"/>
              </w:rPr>
              <w:t>t/a</w:t>
            </w:r>
          </w:p>
        </w:tc>
        <w:tc>
          <w:tcPr>
            <w:tcW w:w="2476" w:type="dxa"/>
            <w:gridSpan w:val="2"/>
            <w:vAlign w:val="center"/>
          </w:tcPr>
          <w:p>
            <w:pPr>
              <w:adjustRightInd w:val="0"/>
              <w:snapToGrid w:val="0"/>
              <w:jc w:val="center"/>
              <w:textAlignment w:val="baseline"/>
              <w:rPr>
                <w:rFonts w:hint="eastAsia"/>
                <w:szCs w:val="21"/>
              </w:rPr>
            </w:pPr>
            <w:r>
              <w:rPr>
                <w:rFonts w:hint="eastAsia"/>
                <w:szCs w:val="21"/>
              </w:rPr>
              <w:t>0</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val="restart"/>
            <w:vAlign w:val="center"/>
          </w:tcPr>
          <w:p>
            <w:pPr>
              <w:tabs>
                <w:tab w:val="left" w:pos="320"/>
                <w:tab w:val="center" w:pos="709"/>
              </w:tabs>
              <w:snapToGrid w:val="0"/>
              <w:jc w:val="center"/>
              <w:rPr>
                <w:szCs w:val="21"/>
              </w:rPr>
            </w:pPr>
            <w:r>
              <w:rPr>
                <w:rFonts w:hint="eastAsia"/>
                <w:szCs w:val="21"/>
              </w:rPr>
              <w:t>生产过程</w:t>
            </w:r>
          </w:p>
        </w:tc>
        <w:tc>
          <w:tcPr>
            <w:tcW w:w="1843" w:type="dxa"/>
            <w:tcBorders>
              <w:bottom w:val="single" w:sz="4" w:space="0" w:color="auto"/>
            </w:tcBorders>
            <w:vAlign w:val="center"/>
          </w:tcPr>
          <w:p>
            <w:pPr>
              <w:adjustRightInd w:val="0"/>
              <w:snapToGrid w:val="0"/>
              <w:jc w:val="center"/>
              <w:textAlignment w:val="baseline"/>
              <w:rPr>
                <w:szCs w:val="21"/>
              </w:rPr>
            </w:pPr>
            <w:r>
              <w:rPr>
                <w:szCs w:val="21"/>
              </w:rPr>
              <w:t>废包装</w:t>
            </w:r>
          </w:p>
        </w:tc>
        <w:tc>
          <w:tcPr>
            <w:tcW w:w="2552" w:type="dxa"/>
            <w:gridSpan w:val="2"/>
            <w:tcBorders>
              <w:bottom w:val="single" w:sz="4" w:space="0" w:color="auto"/>
            </w:tcBorders>
            <w:vAlign w:val="center"/>
          </w:tcPr>
          <w:p>
            <w:pPr>
              <w:tabs>
                <w:tab w:val="left" w:pos="320"/>
                <w:tab w:val="center" w:pos="709"/>
              </w:tabs>
              <w:snapToGrid w:val="0"/>
              <w:jc w:val="center"/>
              <w:rPr>
                <w:szCs w:val="21"/>
              </w:rPr>
            </w:pPr>
            <w:r>
              <w:rPr>
                <w:rFonts w:hint="eastAsia"/>
                <w:szCs w:val="21"/>
              </w:rPr>
              <w:t>1</w:t>
            </w:r>
            <w:r>
              <w:rPr>
                <w:szCs w:val="21"/>
              </w:rPr>
              <w:t>t/a</w:t>
            </w:r>
          </w:p>
        </w:tc>
        <w:tc>
          <w:tcPr>
            <w:tcW w:w="2476" w:type="dxa"/>
            <w:gridSpan w:val="2"/>
            <w:vAlign w:val="center"/>
          </w:tcPr>
          <w:p>
            <w:pPr>
              <w:adjustRightInd w:val="0"/>
              <w:snapToGrid w:val="0"/>
              <w:jc w:val="center"/>
              <w:textAlignment w:val="baseline"/>
              <w:rPr>
                <w:szCs w:val="21"/>
              </w:rPr>
            </w:pPr>
            <w:r>
              <w:rPr>
                <w:rFonts w:hint="eastAsia"/>
                <w:szCs w:val="21"/>
              </w:rPr>
              <w:t>0</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vAlign w:val="center"/>
          </w:tcPr>
          <w:p>
            <w:pPr>
              <w:tabs>
                <w:tab w:val="left" w:pos="320"/>
                <w:tab w:val="center" w:pos="709"/>
              </w:tabs>
              <w:snapToGrid w:val="0"/>
              <w:jc w:val="center"/>
              <w:rPr>
                <w:szCs w:val="21"/>
              </w:rPr>
            </w:pPr>
          </w:p>
        </w:tc>
        <w:tc>
          <w:tcPr>
            <w:tcW w:w="1843" w:type="dxa"/>
            <w:tcBorders>
              <w:bottom w:val="single" w:sz="4" w:space="0" w:color="auto"/>
            </w:tcBorders>
            <w:vAlign w:val="center"/>
          </w:tcPr>
          <w:p>
            <w:pPr>
              <w:adjustRightInd w:val="0"/>
              <w:snapToGrid w:val="0"/>
              <w:jc w:val="center"/>
              <w:textAlignment w:val="baseline"/>
              <w:rPr>
                <w:szCs w:val="21"/>
              </w:rPr>
            </w:pPr>
            <w:r>
              <w:rPr>
                <w:szCs w:val="21"/>
              </w:rPr>
              <w:t>不合格产品</w:t>
            </w:r>
          </w:p>
        </w:tc>
        <w:tc>
          <w:tcPr>
            <w:tcW w:w="2552" w:type="dxa"/>
            <w:gridSpan w:val="2"/>
            <w:tcBorders>
              <w:bottom w:val="single" w:sz="4" w:space="0" w:color="auto"/>
            </w:tcBorders>
            <w:vAlign w:val="center"/>
          </w:tcPr>
          <w:p>
            <w:pPr>
              <w:tabs>
                <w:tab w:val="left" w:pos="320"/>
                <w:tab w:val="center" w:pos="709"/>
              </w:tabs>
              <w:snapToGrid w:val="0"/>
              <w:jc w:val="center"/>
              <w:rPr>
                <w:szCs w:val="21"/>
              </w:rPr>
            </w:pPr>
            <w:r>
              <w:rPr>
                <w:rFonts w:hint="eastAsia"/>
                <w:szCs w:val="21"/>
              </w:rPr>
              <w:t>1.2</w:t>
            </w:r>
            <w:r>
              <w:rPr>
                <w:szCs w:val="21"/>
              </w:rPr>
              <w:t>t/a</w:t>
            </w:r>
          </w:p>
        </w:tc>
        <w:tc>
          <w:tcPr>
            <w:tcW w:w="2476" w:type="dxa"/>
            <w:gridSpan w:val="2"/>
            <w:tcBorders>
              <w:bottom w:val="single" w:sz="4" w:space="0" w:color="auto"/>
            </w:tcBorders>
            <w:vAlign w:val="center"/>
          </w:tcPr>
          <w:p>
            <w:pPr>
              <w:adjustRightInd w:val="0"/>
              <w:snapToGrid w:val="0"/>
              <w:jc w:val="center"/>
              <w:textAlignment w:val="baseline"/>
              <w:rPr>
                <w:szCs w:val="21"/>
              </w:rPr>
            </w:pPr>
            <w:r>
              <w:rPr>
                <w:rFonts w:hint="eastAsia"/>
                <w:szCs w:val="21"/>
              </w:rPr>
              <w:t>0</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vAlign w:val="center"/>
          </w:tcPr>
          <w:p>
            <w:pPr>
              <w:tabs>
                <w:tab w:val="left" w:pos="320"/>
                <w:tab w:val="center" w:pos="709"/>
              </w:tabs>
              <w:snapToGrid w:val="0"/>
              <w:jc w:val="center"/>
              <w:rPr>
                <w:szCs w:val="21"/>
              </w:rPr>
            </w:pPr>
          </w:p>
        </w:tc>
        <w:tc>
          <w:tcPr>
            <w:tcW w:w="1843" w:type="dxa"/>
            <w:tcBorders>
              <w:bottom w:val="single" w:sz="4" w:space="0" w:color="auto"/>
            </w:tcBorders>
            <w:vAlign w:val="center"/>
          </w:tcPr>
          <w:p>
            <w:pPr>
              <w:adjustRightInd w:val="0"/>
              <w:snapToGrid w:val="0"/>
              <w:jc w:val="center"/>
              <w:textAlignment w:val="baseline"/>
              <w:rPr>
                <w:szCs w:val="21"/>
              </w:rPr>
            </w:pPr>
            <w:r>
              <w:rPr>
                <w:rFonts w:hint="eastAsia"/>
                <w:szCs w:val="21"/>
              </w:rPr>
              <w:t>涂布机清洗废抹布</w:t>
            </w:r>
          </w:p>
        </w:tc>
        <w:tc>
          <w:tcPr>
            <w:tcW w:w="2552" w:type="dxa"/>
            <w:gridSpan w:val="2"/>
            <w:tcBorders>
              <w:bottom w:val="single" w:sz="4" w:space="0" w:color="auto"/>
            </w:tcBorders>
            <w:vAlign w:val="center"/>
          </w:tcPr>
          <w:p>
            <w:pPr>
              <w:tabs>
                <w:tab w:val="left" w:pos="320"/>
                <w:tab w:val="center" w:pos="709"/>
              </w:tabs>
              <w:snapToGrid w:val="0"/>
              <w:jc w:val="center"/>
              <w:rPr>
                <w:szCs w:val="21"/>
              </w:rPr>
            </w:pPr>
            <w:r>
              <w:rPr>
                <w:rFonts w:hint="eastAsia"/>
                <w:szCs w:val="21"/>
              </w:rPr>
              <w:t>0.03</w:t>
            </w:r>
            <w:r>
              <w:rPr>
                <w:szCs w:val="21"/>
              </w:rPr>
              <w:t>t/a</w:t>
            </w:r>
          </w:p>
        </w:tc>
        <w:tc>
          <w:tcPr>
            <w:tcW w:w="2476" w:type="dxa"/>
            <w:gridSpan w:val="2"/>
            <w:tcBorders>
              <w:bottom w:val="single" w:sz="4" w:space="0" w:color="auto"/>
            </w:tcBorders>
            <w:vAlign w:val="center"/>
          </w:tcPr>
          <w:p>
            <w:pPr>
              <w:adjustRightInd w:val="0"/>
              <w:snapToGrid w:val="0"/>
              <w:jc w:val="center"/>
              <w:textAlignment w:val="baseline"/>
              <w:rPr>
                <w:szCs w:val="21"/>
              </w:rPr>
            </w:pPr>
            <w:r>
              <w:rPr>
                <w:rFonts w:hint="eastAsia"/>
                <w:szCs w:val="21"/>
              </w:rPr>
              <w:t>0</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Merge/>
            <w:vAlign w:val="center"/>
          </w:tcPr>
          <w:p>
            <w:pPr>
              <w:tabs>
                <w:tab w:val="left" w:pos="320"/>
                <w:tab w:val="center" w:pos="709"/>
              </w:tabs>
              <w:snapToGrid w:val="0"/>
              <w:jc w:val="center"/>
            </w:pPr>
          </w:p>
        </w:tc>
        <w:tc>
          <w:tcPr>
            <w:tcW w:w="1701" w:type="dxa"/>
            <w:vMerge/>
            <w:vAlign w:val="center"/>
          </w:tcPr>
          <w:p>
            <w:pPr>
              <w:tabs>
                <w:tab w:val="left" w:pos="320"/>
                <w:tab w:val="center" w:pos="709"/>
              </w:tabs>
              <w:snapToGrid w:val="0"/>
              <w:jc w:val="center"/>
              <w:rPr>
                <w:szCs w:val="21"/>
              </w:rPr>
            </w:pPr>
          </w:p>
        </w:tc>
        <w:tc>
          <w:tcPr>
            <w:tcW w:w="1843" w:type="dxa"/>
            <w:tcBorders>
              <w:bottom w:val="single" w:sz="4" w:space="0" w:color="auto"/>
            </w:tcBorders>
            <w:vAlign w:val="center"/>
          </w:tcPr>
          <w:p>
            <w:pPr>
              <w:adjustRightInd w:val="0"/>
              <w:snapToGrid w:val="0"/>
              <w:jc w:val="center"/>
              <w:textAlignment w:val="baseline"/>
              <w:rPr>
                <w:szCs w:val="21"/>
              </w:rPr>
            </w:pPr>
            <w:r>
              <w:rPr>
                <w:szCs w:val="21"/>
              </w:rPr>
              <w:t>边角料</w:t>
            </w:r>
          </w:p>
        </w:tc>
        <w:tc>
          <w:tcPr>
            <w:tcW w:w="2552" w:type="dxa"/>
            <w:gridSpan w:val="2"/>
            <w:tcBorders>
              <w:bottom w:val="single" w:sz="4" w:space="0" w:color="auto"/>
            </w:tcBorders>
            <w:vAlign w:val="center"/>
          </w:tcPr>
          <w:p>
            <w:pPr>
              <w:tabs>
                <w:tab w:val="left" w:pos="320"/>
                <w:tab w:val="center" w:pos="709"/>
              </w:tabs>
              <w:snapToGrid w:val="0"/>
              <w:jc w:val="center"/>
              <w:rPr>
                <w:rFonts w:hint="eastAsia"/>
                <w:szCs w:val="21"/>
              </w:rPr>
            </w:pPr>
            <w:r>
              <w:rPr>
                <w:rFonts w:hint="eastAsia"/>
                <w:szCs w:val="21"/>
              </w:rPr>
              <w:t>0.5</w:t>
            </w:r>
            <w:r>
              <w:rPr>
                <w:szCs w:val="21"/>
              </w:rPr>
              <w:t>t/a</w:t>
            </w:r>
          </w:p>
        </w:tc>
        <w:tc>
          <w:tcPr>
            <w:tcW w:w="2476" w:type="dxa"/>
            <w:gridSpan w:val="2"/>
            <w:tcBorders>
              <w:bottom w:val="single" w:sz="4" w:space="0" w:color="auto"/>
            </w:tcBorders>
            <w:vAlign w:val="center"/>
          </w:tcPr>
          <w:p>
            <w:pPr>
              <w:adjustRightInd w:val="0"/>
              <w:snapToGrid w:val="0"/>
              <w:jc w:val="center"/>
              <w:textAlignment w:val="baseline"/>
              <w:rPr>
                <w:szCs w:val="21"/>
              </w:rPr>
            </w:pPr>
            <w:r>
              <w:rPr>
                <w:rFonts w:hint="eastAsia"/>
                <w:szCs w:val="21"/>
              </w:rPr>
              <w:t>0</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Align w:val="center"/>
          </w:tcPr>
          <w:p>
            <w:pPr>
              <w:tabs>
                <w:tab w:val="left" w:pos="320"/>
                <w:tab w:val="center" w:pos="709"/>
              </w:tabs>
              <w:snapToGrid w:val="0"/>
              <w:jc w:val="center"/>
            </w:pPr>
            <w:r>
              <w:t>噪声</w:t>
            </w:r>
          </w:p>
        </w:tc>
        <w:tc>
          <w:tcPr>
            <w:tcW w:w="1701" w:type="dxa"/>
            <w:vAlign w:val="center"/>
          </w:tcPr>
          <w:p>
            <w:pPr>
              <w:snapToGrid w:val="0"/>
              <w:jc w:val="center"/>
              <w:rPr>
                <w:szCs w:val="21"/>
              </w:rPr>
            </w:pPr>
            <w:r>
              <w:rPr>
                <w:szCs w:val="21"/>
              </w:rPr>
              <w:t>生产设备</w:t>
            </w:r>
          </w:p>
        </w:tc>
        <w:tc>
          <w:tcPr>
            <w:tcW w:w="1843" w:type="dxa"/>
            <w:vAlign w:val="center"/>
          </w:tcPr>
          <w:p>
            <w:pPr>
              <w:snapToGrid w:val="0"/>
              <w:jc w:val="center"/>
              <w:rPr>
                <w:szCs w:val="21"/>
              </w:rPr>
            </w:pPr>
            <w:r>
              <w:rPr>
                <w:szCs w:val="21"/>
              </w:rPr>
              <w:t>机械噪声</w:t>
            </w:r>
          </w:p>
        </w:tc>
        <w:tc>
          <w:tcPr>
            <w:tcW w:w="2552" w:type="dxa"/>
            <w:gridSpan w:val="2"/>
            <w:vAlign w:val="center"/>
          </w:tcPr>
          <w:p>
            <w:pPr>
              <w:snapToGrid w:val="0"/>
              <w:jc w:val="center"/>
              <w:rPr>
                <w:szCs w:val="21"/>
              </w:rPr>
            </w:pPr>
            <w:r>
              <w:rPr>
                <w:rFonts w:hint="eastAsia"/>
                <w:szCs w:val="21"/>
              </w:rPr>
              <w:t>70</w:t>
            </w:r>
            <w:r>
              <w:rPr>
                <w:szCs w:val="21"/>
              </w:rPr>
              <w:t>-</w:t>
            </w:r>
            <w:r>
              <w:rPr>
                <w:rFonts w:hint="eastAsia"/>
                <w:szCs w:val="21"/>
              </w:rPr>
              <w:t>90</w:t>
            </w:r>
            <w:r>
              <w:rPr>
                <w:szCs w:val="21"/>
              </w:rPr>
              <w:t>dB(A)</w:t>
            </w:r>
          </w:p>
        </w:tc>
        <w:tc>
          <w:tcPr>
            <w:tcW w:w="2476" w:type="dxa"/>
            <w:gridSpan w:val="2"/>
            <w:vAlign w:val="center"/>
          </w:tcPr>
          <w:p>
            <w:pPr>
              <w:snapToGrid w:val="0"/>
              <w:jc w:val="center"/>
              <w:rPr>
                <w:szCs w:val="21"/>
              </w:rPr>
            </w:pPr>
            <w:r>
              <w:rPr>
                <w:szCs w:val="21"/>
              </w:rPr>
              <w:t>≤65dB（A）（昼间）</w:t>
            </w:r>
          </w:p>
          <w:p>
            <w:pPr>
              <w:snapToGrid w:val="0"/>
              <w:jc w:val="center"/>
              <w:rPr>
                <w:szCs w:val="21"/>
              </w:rPr>
            </w:pPr>
            <w:r>
              <w:rPr>
                <w:szCs w:val="21"/>
              </w:rPr>
              <w:t>≤55dB（A）（夜间）</w:t>
            </w:r>
          </w:p>
        </w:tc>
      </w:tr>
      <w:tr>
        <w:tblPrEx>
          <w:tblW w:w="9639" w:type="dxa"/>
          <w:jc w:val="center"/>
          <w:tblLayout w:type="fixed"/>
          <w:tblCellMar>
            <w:top w:w="0" w:type="dxa"/>
            <w:left w:w="57" w:type="dxa"/>
            <w:bottom w:w="0" w:type="dxa"/>
            <w:right w:w="57" w:type="dxa"/>
          </w:tblCellMar>
          <w:tblLook w:val="0000"/>
        </w:tblPrEx>
        <w:trPr>
          <w:jc w:val="center"/>
        </w:trPr>
        <w:tc>
          <w:tcPr>
            <w:tcW w:w="1067" w:type="dxa"/>
            <w:vAlign w:val="center"/>
          </w:tcPr>
          <w:p>
            <w:pPr>
              <w:tabs>
                <w:tab w:val="left" w:pos="320"/>
                <w:tab w:val="center" w:pos="709"/>
              </w:tabs>
              <w:snapToGrid w:val="0"/>
              <w:jc w:val="center"/>
            </w:pPr>
            <w:r>
              <w:t>其他</w:t>
            </w:r>
          </w:p>
        </w:tc>
        <w:tc>
          <w:tcPr>
            <w:tcW w:w="8572" w:type="dxa"/>
            <w:gridSpan w:val="6"/>
            <w:vAlign w:val="center"/>
          </w:tcPr>
          <w:p>
            <w:pPr>
              <w:tabs>
                <w:tab w:val="left" w:pos="320"/>
                <w:tab w:val="center" w:pos="709"/>
              </w:tabs>
              <w:snapToGrid w:val="0"/>
              <w:jc w:val="center"/>
            </w:pPr>
            <w:r>
              <w:t>无</w:t>
            </w:r>
          </w:p>
        </w:tc>
      </w:tr>
      <w:tr>
        <w:tblPrEx>
          <w:tblW w:w="9639" w:type="dxa"/>
          <w:jc w:val="center"/>
          <w:tblLayout w:type="fixed"/>
          <w:tblCellMar>
            <w:top w:w="0" w:type="dxa"/>
            <w:left w:w="57" w:type="dxa"/>
            <w:bottom w:w="0" w:type="dxa"/>
            <w:right w:w="57" w:type="dxa"/>
          </w:tblCellMar>
          <w:tblLook w:val="0000"/>
        </w:tblPrEx>
        <w:trPr>
          <w:jc w:val="center"/>
        </w:trPr>
        <w:tc>
          <w:tcPr>
            <w:tcW w:w="9639" w:type="dxa"/>
            <w:gridSpan w:val="7"/>
          </w:tcPr>
          <w:p>
            <w:pPr>
              <w:tabs>
                <w:tab w:val="left" w:pos="320"/>
                <w:tab w:val="center" w:pos="709"/>
              </w:tabs>
              <w:snapToGrid w:val="0"/>
              <w:spacing w:line="360" w:lineRule="auto"/>
              <w:rPr>
                <w:b/>
                <w:sz w:val="24"/>
              </w:rPr>
            </w:pPr>
            <w:r>
              <w:rPr>
                <w:b/>
                <w:sz w:val="24"/>
              </w:rPr>
              <w:t>主要生态影响（不够时可附另页）</w:t>
            </w:r>
          </w:p>
          <w:p>
            <w:pPr>
              <w:adjustRightInd w:val="0"/>
              <w:snapToGrid w:val="0"/>
              <w:spacing w:line="360" w:lineRule="auto"/>
              <w:ind w:firstLine="480" w:firstLineChars="200"/>
              <w:rPr>
                <w:rFonts w:hint="eastAsia"/>
                <w:sz w:val="24"/>
              </w:rPr>
            </w:pPr>
            <w:r>
              <w:rPr>
                <w:rFonts w:hint="eastAsia"/>
                <w:sz w:val="24"/>
              </w:rPr>
              <w:t>项目用地为工业用地，厂区周边区域主要分布有工厂、住宅等，周边自然地貌已基本经人工改造而消失，因此本项目的建设对周边生态环境影响有限。</w:t>
            </w: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rPr>
                <w:sz w:val="24"/>
              </w:rPr>
            </w:pPr>
          </w:p>
        </w:tc>
      </w:tr>
    </w:tbl>
    <w:p>
      <w:pPr>
        <w:pStyle w:val="Title"/>
        <w:snapToGrid w:val="0"/>
        <w:spacing w:before="0" w:after="0"/>
        <w:ind w:left="-420" w:leftChars="-200"/>
        <w:rPr>
          <w:rFonts w:ascii="Times New Roman" w:hAnsi="Times New Roman"/>
        </w:rPr>
      </w:pPr>
      <w:r>
        <w:rPr>
          <w:rFonts w:ascii="Times New Roman" w:hAnsi="Times New Roman"/>
        </w:rPr>
        <w:br/>
      </w:r>
      <w:r>
        <w:rPr>
          <w:rFonts w:ascii="Times New Roman" w:hAnsi="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7" w:history="1">
        <w:r>
          <w:rPr>
            <w:rFonts w:ascii="SimSun" w:eastAsia="SimSun" w:hAnsi="SimSun" w:cs="SimSun"/>
            <w:b/>
            <w:bCs/>
            <w:color w:val="0000EE"/>
            <w:kern w:val="0"/>
            <w:sz w:val="30"/>
            <w:szCs w:val="30"/>
            <w:u w:val="single" w:color="0000EE"/>
          </w:rPr>
          <w:t>https://d.book118.com/427012045154006041</w:t>
        </w:r>
      </w:hyperlink>
    </w:p>
    <w:p>
      <w:pPr>
        <w:pStyle w:val="Title"/>
        <w:snapToGrid w:val="0"/>
        <w:spacing w:before="0" w:after="0"/>
        <w:ind w:left="-420" w:leftChars="-200"/>
        <w:rPr>
          <w:rFonts w:ascii="Times New Roman" w:hAnsi="Times New Roman"/>
        </w:rPr>
      </w:pPr>
    </w:p>
    <w:sectPr>
      <w:headerReference w:type="default" r:id="rId88"/>
      <w:footerReference w:type="even" r:id="rId89"/>
      <w:footerReference w:type="default" r:id="rId90"/>
      <w:pgSz w:w="11906" w:h="16838"/>
      <w:pgMar w:top="1440" w:right="1469" w:bottom="1440" w:left="1797" w:header="851" w:footer="992" w:gutter="0"/>
      <w:pgNumType w:start="28"/>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金山简仿宋">
    <w:altName w:val="微软雅黑"/>
    <w:panose1 w:val="02010609000101010101"/>
    <w:charset w:val="86"/>
    <w:family w:val="modern"/>
    <w:pitch w:val="default"/>
    <w:sig w:usb0="00000085" w:usb1="080E0000" w:usb2="00000010" w:usb3="00000000" w:csb0="0004000A" w:csb1="00000000"/>
  </w:font>
  <w:font w:name="华文仿宋">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Romantic">
    <w:panose1 w:val="00000400000000000000"/>
    <w:charset w:val="02"/>
    <w:family w:val="auto"/>
    <w:pitch w:val="default"/>
    <w:sig w:usb0="00000000" w:usb1="00000000" w:usb2="00000000" w:usb3="00000000" w:csb0="80000000" w:csb1="00000000"/>
  </w:font>
  <w:font w:name="创艺繁宋体">
    <w:altName w:val="黑体"/>
    <w:panose1 w:val="00000000000000000000"/>
    <w:charset w:val="86"/>
    <w:family w:val="auto"/>
    <w:pitch w:val="default"/>
    <w:sig w:usb0="00000001" w:usb1="080E0000" w:usb2="00000010" w:usb3="00000000" w:csb0="00040000" w:csb1="00000000"/>
  </w:font>
  <w:font w:name="创艺繁标宋">
    <w:altName w:val="黑体"/>
    <w:panose1 w:val="00000000000000000000"/>
    <w:charset w:val="86"/>
    <w:family w:val="auto"/>
    <w:pitch w:val="default"/>
    <w:sig w:usb0="00000001" w:usb1="080E0000" w:usb2="00000010" w:usb3="00000000" w:csb0="00040000" w:csb1="00000000"/>
  </w:font>
  <w:font w:name="创艺繁楷体">
    <w:altName w:val="黑体"/>
    <w:panose1 w:val="00000000000000000000"/>
    <w:charset w:val="86"/>
    <w:family w:val="auto"/>
    <w:pitch w:val="default"/>
    <w:sig w:usb0="00000001"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1" w:usb1="080E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ind w:right="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ind w:right="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tabs>
        <w:tab w:val="center" w:pos="4153"/>
        <w:tab w:val="right" w:pos="8306"/>
      </w:tabs>
      <w:ind w:right="360"/>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w:t>
    </w:r>
    <w:r>
      <w:fldChar w:fldCharType="end"/>
    </w:r>
  </w:p>
  <w:p>
    <w:pPr>
      <w:pStyle w:val="Footer"/>
      <w:tabs>
        <w:tab w:val="center" w:pos="4153"/>
        <w:tab w:val="right" w:pos="8306"/>
      </w:tabs>
      <w:ind w:right="360"/>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tabs>
        <w:tab w:val="center" w:pos="4153"/>
        <w:tab w:val="right" w:pos="8306"/>
      </w:tabs>
      <w:ind w:right="360"/>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ind w:right="360"/>
      <w:jc w:val="cen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ind w:right="360"/>
      <w:jc w:val="cen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ind w:right="360"/>
      <w:jc w:val="cen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12</w:t>
    </w:r>
    <w:r>
      <w:fldChar w:fldCharType="end"/>
    </w:r>
  </w:p>
  <w:p>
    <w:pPr>
      <w:pStyle w:val="Footer"/>
      <w:tabs>
        <w:tab w:val="center" w:pos="4153"/>
        <w:tab w:val="right" w:pos="8306"/>
      </w:tabs>
      <w:ind w:right="360"/>
      <w:jc w:val="cen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tabs>
        <w:tab w:val="center" w:pos="4153"/>
        <w:tab w:val="right" w:pos="8306"/>
      </w:tabs>
      <w:ind w:right="360"/>
      <w:jc w:val="cen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tabs>
        <w:tab w:val="center" w:pos="4153"/>
        <w:tab w:val="right" w:pos="8306"/>
      </w:tabs>
      <w:ind w:right="360"/>
      <w:jc w:val="cen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14</w:t>
    </w:r>
    <w:r>
      <w:fldChar w:fldCharType="end"/>
    </w:r>
  </w:p>
  <w:p>
    <w:pPr>
      <w:pStyle w:val="Footer"/>
      <w:tabs>
        <w:tab w:val="center" w:pos="4153"/>
        <w:tab w:val="right" w:pos="8306"/>
      </w:tabs>
      <w:ind w:right="360"/>
      <w:jc w:val="cen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tabs>
        <w:tab w:val="center" w:pos="4153"/>
        <w:tab w:val="right" w:pos="8306"/>
      </w:tabs>
      <w:ind w:right="360"/>
      <w:jc w:val="cen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tabs>
        <w:tab w:val="center" w:pos="4153"/>
        <w:tab w:val="right" w:pos="8306"/>
      </w:tabs>
      <w:ind w:right="360"/>
      <w:jc w:val="cen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17</w:t>
    </w:r>
    <w:r>
      <w:fldChar w:fldCharType="end"/>
    </w:r>
  </w:p>
  <w:p>
    <w:pPr>
      <w:pStyle w:val="Footer"/>
      <w:tabs>
        <w:tab w:val="center" w:pos="4153"/>
        <w:tab w:val="right" w:pos="8306"/>
      </w:tabs>
      <w:ind w:right="360"/>
      <w:jc w:val="cen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18</w:t>
    </w:r>
    <w:r>
      <w:fldChar w:fldCharType="end"/>
    </w:r>
  </w:p>
  <w:p>
    <w:pPr>
      <w:pStyle w:val="Footer"/>
      <w:tabs>
        <w:tab w:val="center" w:pos="4153"/>
        <w:tab w:val="right" w:pos="8306"/>
      </w:tabs>
      <w:ind w:right="360"/>
      <w:jc w:val="cen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19</w:t>
    </w:r>
    <w:r>
      <w:fldChar w:fldCharType="end"/>
    </w:r>
  </w:p>
  <w:p>
    <w:pPr>
      <w:pStyle w:val="Footer"/>
      <w:tabs>
        <w:tab w:val="center" w:pos="4153"/>
        <w:tab w:val="right" w:pos="8306"/>
      </w:tabs>
      <w:ind w:right="360"/>
      <w:jc w:val="cen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20</w:t>
    </w:r>
    <w:r>
      <w:fldChar w:fldCharType="end"/>
    </w:r>
  </w:p>
  <w:p>
    <w:pPr>
      <w:pStyle w:val="Footer"/>
      <w:tabs>
        <w:tab w:val="center" w:pos="4153"/>
        <w:tab w:val="right" w:pos="8306"/>
      </w:tabs>
      <w:ind w:right="360"/>
      <w:jc w:val="cen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21</w:t>
    </w:r>
    <w:r>
      <w:fldChar w:fldCharType="end"/>
    </w:r>
  </w:p>
  <w:p>
    <w:pPr>
      <w:pStyle w:val="Footer"/>
      <w:tabs>
        <w:tab w:val="center" w:pos="4153"/>
        <w:tab w:val="right" w:pos="8306"/>
      </w:tabs>
      <w:ind w:right="360"/>
      <w:jc w:val="cen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Footer"/>
      <w:tabs>
        <w:tab w:val="center" w:pos="4153"/>
        <w:tab w:val="right" w:pos="8306"/>
      </w:tabs>
      <w:ind w:right="360"/>
      <w:jc w:val="cen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23</w:t>
    </w:r>
    <w:r>
      <w:fldChar w:fldCharType="end"/>
    </w:r>
  </w:p>
  <w:p>
    <w:pPr>
      <w:pStyle w:val="Footer"/>
      <w:tabs>
        <w:tab w:val="center" w:pos="4153"/>
        <w:tab w:val="right" w:pos="8306"/>
      </w:tabs>
      <w:ind w:right="360"/>
      <w:jc w:val="cen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24</w:t>
    </w:r>
    <w:r>
      <w:fldChar w:fldCharType="end"/>
    </w:r>
  </w:p>
  <w:p>
    <w:pPr>
      <w:pStyle w:val="Footer"/>
      <w:tabs>
        <w:tab w:val="center" w:pos="4153"/>
        <w:tab w:val="right" w:pos="8306"/>
      </w:tabs>
      <w:ind w:right="360"/>
      <w:jc w:val="cen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26</w:t>
    </w:r>
    <w:r>
      <w:fldChar w:fldCharType="end"/>
    </w:r>
  </w:p>
  <w:p>
    <w:pPr>
      <w:pStyle w:val="Footer"/>
      <w:tabs>
        <w:tab w:val="center" w:pos="4153"/>
        <w:tab w:val="right" w:pos="8306"/>
      </w:tabs>
      <w:ind w:right="360"/>
      <w:jc w:val="cen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tabs>
        <w:tab w:val="center" w:pos="4153"/>
        <w:tab w:val="right" w:pos="8306"/>
      </w:tabs>
      <w:ind w:right="360"/>
      <w:jc w:val="cen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61</w:t>
    </w:r>
    <w:r>
      <w:fldChar w:fldCharType="end"/>
    </w:r>
  </w:p>
  <w:p>
    <w:pPr>
      <w:pStyle w:val="Footer"/>
      <w:tabs>
        <w:tab w:val="center" w:pos="4153"/>
        <w:tab w:val="right" w:pos="8306"/>
      </w:tabs>
      <w:ind w:right="360"/>
      <w:jc w:val="cen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28</w:t>
    </w:r>
    <w:r>
      <w:fldChar w:fldCharType="end"/>
    </w:r>
  </w:p>
  <w:p>
    <w:pPr>
      <w:pStyle w:val="Footer"/>
      <w:tabs>
        <w:tab w:val="center" w:pos="4153"/>
        <w:tab w:val="right" w:pos="8306"/>
      </w:tabs>
      <w:ind w:right="360"/>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sz w:val="24"/>
      </w:rPr>
      <w:t>超声波指纹识别模组建设项目环境影响报告表</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6187"/>
    <w:rsid w:val="00000055"/>
    <w:rsid w:val="000000DD"/>
    <w:rsid w:val="0000031A"/>
    <w:rsid w:val="00000DE3"/>
    <w:rsid w:val="00001046"/>
    <w:rsid w:val="0000166F"/>
    <w:rsid w:val="00003924"/>
    <w:rsid w:val="00003E55"/>
    <w:rsid w:val="000041B8"/>
    <w:rsid w:val="000058BB"/>
    <w:rsid w:val="00006604"/>
    <w:rsid w:val="00006EAA"/>
    <w:rsid w:val="00007087"/>
    <w:rsid w:val="000074C9"/>
    <w:rsid w:val="0000774B"/>
    <w:rsid w:val="00007D70"/>
    <w:rsid w:val="00007F3B"/>
    <w:rsid w:val="00010692"/>
    <w:rsid w:val="00011963"/>
    <w:rsid w:val="00011991"/>
    <w:rsid w:val="00013468"/>
    <w:rsid w:val="00013E49"/>
    <w:rsid w:val="0001481E"/>
    <w:rsid w:val="00014E81"/>
    <w:rsid w:val="000165EE"/>
    <w:rsid w:val="0001788E"/>
    <w:rsid w:val="00017A37"/>
    <w:rsid w:val="00020293"/>
    <w:rsid w:val="00020D1C"/>
    <w:rsid w:val="00021710"/>
    <w:rsid w:val="00022178"/>
    <w:rsid w:val="00022309"/>
    <w:rsid w:val="00022473"/>
    <w:rsid w:val="00023393"/>
    <w:rsid w:val="00023EA4"/>
    <w:rsid w:val="00024089"/>
    <w:rsid w:val="00024198"/>
    <w:rsid w:val="00024E2B"/>
    <w:rsid w:val="00025988"/>
    <w:rsid w:val="0002660A"/>
    <w:rsid w:val="00026EFF"/>
    <w:rsid w:val="0002729F"/>
    <w:rsid w:val="000300E6"/>
    <w:rsid w:val="00031779"/>
    <w:rsid w:val="0003200D"/>
    <w:rsid w:val="0003204B"/>
    <w:rsid w:val="00032515"/>
    <w:rsid w:val="00032E73"/>
    <w:rsid w:val="000330D4"/>
    <w:rsid w:val="00034324"/>
    <w:rsid w:val="00034E57"/>
    <w:rsid w:val="00035093"/>
    <w:rsid w:val="000354A7"/>
    <w:rsid w:val="0003663B"/>
    <w:rsid w:val="000367DD"/>
    <w:rsid w:val="000372E4"/>
    <w:rsid w:val="0003762D"/>
    <w:rsid w:val="00040760"/>
    <w:rsid w:val="00040789"/>
    <w:rsid w:val="00042921"/>
    <w:rsid w:val="00043DCC"/>
    <w:rsid w:val="00043E03"/>
    <w:rsid w:val="00044B0E"/>
    <w:rsid w:val="00044CE8"/>
    <w:rsid w:val="00045101"/>
    <w:rsid w:val="00046096"/>
    <w:rsid w:val="000471A7"/>
    <w:rsid w:val="000476F1"/>
    <w:rsid w:val="00047D36"/>
    <w:rsid w:val="00050238"/>
    <w:rsid w:val="000509E0"/>
    <w:rsid w:val="00050A1B"/>
    <w:rsid w:val="00050E78"/>
    <w:rsid w:val="00052D15"/>
    <w:rsid w:val="00052DE0"/>
    <w:rsid w:val="000531CC"/>
    <w:rsid w:val="00053581"/>
    <w:rsid w:val="00053AA5"/>
    <w:rsid w:val="00053F77"/>
    <w:rsid w:val="00054CEA"/>
    <w:rsid w:val="00054FFB"/>
    <w:rsid w:val="0005509C"/>
    <w:rsid w:val="00055262"/>
    <w:rsid w:val="00057898"/>
    <w:rsid w:val="00060525"/>
    <w:rsid w:val="00060824"/>
    <w:rsid w:val="00060DC7"/>
    <w:rsid w:val="00060FB7"/>
    <w:rsid w:val="00061012"/>
    <w:rsid w:val="00061380"/>
    <w:rsid w:val="00061686"/>
    <w:rsid w:val="000620A9"/>
    <w:rsid w:val="00062313"/>
    <w:rsid w:val="0006273B"/>
    <w:rsid w:val="00064A9D"/>
    <w:rsid w:val="00064BC4"/>
    <w:rsid w:val="00064BE9"/>
    <w:rsid w:val="00065571"/>
    <w:rsid w:val="00065EEC"/>
    <w:rsid w:val="00065F30"/>
    <w:rsid w:val="00066745"/>
    <w:rsid w:val="00066991"/>
    <w:rsid w:val="00067616"/>
    <w:rsid w:val="000679F1"/>
    <w:rsid w:val="0007035F"/>
    <w:rsid w:val="00070656"/>
    <w:rsid w:val="00071EF1"/>
    <w:rsid w:val="00072248"/>
    <w:rsid w:val="00072ADD"/>
    <w:rsid w:val="00072CF9"/>
    <w:rsid w:val="00072F16"/>
    <w:rsid w:val="00073072"/>
    <w:rsid w:val="000734BE"/>
    <w:rsid w:val="000744FE"/>
    <w:rsid w:val="00074886"/>
    <w:rsid w:val="000763EE"/>
    <w:rsid w:val="00076525"/>
    <w:rsid w:val="000776F0"/>
    <w:rsid w:val="00080C91"/>
    <w:rsid w:val="00081253"/>
    <w:rsid w:val="00081B80"/>
    <w:rsid w:val="0008210A"/>
    <w:rsid w:val="00082B3E"/>
    <w:rsid w:val="00082BF8"/>
    <w:rsid w:val="00082E16"/>
    <w:rsid w:val="000831B1"/>
    <w:rsid w:val="0008427C"/>
    <w:rsid w:val="00084A63"/>
    <w:rsid w:val="00084D99"/>
    <w:rsid w:val="00086225"/>
    <w:rsid w:val="00086263"/>
    <w:rsid w:val="000863E0"/>
    <w:rsid w:val="0009025E"/>
    <w:rsid w:val="000906DE"/>
    <w:rsid w:val="000907CF"/>
    <w:rsid w:val="00090897"/>
    <w:rsid w:val="000911D0"/>
    <w:rsid w:val="000915D2"/>
    <w:rsid w:val="00092047"/>
    <w:rsid w:val="000933D2"/>
    <w:rsid w:val="00093E3D"/>
    <w:rsid w:val="00094966"/>
    <w:rsid w:val="0009531F"/>
    <w:rsid w:val="0009544E"/>
    <w:rsid w:val="00095BEE"/>
    <w:rsid w:val="00096105"/>
    <w:rsid w:val="00096128"/>
    <w:rsid w:val="0009612E"/>
    <w:rsid w:val="00096891"/>
    <w:rsid w:val="00096952"/>
    <w:rsid w:val="00096BBE"/>
    <w:rsid w:val="00097EF0"/>
    <w:rsid w:val="000A0F85"/>
    <w:rsid w:val="000A167F"/>
    <w:rsid w:val="000A17EF"/>
    <w:rsid w:val="000A1BB6"/>
    <w:rsid w:val="000A1FBE"/>
    <w:rsid w:val="000A21A9"/>
    <w:rsid w:val="000A236C"/>
    <w:rsid w:val="000A3214"/>
    <w:rsid w:val="000A3C41"/>
    <w:rsid w:val="000A42E2"/>
    <w:rsid w:val="000A4780"/>
    <w:rsid w:val="000A4FDE"/>
    <w:rsid w:val="000A632A"/>
    <w:rsid w:val="000A65F9"/>
    <w:rsid w:val="000A6BEF"/>
    <w:rsid w:val="000A71DC"/>
    <w:rsid w:val="000B03E0"/>
    <w:rsid w:val="000B0526"/>
    <w:rsid w:val="000B0878"/>
    <w:rsid w:val="000B23C9"/>
    <w:rsid w:val="000B3E4F"/>
    <w:rsid w:val="000B40AF"/>
    <w:rsid w:val="000B4362"/>
    <w:rsid w:val="000B5245"/>
    <w:rsid w:val="000B53F9"/>
    <w:rsid w:val="000B56A7"/>
    <w:rsid w:val="000B57A5"/>
    <w:rsid w:val="000B584E"/>
    <w:rsid w:val="000B5C90"/>
    <w:rsid w:val="000B6885"/>
    <w:rsid w:val="000B6B8C"/>
    <w:rsid w:val="000B7495"/>
    <w:rsid w:val="000C00A9"/>
    <w:rsid w:val="000C1A9E"/>
    <w:rsid w:val="000C1ADA"/>
    <w:rsid w:val="000C202A"/>
    <w:rsid w:val="000C25A2"/>
    <w:rsid w:val="000C2815"/>
    <w:rsid w:val="000C2DFC"/>
    <w:rsid w:val="000C3136"/>
    <w:rsid w:val="000C31F3"/>
    <w:rsid w:val="000C3B9B"/>
    <w:rsid w:val="000C3BBF"/>
    <w:rsid w:val="000C40B4"/>
    <w:rsid w:val="000C49AE"/>
    <w:rsid w:val="000C5323"/>
    <w:rsid w:val="000C5AD5"/>
    <w:rsid w:val="000C60A0"/>
    <w:rsid w:val="000C6156"/>
    <w:rsid w:val="000C6970"/>
    <w:rsid w:val="000C6E88"/>
    <w:rsid w:val="000D156D"/>
    <w:rsid w:val="000D1B76"/>
    <w:rsid w:val="000D1F5F"/>
    <w:rsid w:val="000D2449"/>
    <w:rsid w:val="000D265E"/>
    <w:rsid w:val="000D26B1"/>
    <w:rsid w:val="000D2868"/>
    <w:rsid w:val="000D2E44"/>
    <w:rsid w:val="000D2F04"/>
    <w:rsid w:val="000D3100"/>
    <w:rsid w:val="000D37FB"/>
    <w:rsid w:val="000D4333"/>
    <w:rsid w:val="000D43D4"/>
    <w:rsid w:val="000D49A4"/>
    <w:rsid w:val="000D526A"/>
    <w:rsid w:val="000D5B9F"/>
    <w:rsid w:val="000D5E0E"/>
    <w:rsid w:val="000D70BA"/>
    <w:rsid w:val="000D76A4"/>
    <w:rsid w:val="000D79CF"/>
    <w:rsid w:val="000E04EA"/>
    <w:rsid w:val="000E0BCF"/>
    <w:rsid w:val="000E1096"/>
    <w:rsid w:val="000E1C4E"/>
    <w:rsid w:val="000E24B5"/>
    <w:rsid w:val="000E25A1"/>
    <w:rsid w:val="000E2AC1"/>
    <w:rsid w:val="000E3640"/>
    <w:rsid w:val="000E3B30"/>
    <w:rsid w:val="000E45CD"/>
    <w:rsid w:val="000E4AA8"/>
    <w:rsid w:val="000E4CA4"/>
    <w:rsid w:val="000E4F3E"/>
    <w:rsid w:val="000E598C"/>
    <w:rsid w:val="000E5B6E"/>
    <w:rsid w:val="000E6630"/>
    <w:rsid w:val="000E7D24"/>
    <w:rsid w:val="000F0BFE"/>
    <w:rsid w:val="000F1138"/>
    <w:rsid w:val="000F130A"/>
    <w:rsid w:val="000F14BC"/>
    <w:rsid w:val="000F153A"/>
    <w:rsid w:val="000F1680"/>
    <w:rsid w:val="000F268E"/>
    <w:rsid w:val="000F2B79"/>
    <w:rsid w:val="000F31CD"/>
    <w:rsid w:val="000F3270"/>
    <w:rsid w:val="000F32FD"/>
    <w:rsid w:val="000F3D26"/>
    <w:rsid w:val="000F4BC2"/>
    <w:rsid w:val="000F5F07"/>
    <w:rsid w:val="000F6054"/>
    <w:rsid w:val="000F70B4"/>
    <w:rsid w:val="000F753B"/>
    <w:rsid w:val="00100706"/>
    <w:rsid w:val="00100A8D"/>
    <w:rsid w:val="00100AEB"/>
    <w:rsid w:val="00101750"/>
    <w:rsid w:val="00102918"/>
    <w:rsid w:val="00103573"/>
    <w:rsid w:val="00103B49"/>
    <w:rsid w:val="00103BAD"/>
    <w:rsid w:val="00104198"/>
    <w:rsid w:val="00104240"/>
    <w:rsid w:val="001054FA"/>
    <w:rsid w:val="00106103"/>
    <w:rsid w:val="001064D1"/>
    <w:rsid w:val="00106624"/>
    <w:rsid w:val="00106AAD"/>
    <w:rsid w:val="00107797"/>
    <w:rsid w:val="001109C7"/>
    <w:rsid w:val="001123AB"/>
    <w:rsid w:val="001126FD"/>
    <w:rsid w:val="00112BA9"/>
    <w:rsid w:val="00113BF5"/>
    <w:rsid w:val="0011432F"/>
    <w:rsid w:val="00114AE5"/>
    <w:rsid w:val="00114BAB"/>
    <w:rsid w:val="001171E9"/>
    <w:rsid w:val="00117604"/>
    <w:rsid w:val="00117F57"/>
    <w:rsid w:val="00120104"/>
    <w:rsid w:val="00121362"/>
    <w:rsid w:val="0012199F"/>
    <w:rsid w:val="00121A0F"/>
    <w:rsid w:val="00122DF7"/>
    <w:rsid w:val="00123DF4"/>
    <w:rsid w:val="00126942"/>
    <w:rsid w:val="00126A2F"/>
    <w:rsid w:val="001301A9"/>
    <w:rsid w:val="00130375"/>
    <w:rsid w:val="00132A0A"/>
    <w:rsid w:val="0013349B"/>
    <w:rsid w:val="00134243"/>
    <w:rsid w:val="0013500D"/>
    <w:rsid w:val="001352FB"/>
    <w:rsid w:val="001357F0"/>
    <w:rsid w:val="00135AE0"/>
    <w:rsid w:val="00136488"/>
    <w:rsid w:val="001401B8"/>
    <w:rsid w:val="001417AD"/>
    <w:rsid w:val="00141A25"/>
    <w:rsid w:val="00142592"/>
    <w:rsid w:val="00142A55"/>
    <w:rsid w:val="0014316E"/>
    <w:rsid w:val="001432C0"/>
    <w:rsid w:val="00143652"/>
    <w:rsid w:val="00144C49"/>
    <w:rsid w:val="00145260"/>
    <w:rsid w:val="0014600B"/>
    <w:rsid w:val="00146093"/>
    <w:rsid w:val="001468FB"/>
    <w:rsid w:val="00146B9C"/>
    <w:rsid w:val="0014721E"/>
    <w:rsid w:val="0014726D"/>
    <w:rsid w:val="00147467"/>
    <w:rsid w:val="00147D99"/>
    <w:rsid w:val="00150136"/>
    <w:rsid w:val="0015195F"/>
    <w:rsid w:val="00151D99"/>
    <w:rsid w:val="00152046"/>
    <w:rsid w:val="001521B2"/>
    <w:rsid w:val="00152408"/>
    <w:rsid w:val="00152554"/>
    <w:rsid w:val="001525C9"/>
    <w:rsid w:val="00152CC5"/>
    <w:rsid w:val="00153618"/>
    <w:rsid w:val="00153B2A"/>
    <w:rsid w:val="001550C2"/>
    <w:rsid w:val="00155A31"/>
    <w:rsid w:val="00155E6A"/>
    <w:rsid w:val="00156CA6"/>
    <w:rsid w:val="00156D91"/>
    <w:rsid w:val="001572F5"/>
    <w:rsid w:val="001574F5"/>
    <w:rsid w:val="001605DD"/>
    <w:rsid w:val="00160B1D"/>
    <w:rsid w:val="00160FFA"/>
    <w:rsid w:val="00161330"/>
    <w:rsid w:val="001617FF"/>
    <w:rsid w:val="00161C19"/>
    <w:rsid w:val="00162A47"/>
    <w:rsid w:val="00162AAE"/>
    <w:rsid w:val="0016307E"/>
    <w:rsid w:val="0016336D"/>
    <w:rsid w:val="00163BA1"/>
    <w:rsid w:val="00164E7A"/>
    <w:rsid w:val="00164F76"/>
    <w:rsid w:val="00165337"/>
    <w:rsid w:val="00165BDD"/>
    <w:rsid w:val="00165CD3"/>
    <w:rsid w:val="00165CD7"/>
    <w:rsid w:val="00165ED3"/>
    <w:rsid w:val="0016760C"/>
    <w:rsid w:val="0017178C"/>
    <w:rsid w:val="00172060"/>
    <w:rsid w:val="00172D42"/>
    <w:rsid w:val="00173C16"/>
    <w:rsid w:val="001742C6"/>
    <w:rsid w:val="00174989"/>
    <w:rsid w:val="00174D79"/>
    <w:rsid w:val="00176554"/>
    <w:rsid w:val="00176823"/>
    <w:rsid w:val="0017797E"/>
    <w:rsid w:val="00177AB6"/>
    <w:rsid w:val="00177CA2"/>
    <w:rsid w:val="00177F57"/>
    <w:rsid w:val="001807E2"/>
    <w:rsid w:val="001810DE"/>
    <w:rsid w:val="00181370"/>
    <w:rsid w:val="00181971"/>
    <w:rsid w:val="00182480"/>
    <w:rsid w:val="00182D00"/>
    <w:rsid w:val="00182D80"/>
    <w:rsid w:val="00182EE1"/>
    <w:rsid w:val="00183054"/>
    <w:rsid w:val="001834CB"/>
    <w:rsid w:val="00183793"/>
    <w:rsid w:val="0018403B"/>
    <w:rsid w:val="001843AD"/>
    <w:rsid w:val="00184FC3"/>
    <w:rsid w:val="00185CA5"/>
    <w:rsid w:val="00186386"/>
    <w:rsid w:val="00186CF9"/>
    <w:rsid w:val="001874EE"/>
    <w:rsid w:val="001901C9"/>
    <w:rsid w:val="001903C9"/>
    <w:rsid w:val="00190E7F"/>
    <w:rsid w:val="001916C1"/>
    <w:rsid w:val="00192A15"/>
    <w:rsid w:val="00193940"/>
    <w:rsid w:val="00193C05"/>
    <w:rsid w:val="00194625"/>
    <w:rsid w:val="00194A7D"/>
    <w:rsid w:val="00194F6A"/>
    <w:rsid w:val="00195848"/>
    <w:rsid w:val="001958AE"/>
    <w:rsid w:val="001958EC"/>
    <w:rsid w:val="00195957"/>
    <w:rsid w:val="001963C9"/>
    <w:rsid w:val="00196413"/>
    <w:rsid w:val="00196862"/>
    <w:rsid w:val="001969C2"/>
    <w:rsid w:val="00196F42"/>
    <w:rsid w:val="001973B8"/>
    <w:rsid w:val="00197B9D"/>
    <w:rsid w:val="001A03C5"/>
    <w:rsid w:val="001A03F8"/>
    <w:rsid w:val="001A091F"/>
    <w:rsid w:val="001A157E"/>
    <w:rsid w:val="001A1867"/>
    <w:rsid w:val="001A2219"/>
    <w:rsid w:val="001A419E"/>
    <w:rsid w:val="001A433A"/>
    <w:rsid w:val="001A4FF5"/>
    <w:rsid w:val="001A59C0"/>
    <w:rsid w:val="001A5A16"/>
    <w:rsid w:val="001A5AC8"/>
    <w:rsid w:val="001A5C8E"/>
    <w:rsid w:val="001A6208"/>
    <w:rsid w:val="001A665F"/>
    <w:rsid w:val="001A6E3B"/>
    <w:rsid w:val="001A72B7"/>
    <w:rsid w:val="001A784B"/>
    <w:rsid w:val="001B0362"/>
    <w:rsid w:val="001B100B"/>
    <w:rsid w:val="001B41C6"/>
    <w:rsid w:val="001B42E5"/>
    <w:rsid w:val="001B4312"/>
    <w:rsid w:val="001B46B9"/>
    <w:rsid w:val="001B474C"/>
    <w:rsid w:val="001B5849"/>
    <w:rsid w:val="001B6D67"/>
    <w:rsid w:val="001B6E6A"/>
    <w:rsid w:val="001B75F3"/>
    <w:rsid w:val="001B7A78"/>
    <w:rsid w:val="001B7CEA"/>
    <w:rsid w:val="001C1639"/>
    <w:rsid w:val="001C180F"/>
    <w:rsid w:val="001C36E4"/>
    <w:rsid w:val="001C38C9"/>
    <w:rsid w:val="001C4626"/>
    <w:rsid w:val="001C46C5"/>
    <w:rsid w:val="001C48D8"/>
    <w:rsid w:val="001C4FAA"/>
    <w:rsid w:val="001C5632"/>
    <w:rsid w:val="001C5E66"/>
    <w:rsid w:val="001C5F28"/>
    <w:rsid w:val="001C5FD6"/>
    <w:rsid w:val="001C6A35"/>
    <w:rsid w:val="001C71DE"/>
    <w:rsid w:val="001C7803"/>
    <w:rsid w:val="001C785C"/>
    <w:rsid w:val="001D0679"/>
    <w:rsid w:val="001D0D59"/>
    <w:rsid w:val="001D0D86"/>
    <w:rsid w:val="001D1069"/>
    <w:rsid w:val="001D1267"/>
    <w:rsid w:val="001D16A3"/>
    <w:rsid w:val="001D38F9"/>
    <w:rsid w:val="001D4256"/>
    <w:rsid w:val="001D5781"/>
    <w:rsid w:val="001D61E5"/>
    <w:rsid w:val="001D6B89"/>
    <w:rsid w:val="001D6C13"/>
    <w:rsid w:val="001E01A5"/>
    <w:rsid w:val="001E0273"/>
    <w:rsid w:val="001E0B00"/>
    <w:rsid w:val="001E10CE"/>
    <w:rsid w:val="001E1AA8"/>
    <w:rsid w:val="001E1BDC"/>
    <w:rsid w:val="001E378D"/>
    <w:rsid w:val="001E37E2"/>
    <w:rsid w:val="001E4C77"/>
    <w:rsid w:val="001E4DB3"/>
    <w:rsid w:val="001E597B"/>
    <w:rsid w:val="001E5C97"/>
    <w:rsid w:val="001E69FF"/>
    <w:rsid w:val="001E7A08"/>
    <w:rsid w:val="001F1A89"/>
    <w:rsid w:val="001F25B4"/>
    <w:rsid w:val="001F27CF"/>
    <w:rsid w:val="001F27DC"/>
    <w:rsid w:val="001F344B"/>
    <w:rsid w:val="001F3949"/>
    <w:rsid w:val="001F3A48"/>
    <w:rsid w:val="001F3D53"/>
    <w:rsid w:val="001F4B01"/>
    <w:rsid w:val="001F4D4B"/>
    <w:rsid w:val="001F522A"/>
    <w:rsid w:val="001F5D8E"/>
    <w:rsid w:val="001F637F"/>
    <w:rsid w:val="001F68A6"/>
    <w:rsid w:val="001F7176"/>
    <w:rsid w:val="001F7638"/>
    <w:rsid w:val="001F78D2"/>
    <w:rsid w:val="00200026"/>
    <w:rsid w:val="002003DB"/>
    <w:rsid w:val="002009E6"/>
    <w:rsid w:val="00201D58"/>
    <w:rsid w:val="00202810"/>
    <w:rsid w:val="00202B7D"/>
    <w:rsid w:val="002037C2"/>
    <w:rsid w:val="00203910"/>
    <w:rsid w:val="00203EDA"/>
    <w:rsid w:val="0020450C"/>
    <w:rsid w:val="002052EB"/>
    <w:rsid w:val="00206148"/>
    <w:rsid w:val="00206B30"/>
    <w:rsid w:val="00207184"/>
    <w:rsid w:val="00207DD3"/>
    <w:rsid w:val="002107F4"/>
    <w:rsid w:val="00210EC3"/>
    <w:rsid w:val="002120AA"/>
    <w:rsid w:val="0021263C"/>
    <w:rsid w:val="002138AB"/>
    <w:rsid w:val="00214612"/>
    <w:rsid w:val="002148D4"/>
    <w:rsid w:val="00214FE5"/>
    <w:rsid w:val="002152EA"/>
    <w:rsid w:val="00215346"/>
    <w:rsid w:val="0021557D"/>
    <w:rsid w:val="0021573B"/>
    <w:rsid w:val="00215E00"/>
    <w:rsid w:val="002160F4"/>
    <w:rsid w:val="00216264"/>
    <w:rsid w:val="0021662E"/>
    <w:rsid w:val="00216B6F"/>
    <w:rsid w:val="002201D5"/>
    <w:rsid w:val="002208D7"/>
    <w:rsid w:val="00221295"/>
    <w:rsid w:val="00221BE5"/>
    <w:rsid w:val="00221D27"/>
    <w:rsid w:val="00223CEC"/>
    <w:rsid w:val="00223D19"/>
    <w:rsid w:val="00224396"/>
    <w:rsid w:val="002248B2"/>
    <w:rsid w:val="00224B30"/>
    <w:rsid w:val="00226308"/>
    <w:rsid w:val="00227E6F"/>
    <w:rsid w:val="00230252"/>
    <w:rsid w:val="00230A4B"/>
    <w:rsid w:val="0023111B"/>
    <w:rsid w:val="002313E6"/>
    <w:rsid w:val="00231731"/>
    <w:rsid w:val="00231E2A"/>
    <w:rsid w:val="00233431"/>
    <w:rsid w:val="002334A0"/>
    <w:rsid w:val="0023439E"/>
    <w:rsid w:val="00234DB9"/>
    <w:rsid w:val="0023644C"/>
    <w:rsid w:val="002368FD"/>
    <w:rsid w:val="002401B9"/>
    <w:rsid w:val="002407CE"/>
    <w:rsid w:val="00240D1B"/>
    <w:rsid w:val="002415D7"/>
    <w:rsid w:val="00241D28"/>
    <w:rsid w:val="002424F8"/>
    <w:rsid w:val="0024270A"/>
    <w:rsid w:val="00243158"/>
    <w:rsid w:val="0024317F"/>
    <w:rsid w:val="0024386F"/>
    <w:rsid w:val="00243B5A"/>
    <w:rsid w:val="00243C05"/>
    <w:rsid w:val="0024427D"/>
    <w:rsid w:val="0024479C"/>
    <w:rsid w:val="002450B9"/>
    <w:rsid w:val="00246C83"/>
    <w:rsid w:val="00246E79"/>
    <w:rsid w:val="002477A7"/>
    <w:rsid w:val="002503A3"/>
    <w:rsid w:val="002504CE"/>
    <w:rsid w:val="00252442"/>
    <w:rsid w:val="00252C0A"/>
    <w:rsid w:val="00254226"/>
    <w:rsid w:val="00254E64"/>
    <w:rsid w:val="00255305"/>
    <w:rsid w:val="002559BA"/>
    <w:rsid w:val="00256F68"/>
    <w:rsid w:val="00257699"/>
    <w:rsid w:val="00260004"/>
    <w:rsid w:val="00261DD4"/>
    <w:rsid w:val="00261EB9"/>
    <w:rsid w:val="00263DFC"/>
    <w:rsid w:val="002642E6"/>
    <w:rsid w:val="002651C9"/>
    <w:rsid w:val="00265662"/>
    <w:rsid w:val="00265BDF"/>
    <w:rsid w:val="00265CB3"/>
    <w:rsid w:val="00265D15"/>
    <w:rsid w:val="00265EB6"/>
    <w:rsid w:val="00266DC1"/>
    <w:rsid w:val="0026758C"/>
    <w:rsid w:val="0027200C"/>
    <w:rsid w:val="00272603"/>
    <w:rsid w:val="00272DC3"/>
    <w:rsid w:val="0027421D"/>
    <w:rsid w:val="002747C5"/>
    <w:rsid w:val="002753F6"/>
    <w:rsid w:val="00275832"/>
    <w:rsid w:val="0027595E"/>
    <w:rsid w:val="00275A7A"/>
    <w:rsid w:val="0027695F"/>
    <w:rsid w:val="0027727A"/>
    <w:rsid w:val="00277769"/>
    <w:rsid w:val="00280678"/>
    <w:rsid w:val="0028086B"/>
    <w:rsid w:val="00280891"/>
    <w:rsid w:val="00282759"/>
    <w:rsid w:val="002834B1"/>
    <w:rsid w:val="002836FF"/>
    <w:rsid w:val="00284D99"/>
    <w:rsid w:val="002858BA"/>
    <w:rsid w:val="002868F0"/>
    <w:rsid w:val="00290408"/>
    <w:rsid w:val="002905F6"/>
    <w:rsid w:val="0029094E"/>
    <w:rsid w:val="002920FD"/>
    <w:rsid w:val="00292ECC"/>
    <w:rsid w:val="00293D09"/>
    <w:rsid w:val="00294C1B"/>
    <w:rsid w:val="0029584E"/>
    <w:rsid w:val="00295B6B"/>
    <w:rsid w:val="002965CF"/>
    <w:rsid w:val="002978C9"/>
    <w:rsid w:val="00297B18"/>
    <w:rsid w:val="002A0078"/>
    <w:rsid w:val="002A0839"/>
    <w:rsid w:val="002A0CCC"/>
    <w:rsid w:val="002A0CDE"/>
    <w:rsid w:val="002A1FEF"/>
    <w:rsid w:val="002A2310"/>
    <w:rsid w:val="002A2399"/>
    <w:rsid w:val="002A2F59"/>
    <w:rsid w:val="002A32A3"/>
    <w:rsid w:val="002A3345"/>
    <w:rsid w:val="002A3D8F"/>
    <w:rsid w:val="002A40D0"/>
    <w:rsid w:val="002A47E8"/>
    <w:rsid w:val="002A495B"/>
    <w:rsid w:val="002A5A24"/>
    <w:rsid w:val="002A5FD9"/>
    <w:rsid w:val="002A71ED"/>
    <w:rsid w:val="002A7824"/>
    <w:rsid w:val="002A78C7"/>
    <w:rsid w:val="002A7AF7"/>
    <w:rsid w:val="002A7FCC"/>
    <w:rsid w:val="002B017D"/>
    <w:rsid w:val="002B078A"/>
    <w:rsid w:val="002B0983"/>
    <w:rsid w:val="002B0A96"/>
    <w:rsid w:val="002B2C0B"/>
    <w:rsid w:val="002B30A5"/>
    <w:rsid w:val="002B33D9"/>
    <w:rsid w:val="002B3960"/>
    <w:rsid w:val="002B3F21"/>
    <w:rsid w:val="002B62C2"/>
    <w:rsid w:val="002B64E4"/>
    <w:rsid w:val="002B6F1A"/>
    <w:rsid w:val="002B74B8"/>
    <w:rsid w:val="002B7F05"/>
    <w:rsid w:val="002C109F"/>
    <w:rsid w:val="002C1DEB"/>
    <w:rsid w:val="002C205B"/>
    <w:rsid w:val="002C20A2"/>
    <w:rsid w:val="002C34E0"/>
    <w:rsid w:val="002C4607"/>
    <w:rsid w:val="002C4B32"/>
    <w:rsid w:val="002C4F7D"/>
    <w:rsid w:val="002C5312"/>
    <w:rsid w:val="002C550B"/>
    <w:rsid w:val="002C5B02"/>
    <w:rsid w:val="002C7415"/>
    <w:rsid w:val="002C777D"/>
    <w:rsid w:val="002C7F8F"/>
    <w:rsid w:val="002D0062"/>
    <w:rsid w:val="002D1ED4"/>
    <w:rsid w:val="002D211A"/>
    <w:rsid w:val="002D28D5"/>
    <w:rsid w:val="002D33D9"/>
    <w:rsid w:val="002D3811"/>
    <w:rsid w:val="002D3E7A"/>
    <w:rsid w:val="002D4CA3"/>
    <w:rsid w:val="002D5604"/>
    <w:rsid w:val="002D75A5"/>
    <w:rsid w:val="002D7D1B"/>
    <w:rsid w:val="002D7E8B"/>
    <w:rsid w:val="002D7F4E"/>
    <w:rsid w:val="002E0A6F"/>
    <w:rsid w:val="002E1576"/>
    <w:rsid w:val="002E21EA"/>
    <w:rsid w:val="002E3206"/>
    <w:rsid w:val="002E3542"/>
    <w:rsid w:val="002E3804"/>
    <w:rsid w:val="002E3B33"/>
    <w:rsid w:val="002E3D80"/>
    <w:rsid w:val="002E4934"/>
    <w:rsid w:val="002E4C62"/>
    <w:rsid w:val="002E5154"/>
    <w:rsid w:val="002E616F"/>
    <w:rsid w:val="002E6C99"/>
    <w:rsid w:val="002F0941"/>
    <w:rsid w:val="002F0F79"/>
    <w:rsid w:val="002F1AFD"/>
    <w:rsid w:val="002F27F6"/>
    <w:rsid w:val="002F39DD"/>
    <w:rsid w:val="002F3A59"/>
    <w:rsid w:val="002F42EB"/>
    <w:rsid w:val="002F47E0"/>
    <w:rsid w:val="002F521E"/>
    <w:rsid w:val="002F5305"/>
    <w:rsid w:val="002F6650"/>
    <w:rsid w:val="002F7086"/>
    <w:rsid w:val="002F730E"/>
    <w:rsid w:val="002F7AEC"/>
    <w:rsid w:val="002F7BFC"/>
    <w:rsid w:val="003005EE"/>
    <w:rsid w:val="00300D46"/>
    <w:rsid w:val="003024D0"/>
    <w:rsid w:val="00302C9E"/>
    <w:rsid w:val="003030B5"/>
    <w:rsid w:val="003041E6"/>
    <w:rsid w:val="00304711"/>
    <w:rsid w:val="00304FAE"/>
    <w:rsid w:val="003059F1"/>
    <w:rsid w:val="003066A8"/>
    <w:rsid w:val="0030697A"/>
    <w:rsid w:val="00306A9B"/>
    <w:rsid w:val="00307196"/>
    <w:rsid w:val="00307ADA"/>
    <w:rsid w:val="00310DBB"/>
    <w:rsid w:val="00311293"/>
    <w:rsid w:val="0031282D"/>
    <w:rsid w:val="003133BD"/>
    <w:rsid w:val="003135E3"/>
    <w:rsid w:val="003138F4"/>
    <w:rsid w:val="00313B13"/>
    <w:rsid w:val="00313E39"/>
    <w:rsid w:val="00314E92"/>
    <w:rsid w:val="003158BC"/>
    <w:rsid w:val="00316464"/>
    <w:rsid w:val="003168C5"/>
    <w:rsid w:val="00320EAC"/>
    <w:rsid w:val="00321699"/>
    <w:rsid w:val="00321A14"/>
    <w:rsid w:val="00322804"/>
    <w:rsid w:val="0032331E"/>
    <w:rsid w:val="003241ED"/>
    <w:rsid w:val="00324CB7"/>
    <w:rsid w:val="00324D96"/>
    <w:rsid w:val="00325997"/>
    <w:rsid w:val="00325AD2"/>
    <w:rsid w:val="00326513"/>
    <w:rsid w:val="00326949"/>
    <w:rsid w:val="00326CD6"/>
    <w:rsid w:val="00327CE6"/>
    <w:rsid w:val="0033070D"/>
    <w:rsid w:val="00330C55"/>
    <w:rsid w:val="00330DAF"/>
    <w:rsid w:val="00330FFD"/>
    <w:rsid w:val="003317E4"/>
    <w:rsid w:val="0033218B"/>
    <w:rsid w:val="003328C7"/>
    <w:rsid w:val="003334AA"/>
    <w:rsid w:val="00333780"/>
    <w:rsid w:val="00333C5B"/>
    <w:rsid w:val="00334363"/>
    <w:rsid w:val="003366C1"/>
    <w:rsid w:val="0033697C"/>
    <w:rsid w:val="00337AE6"/>
    <w:rsid w:val="00340313"/>
    <w:rsid w:val="00341291"/>
    <w:rsid w:val="003416A5"/>
    <w:rsid w:val="00342DE4"/>
    <w:rsid w:val="00342FC6"/>
    <w:rsid w:val="00342FFA"/>
    <w:rsid w:val="003434AD"/>
    <w:rsid w:val="00343A44"/>
    <w:rsid w:val="00343CF4"/>
    <w:rsid w:val="003443C4"/>
    <w:rsid w:val="0034464F"/>
    <w:rsid w:val="00345FE3"/>
    <w:rsid w:val="00346892"/>
    <w:rsid w:val="00346C38"/>
    <w:rsid w:val="0034740D"/>
    <w:rsid w:val="00347DBB"/>
    <w:rsid w:val="00351DA1"/>
    <w:rsid w:val="00351EDF"/>
    <w:rsid w:val="003528A2"/>
    <w:rsid w:val="003533BC"/>
    <w:rsid w:val="00353999"/>
    <w:rsid w:val="0035481E"/>
    <w:rsid w:val="00355019"/>
    <w:rsid w:val="00356B23"/>
    <w:rsid w:val="00356DC0"/>
    <w:rsid w:val="00357466"/>
    <w:rsid w:val="003604CC"/>
    <w:rsid w:val="00360A8B"/>
    <w:rsid w:val="003611B7"/>
    <w:rsid w:val="00361200"/>
    <w:rsid w:val="00361259"/>
    <w:rsid w:val="0036279E"/>
    <w:rsid w:val="003634C5"/>
    <w:rsid w:val="00363776"/>
    <w:rsid w:val="00363EB5"/>
    <w:rsid w:val="003648E7"/>
    <w:rsid w:val="00365118"/>
    <w:rsid w:val="00365621"/>
    <w:rsid w:val="0036574A"/>
    <w:rsid w:val="00365A17"/>
    <w:rsid w:val="003662EE"/>
    <w:rsid w:val="003677D4"/>
    <w:rsid w:val="00367E0F"/>
    <w:rsid w:val="0037071D"/>
    <w:rsid w:val="00370EE3"/>
    <w:rsid w:val="00372066"/>
    <w:rsid w:val="0037261A"/>
    <w:rsid w:val="00372698"/>
    <w:rsid w:val="0037318E"/>
    <w:rsid w:val="00373EA3"/>
    <w:rsid w:val="00374165"/>
    <w:rsid w:val="003742F0"/>
    <w:rsid w:val="00374742"/>
    <w:rsid w:val="00374816"/>
    <w:rsid w:val="003748AC"/>
    <w:rsid w:val="00375DAD"/>
    <w:rsid w:val="00375FA8"/>
    <w:rsid w:val="00376E3D"/>
    <w:rsid w:val="00377BC0"/>
    <w:rsid w:val="003820F5"/>
    <w:rsid w:val="0038257E"/>
    <w:rsid w:val="00383B88"/>
    <w:rsid w:val="0038505B"/>
    <w:rsid w:val="0038568E"/>
    <w:rsid w:val="00386A80"/>
    <w:rsid w:val="00387A12"/>
    <w:rsid w:val="00387B6F"/>
    <w:rsid w:val="00387F42"/>
    <w:rsid w:val="0039007B"/>
    <w:rsid w:val="00391606"/>
    <w:rsid w:val="0039203B"/>
    <w:rsid w:val="0039236F"/>
    <w:rsid w:val="003932E9"/>
    <w:rsid w:val="003933E5"/>
    <w:rsid w:val="003933EB"/>
    <w:rsid w:val="0039370B"/>
    <w:rsid w:val="00393D67"/>
    <w:rsid w:val="00393E2D"/>
    <w:rsid w:val="0039439E"/>
    <w:rsid w:val="00394AF9"/>
    <w:rsid w:val="00394EC3"/>
    <w:rsid w:val="00394F02"/>
    <w:rsid w:val="00394FCC"/>
    <w:rsid w:val="003961C5"/>
    <w:rsid w:val="00397556"/>
    <w:rsid w:val="0039794D"/>
    <w:rsid w:val="00397BA8"/>
    <w:rsid w:val="003A002D"/>
    <w:rsid w:val="003A1113"/>
    <w:rsid w:val="003A11F5"/>
    <w:rsid w:val="003A13D9"/>
    <w:rsid w:val="003A189C"/>
    <w:rsid w:val="003A1B71"/>
    <w:rsid w:val="003A4000"/>
    <w:rsid w:val="003A4292"/>
    <w:rsid w:val="003A60DA"/>
    <w:rsid w:val="003A672B"/>
    <w:rsid w:val="003B0772"/>
    <w:rsid w:val="003B0B69"/>
    <w:rsid w:val="003B1F0F"/>
    <w:rsid w:val="003B22E0"/>
    <w:rsid w:val="003B26B3"/>
    <w:rsid w:val="003B2C1E"/>
    <w:rsid w:val="003B2CCD"/>
    <w:rsid w:val="003B3177"/>
    <w:rsid w:val="003B32F4"/>
    <w:rsid w:val="003B4887"/>
    <w:rsid w:val="003B4BD8"/>
    <w:rsid w:val="003B4CE1"/>
    <w:rsid w:val="003B500F"/>
    <w:rsid w:val="003B53DF"/>
    <w:rsid w:val="003B5490"/>
    <w:rsid w:val="003B5A48"/>
    <w:rsid w:val="003B5D2F"/>
    <w:rsid w:val="003B6935"/>
    <w:rsid w:val="003B7116"/>
    <w:rsid w:val="003B7DF8"/>
    <w:rsid w:val="003C0037"/>
    <w:rsid w:val="003C1687"/>
    <w:rsid w:val="003C1915"/>
    <w:rsid w:val="003C1B31"/>
    <w:rsid w:val="003C1F27"/>
    <w:rsid w:val="003C23C8"/>
    <w:rsid w:val="003C2AF3"/>
    <w:rsid w:val="003C2E0B"/>
    <w:rsid w:val="003C3CEE"/>
    <w:rsid w:val="003C65AE"/>
    <w:rsid w:val="003C6916"/>
    <w:rsid w:val="003C6B3B"/>
    <w:rsid w:val="003C7F4E"/>
    <w:rsid w:val="003D0B57"/>
    <w:rsid w:val="003D15AD"/>
    <w:rsid w:val="003D333F"/>
    <w:rsid w:val="003D39C5"/>
    <w:rsid w:val="003D3A5B"/>
    <w:rsid w:val="003D3D95"/>
    <w:rsid w:val="003D3EF4"/>
    <w:rsid w:val="003D4721"/>
    <w:rsid w:val="003D4916"/>
    <w:rsid w:val="003D5C22"/>
    <w:rsid w:val="003D6B8B"/>
    <w:rsid w:val="003E0239"/>
    <w:rsid w:val="003E04D4"/>
    <w:rsid w:val="003E18BA"/>
    <w:rsid w:val="003E1A39"/>
    <w:rsid w:val="003E304B"/>
    <w:rsid w:val="003E42A6"/>
    <w:rsid w:val="003E4D3E"/>
    <w:rsid w:val="003E54F7"/>
    <w:rsid w:val="003E568E"/>
    <w:rsid w:val="003E5BCF"/>
    <w:rsid w:val="003E60A2"/>
    <w:rsid w:val="003E62F9"/>
    <w:rsid w:val="003E64A3"/>
    <w:rsid w:val="003E6D42"/>
    <w:rsid w:val="003E7F52"/>
    <w:rsid w:val="003F0EBC"/>
    <w:rsid w:val="003F14AC"/>
    <w:rsid w:val="003F160A"/>
    <w:rsid w:val="003F1833"/>
    <w:rsid w:val="003F36D5"/>
    <w:rsid w:val="003F40C5"/>
    <w:rsid w:val="003F44E2"/>
    <w:rsid w:val="003F4A8B"/>
    <w:rsid w:val="003F4D1B"/>
    <w:rsid w:val="003F5A0C"/>
    <w:rsid w:val="003F5EEE"/>
    <w:rsid w:val="003F63A8"/>
    <w:rsid w:val="003F64CC"/>
    <w:rsid w:val="003F7DD7"/>
    <w:rsid w:val="00400CA4"/>
    <w:rsid w:val="0040110D"/>
    <w:rsid w:val="00401281"/>
    <w:rsid w:val="00403087"/>
    <w:rsid w:val="00404C0D"/>
    <w:rsid w:val="00406BE5"/>
    <w:rsid w:val="00406F17"/>
    <w:rsid w:val="004073B4"/>
    <w:rsid w:val="0040770C"/>
    <w:rsid w:val="0040789D"/>
    <w:rsid w:val="00407F8E"/>
    <w:rsid w:val="0041029E"/>
    <w:rsid w:val="004105B4"/>
    <w:rsid w:val="00410A4C"/>
    <w:rsid w:val="004114C8"/>
    <w:rsid w:val="004114FD"/>
    <w:rsid w:val="00413784"/>
    <w:rsid w:val="00413841"/>
    <w:rsid w:val="00414160"/>
    <w:rsid w:val="004148FE"/>
    <w:rsid w:val="00414B5A"/>
    <w:rsid w:val="0041511E"/>
    <w:rsid w:val="004155F5"/>
    <w:rsid w:val="004157E9"/>
    <w:rsid w:val="004159C1"/>
    <w:rsid w:val="00415EB2"/>
    <w:rsid w:val="0041613D"/>
    <w:rsid w:val="0041632C"/>
    <w:rsid w:val="0041654B"/>
    <w:rsid w:val="004175E5"/>
    <w:rsid w:val="00417BE0"/>
    <w:rsid w:val="00420AFC"/>
    <w:rsid w:val="004213B6"/>
    <w:rsid w:val="0042174F"/>
    <w:rsid w:val="004217F8"/>
    <w:rsid w:val="00422CE0"/>
    <w:rsid w:val="004233A1"/>
    <w:rsid w:val="004249A0"/>
    <w:rsid w:val="00424C25"/>
    <w:rsid w:val="004250DB"/>
    <w:rsid w:val="00425C7A"/>
    <w:rsid w:val="00425CAB"/>
    <w:rsid w:val="00427803"/>
    <w:rsid w:val="004279C9"/>
    <w:rsid w:val="0043102D"/>
    <w:rsid w:val="00431477"/>
    <w:rsid w:val="0043189A"/>
    <w:rsid w:val="00431C9E"/>
    <w:rsid w:val="00432312"/>
    <w:rsid w:val="0043247D"/>
    <w:rsid w:val="00432A6E"/>
    <w:rsid w:val="00432C12"/>
    <w:rsid w:val="00433ACE"/>
    <w:rsid w:val="00433B11"/>
    <w:rsid w:val="00433BC9"/>
    <w:rsid w:val="00433F8D"/>
    <w:rsid w:val="004340E8"/>
    <w:rsid w:val="00435C5B"/>
    <w:rsid w:val="0043620E"/>
    <w:rsid w:val="0043635A"/>
    <w:rsid w:val="00436C8A"/>
    <w:rsid w:val="00437612"/>
    <w:rsid w:val="00437E17"/>
    <w:rsid w:val="00441DEC"/>
    <w:rsid w:val="00442707"/>
    <w:rsid w:val="004427E5"/>
    <w:rsid w:val="00442913"/>
    <w:rsid w:val="00442B58"/>
    <w:rsid w:val="00442CF0"/>
    <w:rsid w:val="0044376E"/>
    <w:rsid w:val="00444271"/>
    <w:rsid w:val="00444C80"/>
    <w:rsid w:val="004453A1"/>
    <w:rsid w:val="0044557A"/>
    <w:rsid w:val="00445BEE"/>
    <w:rsid w:val="00446467"/>
    <w:rsid w:val="00446C44"/>
    <w:rsid w:val="00446D7F"/>
    <w:rsid w:val="0044719D"/>
    <w:rsid w:val="00451298"/>
    <w:rsid w:val="00451DD8"/>
    <w:rsid w:val="00451EE5"/>
    <w:rsid w:val="00452325"/>
    <w:rsid w:val="00452C8C"/>
    <w:rsid w:val="00453057"/>
    <w:rsid w:val="004538C3"/>
    <w:rsid w:val="0045467B"/>
    <w:rsid w:val="004555AC"/>
    <w:rsid w:val="0045588C"/>
    <w:rsid w:val="00455EB9"/>
    <w:rsid w:val="0045620C"/>
    <w:rsid w:val="00456464"/>
    <w:rsid w:val="0045716F"/>
    <w:rsid w:val="00457EDF"/>
    <w:rsid w:val="00460791"/>
    <w:rsid w:val="00460AAC"/>
    <w:rsid w:val="0046123E"/>
    <w:rsid w:val="00462435"/>
    <w:rsid w:val="00462D7B"/>
    <w:rsid w:val="00464D5F"/>
    <w:rsid w:val="004652F2"/>
    <w:rsid w:val="00465928"/>
    <w:rsid w:val="0046603F"/>
    <w:rsid w:val="00466235"/>
    <w:rsid w:val="00466C7D"/>
    <w:rsid w:val="00466FF8"/>
    <w:rsid w:val="0047015D"/>
    <w:rsid w:val="004706A1"/>
    <w:rsid w:val="004706E0"/>
    <w:rsid w:val="00470878"/>
    <w:rsid w:val="004721A8"/>
    <w:rsid w:val="004725AF"/>
    <w:rsid w:val="00472720"/>
    <w:rsid w:val="00472AFB"/>
    <w:rsid w:val="0047328B"/>
    <w:rsid w:val="00473539"/>
    <w:rsid w:val="00474AAB"/>
    <w:rsid w:val="00474B16"/>
    <w:rsid w:val="00474C69"/>
    <w:rsid w:val="0047550A"/>
    <w:rsid w:val="0047562A"/>
    <w:rsid w:val="004764FD"/>
    <w:rsid w:val="004767D6"/>
    <w:rsid w:val="00477897"/>
    <w:rsid w:val="00477914"/>
    <w:rsid w:val="00477965"/>
    <w:rsid w:val="00477D74"/>
    <w:rsid w:val="00477F2F"/>
    <w:rsid w:val="0048060C"/>
    <w:rsid w:val="00481D15"/>
    <w:rsid w:val="004838CC"/>
    <w:rsid w:val="00483C1A"/>
    <w:rsid w:val="00484285"/>
    <w:rsid w:val="004844FF"/>
    <w:rsid w:val="00485DD1"/>
    <w:rsid w:val="00485F68"/>
    <w:rsid w:val="0048603D"/>
    <w:rsid w:val="00486BDF"/>
    <w:rsid w:val="0048796F"/>
    <w:rsid w:val="0049017E"/>
    <w:rsid w:val="0049062E"/>
    <w:rsid w:val="004906DD"/>
    <w:rsid w:val="00490C8E"/>
    <w:rsid w:val="00492244"/>
    <w:rsid w:val="00493029"/>
    <w:rsid w:val="0049313B"/>
    <w:rsid w:val="00493F7F"/>
    <w:rsid w:val="0049557B"/>
    <w:rsid w:val="004959CF"/>
    <w:rsid w:val="0049681E"/>
    <w:rsid w:val="00496BB7"/>
    <w:rsid w:val="00496CEC"/>
    <w:rsid w:val="0049768A"/>
    <w:rsid w:val="004A044A"/>
    <w:rsid w:val="004A06F0"/>
    <w:rsid w:val="004A0AA2"/>
    <w:rsid w:val="004A113B"/>
    <w:rsid w:val="004A12BD"/>
    <w:rsid w:val="004A1CBE"/>
    <w:rsid w:val="004A295F"/>
    <w:rsid w:val="004A2CCD"/>
    <w:rsid w:val="004A303F"/>
    <w:rsid w:val="004A3C90"/>
    <w:rsid w:val="004A3D22"/>
    <w:rsid w:val="004A4D5A"/>
    <w:rsid w:val="004A5CF3"/>
    <w:rsid w:val="004A6C24"/>
    <w:rsid w:val="004B0517"/>
    <w:rsid w:val="004B09B2"/>
    <w:rsid w:val="004B1815"/>
    <w:rsid w:val="004B23BB"/>
    <w:rsid w:val="004B2B51"/>
    <w:rsid w:val="004B2C70"/>
    <w:rsid w:val="004B4337"/>
    <w:rsid w:val="004B4DAD"/>
    <w:rsid w:val="004B5082"/>
    <w:rsid w:val="004B574C"/>
    <w:rsid w:val="004B617D"/>
    <w:rsid w:val="004B6838"/>
    <w:rsid w:val="004B6890"/>
    <w:rsid w:val="004B7366"/>
    <w:rsid w:val="004C0367"/>
    <w:rsid w:val="004C40BC"/>
    <w:rsid w:val="004C4489"/>
    <w:rsid w:val="004C483C"/>
    <w:rsid w:val="004C49DD"/>
    <w:rsid w:val="004C4B29"/>
    <w:rsid w:val="004C5469"/>
    <w:rsid w:val="004C5BD4"/>
    <w:rsid w:val="004C5F8F"/>
    <w:rsid w:val="004C639C"/>
    <w:rsid w:val="004C63BF"/>
    <w:rsid w:val="004C64B1"/>
    <w:rsid w:val="004C6556"/>
    <w:rsid w:val="004C6AA2"/>
    <w:rsid w:val="004C7163"/>
    <w:rsid w:val="004C71CC"/>
    <w:rsid w:val="004C77EF"/>
    <w:rsid w:val="004C7A9B"/>
    <w:rsid w:val="004D013F"/>
    <w:rsid w:val="004D04C9"/>
    <w:rsid w:val="004D07AC"/>
    <w:rsid w:val="004D0A08"/>
    <w:rsid w:val="004D0FAB"/>
    <w:rsid w:val="004D10A1"/>
    <w:rsid w:val="004D1316"/>
    <w:rsid w:val="004D1F7C"/>
    <w:rsid w:val="004D2618"/>
    <w:rsid w:val="004D2662"/>
    <w:rsid w:val="004D2A78"/>
    <w:rsid w:val="004D30A4"/>
    <w:rsid w:val="004D3EDF"/>
    <w:rsid w:val="004D4643"/>
    <w:rsid w:val="004D465E"/>
    <w:rsid w:val="004D4A79"/>
    <w:rsid w:val="004D59DF"/>
    <w:rsid w:val="004D5EFA"/>
    <w:rsid w:val="004D648B"/>
    <w:rsid w:val="004D6E6A"/>
    <w:rsid w:val="004E06E6"/>
    <w:rsid w:val="004E083B"/>
    <w:rsid w:val="004E08F5"/>
    <w:rsid w:val="004E1D26"/>
    <w:rsid w:val="004E1FC1"/>
    <w:rsid w:val="004E2981"/>
    <w:rsid w:val="004E405B"/>
    <w:rsid w:val="004E5138"/>
    <w:rsid w:val="004E5A07"/>
    <w:rsid w:val="004E66F2"/>
    <w:rsid w:val="004E7B6F"/>
    <w:rsid w:val="004E7C3A"/>
    <w:rsid w:val="004F075B"/>
    <w:rsid w:val="004F0ECF"/>
    <w:rsid w:val="004F1A46"/>
    <w:rsid w:val="004F1BD8"/>
    <w:rsid w:val="004F1C17"/>
    <w:rsid w:val="004F22E6"/>
    <w:rsid w:val="004F2CCE"/>
    <w:rsid w:val="004F3515"/>
    <w:rsid w:val="004F3769"/>
    <w:rsid w:val="004F3CBE"/>
    <w:rsid w:val="004F4508"/>
    <w:rsid w:val="004F450E"/>
    <w:rsid w:val="004F4787"/>
    <w:rsid w:val="004F4FF5"/>
    <w:rsid w:val="004F60FA"/>
    <w:rsid w:val="004F624F"/>
    <w:rsid w:val="004F7234"/>
    <w:rsid w:val="005008CB"/>
    <w:rsid w:val="00500ECA"/>
    <w:rsid w:val="00500ED8"/>
    <w:rsid w:val="00501746"/>
    <w:rsid w:val="005022F7"/>
    <w:rsid w:val="00502749"/>
    <w:rsid w:val="005028A9"/>
    <w:rsid w:val="00502CA0"/>
    <w:rsid w:val="00503081"/>
    <w:rsid w:val="00503C9A"/>
    <w:rsid w:val="00503E63"/>
    <w:rsid w:val="00504595"/>
    <w:rsid w:val="0050481D"/>
    <w:rsid w:val="00505551"/>
    <w:rsid w:val="0050570D"/>
    <w:rsid w:val="00506731"/>
    <w:rsid w:val="005067B0"/>
    <w:rsid w:val="005074A4"/>
    <w:rsid w:val="005110E7"/>
    <w:rsid w:val="00512EFD"/>
    <w:rsid w:val="00513818"/>
    <w:rsid w:val="00514F92"/>
    <w:rsid w:val="00515396"/>
    <w:rsid w:val="00515571"/>
    <w:rsid w:val="005160AD"/>
    <w:rsid w:val="00516517"/>
    <w:rsid w:val="0051686A"/>
    <w:rsid w:val="00516A60"/>
    <w:rsid w:val="00516F49"/>
    <w:rsid w:val="0051730D"/>
    <w:rsid w:val="00517413"/>
    <w:rsid w:val="00517468"/>
    <w:rsid w:val="00521385"/>
    <w:rsid w:val="005221FF"/>
    <w:rsid w:val="0052302C"/>
    <w:rsid w:val="00523A30"/>
    <w:rsid w:val="00524FE7"/>
    <w:rsid w:val="005252FC"/>
    <w:rsid w:val="00526936"/>
    <w:rsid w:val="005308AE"/>
    <w:rsid w:val="00530CC9"/>
    <w:rsid w:val="0053110C"/>
    <w:rsid w:val="00531276"/>
    <w:rsid w:val="00532473"/>
    <w:rsid w:val="0053294C"/>
    <w:rsid w:val="00532B97"/>
    <w:rsid w:val="00532D32"/>
    <w:rsid w:val="00533CE6"/>
    <w:rsid w:val="00534567"/>
    <w:rsid w:val="005351FD"/>
    <w:rsid w:val="0053579D"/>
    <w:rsid w:val="0053644C"/>
    <w:rsid w:val="0053651F"/>
    <w:rsid w:val="0053685A"/>
    <w:rsid w:val="00537D20"/>
    <w:rsid w:val="00540206"/>
    <w:rsid w:val="0054023B"/>
    <w:rsid w:val="00540710"/>
    <w:rsid w:val="00540B62"/>
    <w:rsid w:val="00541357"/>
    <w:rsid w:val="00541BB1"/>
    <w:rsid w:val="00542F31"/>
    <w:rsid w:val="005431E0"/>
    <w:rsid w:val="005438C2"/>
    <w:rsid w:val="00543F4D"/>
    <w:rsid w:val="00544172"/>
    <w:rsid w:val="005444DB"/>
    <w:rsid w:val="00544562"/>
    <w:rsid w:val="005449B6"/>
    <w:rsid w:val="00545E26"/>
    <w:rsid w:val="005465DD"/>
    <w:rsid w:val="0054665A"/>
    <w:rsid w:val="005471D3"/>
    <w:rsid w:val="005474D6"/>
    <w:rsid w:val="005478E7"/>
    <w:rsid w:val="00547B5E"/>
    <w:rsid w:val="0055090A"/>
    <w:rsid w:val="005517CC"/>
    <w:rsid w:val="00552B91"/>
    <w:rsid w:val="0055374C"/>
    <w:rsid w:val="005538FB"/>
    <w:rsid w:val="00553CE2"/>
    <w:rsid w:val="00553D54"/>
    <w:rsid w:val="00554030"/>
    <w:rsid w:val="00555785"/>
    <w:rsid w:val="00555B05"/>
    <w:rsid w:val="00555DAF"/>
    <w:rsid w:val="00555F95"/>
    <w:rsid w:val="0056092A"/>
    <w:rsid w:val="005609F6"/>
    <w:rsid w:val="005624DF"/>
    <w:rsid w:val="00562802"/>
    <w:rsid w:val="00562F71"/>
    <w:rsid w:val="005630F5"/>
    <w:rsid w:val="00564556"/>
    <w:rsid w:val="00564AAB"/>
    <w:rsid w:val="00565312"/>
    <w:rsid w:val="00565B7F"/>
    <w:rsid w:val="00565CE6"/>
    <w:rsid w:val="00566043"/>
    <w:rsid w:val="00567AA8"/>
    <w:rsid w:val="00567F47"/>
    <w:rsid w:val="00570253"/>
    <w:rsid w:val="005705F3"/>
    <w:rsid w:val="00570689"/>
    <w:rsid w:val="00570714"/>
    <w:rsid w:val="005707ED"/>
    <w:rsid w:val="005710EB"/>
    <w:rsid w:val="0057244B"/>
    <w:rsid w:val="00572796"/>
    <w:rsid w:val="00572E6C"/>
    <w:rsid w:val="005731AA"/>
    <w:rsid w:val="005747A5"/>
    <w:rsid w:val="005747E2"/>
    <w:rsid w:val="00574B27"/>
    <w:rsid w:val="00575070"/>
    <w:rsid w:val="00575C26"/>
    <w:rsid w:val="005762E4"/>
    <w:rsid w:val="00576BA9"/>
    <w:rsid w:val="00576C3F"/>
    <w:rsid w:val="00577552"/>
    <w:rsid w:val="0057759A"/>
    <w:rsid w:val="00577D86"/>
    <w:rsid w:val="00577FE6"/>
    <w:rsid w:val="0058065C"/>
    <w:rsid w:val="005806E7"/>
    <w:rsid w:val="005808FD"/>
    <w:rsid w:val="00580963"/>
    <w:rsid w:val="00580A63"/>
    <w:rsid w:val="00581D4B"/>
    <w:rsid w:val="00582E78"/>
    <w:rsid w:val="0058367A"/>
    <w:rsid w:val="005837CE"/>
    <w:rsid w:val="00584A3B"/>
    <w:rsid w:val="00584B19"/>
    <w:rsid w:val="00585264"/>
    <w:rsid w:val="00585F2E"/>
    <w:rsid w:val="0058661D"/>
    <w:rsid w:val="00586696"/>
    <w:rsid w:val="005875A7"/>
    <w:rsid w:val="00587AAB"/>
    <w:rsid w:val="00587F0F"/>
    <w:rsid w:val="00590B59"/>
    <w:rsid w:val="00591BA9"/>
    <w:rsid w:val="00591BC8"/>
    <w:rsid w:val="0059244B"/>
    <w:rsid w:val="00592A68"/>
    <w:rsid w:val="0059311A"/>
    <w:rsid w:val="005931E3"/>
    <w:rsid w:val="00593D32"/>
    <w:rsid w:val="00593DDB"/>
    <w:rsid w:val="00595413"/>
    <w:rsid w:val="00595B85"/>
    <w:rsid w:val="00596CA7"/>
    <w:rsid w:val="005A1FE2"/>
    <w:rsid w:val="005A2368"/>
    <w:rsid w:val="005A2E28"/>
    <w:rsid w:val="005A30CC"/>
    <w:rsid w:val="005A3535"/>
    <w:rsid w:val="005A40E4"/>
    <w:rsid w:val="005A4514"/>
    <w:rsid w:val="005A4623"/>
    <w:rsid w:val="005A596D"/>
    <w:rsid w:val="005A61A0"/>
    <w:rsid w:val="005A643D"/>
    <w:rsid w:val="005A6A11"/>
    <w:rsid w:val="005A6A60"/>
    <w:rsid w:val="005A73EC"/>
    <w:rsid w:val="005B040F"/>
    <w:rsid w:val="005B0F2B"/>
    <w:rsid w:val="005B1102"/>
    <w:rsid w:val="005B1A70"/>
    <w:rsid w:val="005B3ADB"/>
    <w:rsid w:val="005B3B98"/>
    <w:rsid w:val="005B3EB8"/>
    <w:rsid w:val="005B43F5"/>
    <w:rsid w:val="005B45EF"/>
    <w:rsid w:val="005B4700"/>
    <w:rsid w:val="005B4882"/>
    <w:rsid w:val="005B6EA8"/>
    <w:rsid w:val="005B71A6"/>
    <w:rsid w:val="005C049F"/>
    <w:rsid w:val="005C04A7"/>
    <w:rsid w:val="005C0BD0"/>
    <w:rsid w:val="005C171C"/>
    <w:rsid w:val="005C20D6"/>
    <w:rsid w:val="005C211C"/>
    <w:rsid w:val="005C29B0"/>
    <w:rsid w:val="005C2D21"/>
    <w:rsid w:val="005C2D8A"/>
    <w:rsid w:val="005C3654"/>
    <w:rsid w:val="005C3C2A"/>
    <w:rsid w:val="005C478B"/>
    <w:rsid w:val="005C58BE"/>
    <w:rsid w:val="005C5C84"/>
    <w:rsid w:val="005C5EA7"/>
    <w:rsid w:val="005C6167"/>
    <w:rsid w:val="005C628F"/>
    <w:rsid w:val="005C66F7"/>
    <w:rsid w:val="005C7817"/>
    <w:rsid w:val="005C7CDA"/>
    <w:rsid w:val="005D12F3"/>
    <w:rsid w:val="005D1301"/>
    <w:rsid w:val="005D1739"/>
    <w:rsid w:val="005D1865"/>
    <w:rsid w:val="005D1DD1"/>
    <w:rsid w:val="005D3283"/>
    <w:rsid w:val="005D3906"/>
    <w:rsid w:val="005D4125"/>
    <w:rsid w:val="005D4235"/>
    <w:rsid w:val="005D42CF"/>
    <w:rsid w:val="005D4E2C"/>
    <w:rsid w:val="005D599C"/>
    <w:rsid w:val="005D5A00"/>
    <w:rsid w:val="005D5C7A"/>
    <w:rsid w:val="005D5CD9"/>
    <w:rsid w:val="005E0775"/>
    <w:rsid w:val="005E07EE"/>
    <w:rsid w:val="005E09D6"/>
    <w:rsid w:val="005E136A"/>
    <w:rsid w:val="005E1393"/>
    <w:rsid w:val="005E1E01"/>
    <w:rsid w:val="005E203E"/>
    <w:rsid w:val="005E215D"/>
    <w:rsid w:val="005E2945"/>
    <w:rsid w:val="005E3D6D"/>
    <w:rsid w:val="005E3F8F"/>
    <w:rsid w:val="005E53B5"/>
    <w:rsid w:val="005E565F"/>
    <w:rsid w:val="005E61C6"/>
    <w:rsid w:val="005E6529"/>
    <w:rsid w:val="005E7493"/>
    <w:rsid w:val="005E768A"/>
    <w:rsid w:val="005E7AEA"/>
    <w:rsid w:val="005E7F1F"/>
    <w:rsid w:val="005F0965"/>
    <w:rsid w:val="005F238A"/>
    <w:rsid w:val="005F2F97"/>
    <w:rsid w:val="005F4C63"/>
    <w:rsid w:val="005F52F1"/>
    <w:rsid w:val="005F5542"/>
    <w:rsid w:val="005F5578"/>
    <w:rsid w:val="005F5599"/>
    <w:rsid w:val="005F5C62"/>
    <w:rsid w:val="005F6BCA"/>
    <w:rsid w:val="005F6C21"/>
    <w:rsid w:val="005F724A"/>
    <w:rsid w:val="005F7740"/>
    <w:rsid w:val="006002AB"/>
    <w:rsid w:val="00600CC0"/>
    <w:rsid w:val="00601804"/>
    <w:rsid w:val="006020D3"/>
    <w:rsid w:val="00602178"/>
    <w:rsid w:val="00602CB1"/>
    <w:rsid w:val="00602DF2"/>
    <w:rsid w:val="00603343"/>
    <w:rsid w:val="00603580"/>
    <w:rsid w:val="0060584A"/>
    <w:rsid w:val="00605FFF"/>
    <w:rsid w:val="00606ADB"/>
    <w:rsid w:val="00606F57"/>
    <w:rsid w:val="00607242"/>
    <w:rsid w:val="00607E48"/>
    <w:rsid w:val="00610970"/>
    <w:rsid w:val="00610C52"/>
    <w:rsid w:val="006110E7"/>
    <w:rsid w:val="0061155C"/>
    <w:rsid w:val="006120A0"/>
    <w:rsid w:val="006129EA"/>
    <w:rsid w:val="00612BBF"/>
    <w:rsid w:val="00612DBB"/>
    <w:rsid w:val="00612EEF"/>
    <w:rsid w:val="0061427E"/>
    <w:rsid w:val="00614AFB"/>
    <w:rsid w:val="0061556B"/>
    <w:rsid w:val="0061723A"/>
    <w:rsid w:val="00620A7B"/>
    <w:rsid w:val="00620DBA"/>
    <w:rsid w:val="006222DE"/>
    <w:rsid w:val="00622FDB"/>
    <w:rsid w:val="006245D7"/>
    <w:rsid w:val="00624D56"/>
    <w:rsid w:val="00625A63"/>
    <w:rsid w:val="00627074"/>
    <w:rsid w:val="00630D26"/>
    <w:rsid w:val="00631402"/>
    <w:rsid w:val="00631B46"/>
    <w:rsid w:val="00633B40"/>
    <w:rsid w:val="006342F6"/>
    <w:rsid w:val="00635068"/>
    <w:rsid w:val="006351B7"/>
    <w:rsid w:val="006352A9"/>
    <w:rsid w:val="0063563C"/>
    <w:rsid w:val="0063651E"/>
    <w:rsid w:val="00636552"/>
    <w:rsid w:val="00636553"/>
    <w:rsid w:val="006365BA"/>
    <w:rsid w:val="00637A9D"/>
    <w:rsid w:val="006402CD"/>
    <w:rsid w:val="006403CB"/>
    <w:rsid w:val="006419E0"/>
    <w:rsid w:val="00641B3E"/>
    <w:rsid w:val="00643BAA"/>
    <w:rsid w:val="00644938"/>
    <w:rsid w:val="00644A37"/>
    <w:rsid w:val="0064632A"/>
    <w:rsid w:val="0064660D"/>
    <w:rsid w:val="00646DCE"/>
    <w:rsid w:val="006474CB"/>
    <w:rsid w:val="006506CA"/>
    <w:rsid w:val="00650746"/>
    <w:rsid w:val="0065139A"/>
    <w:rsid w:val="00652377"/>
    <w:rsid w:val="0065255F"/>
    <w:rsid w:val="00653D7C"/>
    <w:rsid w:val="006541FF"/>
    <w:rsid w:val="00654386"/>
    <w:rsid w:val="00654539"/>
    <w:rsid w:val="00654D1E"/>
    <w:rsid w:val="006554EF"/>
    <w:rsid w:val="00655ED3"/>
    <w:rsid w:val="00656D87"/>
    <w:rsid w:val="00657C9A"/>
    <w:rsid w:val="00660719"/>
    <w:rsid w:val="00660D5C"/>
    <w:rsid w:val="00663837"/>
    <w:rsid w:val="00664F71"/>
    <w:rsid w:val="0066598E"/>
    <w:rsid w:val="00666074"/>
    <w:rsid w:val="00666D84"/>
    <w:rsid w:val="006672BA"/>
    <w:rsid w:val="0066770C"/>
    <w:rsid w:val="00670824"/>
    <w:rsid w:val="00670AC2"/>
    <w:rsid w:val="00670D47"/>
    <w:rsid w:val="00670EE3"/>
    <w:rsid w:val="00671130"/>
    <w:rsid w:val="006713EF"/>
    <w:rsid w:val="00671462"/>
    <w:rsid w:val="006724AE"/>
    <w:rsid w:val="00672B35"/>
    <w:rsid w:val="006731CF"/>
    <w:rsid w:val="00673256"/>
    <w:rsid w:val="0067345A"/>
    <w:rsid w:val="00673A8E"/>
    <w:rsid w:val="0067479C"/>
    <w:rsid w:val="006754E2"/>
    <w:rsid w:val="006769C6"/>
    <w:rsid w:val="006773AB"/>
    <w:rsid w:val="00677BC7"/>
    <w:rsid w:val="00680307"/>
    <w:rsid w:val="00680957"/>
    <w:rsid w:val="00680DB8"/>
    <w:rsid w:val="00680DEF"/>
    <w:rsid w:val="0068126D"/>
    <w:rsid w:val="00681D52"/>
    <w:rsid w:val="00681E25"/>
    <w:rsid w:val="00681E4E"/>
    <w:rsid w:val="006823F1"/>
    <w:rsid w:val="00683102"/>
    <w:rsid w:val="006842CA"/>
    <w:rsid w:val="00684661"/>
    <w:rsid w:val="00685409"/>
    <w:rsid w:val="00687067"/>
    <w:rsid w:val="00687574"/>
    <w:rsid w:val="00687C85"/>
    <w:rsid w:val="00687F3C"/>
    <w:rsid w:val="00687FA2"/>
    <w:rsid w:val="00690115"/>
    <w:rsid w:val="00690518"/>
    <w:rsid w:val="0069054D"/>
    <w:rsid w:val="00690952"/>
    <w:rsid w:val="0069110E"/>
    <w:rsid w:val="00691161"/>
    <w:rsid w:val="0069130C"/>
    <w:rsid w:val="00692167"/>
    <w:rsid w:val="006921B3"/>
    <w:rsid w:val="006922BC"/>
    <w:rsid w:val="00692882"/>
    <w:rsid w:val="006928A6"/>
    <w:rsid w:val="006932F4"/>
    <w:rsid w:val="00693635"/>
    <w:rsid w:val="0069393A"/>
    <w:rsid w:val="006939FB"/>
    <w:rsid w:val="006941E7"/>
    <w:rsid w:val="00694426"/>
    <w:rsid w:val="00694568"/>
    <w:rsid w:val="00695522"/>
    <w:rsid w:val="006956DB"/>
    <w:rsid w:val="006963F4"/>
    <w:rsid w:val="00697B45"/>
    <w:rsid w:val="00697BAC"/>
    <w:rsid w:val="00697EA0"/>
    <w:rsid w:val="006A0B8B"/>
    <w:rsid w:val="006A0CB7"/>
    <w:rsid w:val="006A173F"/>
    <w:rsid w:val="006A1E01"/>
    <w:rsid w:val="006A2377"/>
    <w:rsid w:val="006A3451"/>
    <w:rsid w:val="006A3882"/>
    <w:rsid w:val="006A3E8B"/>
    <w:rsid w:val="006A597E"/>
    <w:rsid w:val="006A655D"/>
    <w:rsid w:val="006A66C2"/>
    <w:rsid w:val="006A6E31"/>
    <w:rsid w:val="006A7B8F"/>
    <w:rsid w:val="006A7CD3"/>
    <w:rsid w:val="006A7DB1"/>
    <w:rsid w:val="006A7F10"/>
    <w:rsid w:val="006B06D9"/>
    <w:rsid w:val="006B21A3"/>
    <w:rsid w:val="006B2404"/>
    <w:rsid w:val="006B2DDA"/>
    <w:rsid w:val="006B3E97"/>
    <w:rsid w:val="006B44FB"/>
    <w:rsid w:val="006B48CA"/>
    <w:rsid w:val="006B51B0"/>
    <w:rsid w:val="006B57C5"/>
    <w:rsid w:val="006B78E2"/>
    <w:rsid w:val="006B7CE6"/>
    <w:rsid w:val="006C1480"/>
    <w:rsid w:val="006C3697"/>
    <w:rsid w:val="006C3C22"/>
    <w:rsid w:val="006C4376"/>
    <w:rsid w:val="006C57E3"/>
    <w:rsid w:val="006C595B"/>
    <w:rsid w:val="006D044C"/>
    <w:rsid w:val="006D0A99"/>
    <w:rsid w:val="006D1361"/>
    <w:rsid w:val="006D13E2"/>
    <w:rsid w:val="006D154D"/>
    <w:rsid w:val="006D2108"/>
    <w:rsid w:val="006D2141"/>
    <w:rsid w:val="006D22A0"/>
    <w:rsid w:val="006D241B"/>
    <w:rsid w:val="006D35E0"/>
    <w:rsid w:val="006D3D23"/>
    <w:rsid w:val="006D4296"/>
    <w:rsid w:val="006D5025"/>
    <w:rsid w:val="006D56AA"/>
    <w:rsid w:val="006D5923"/>
    <w:rsid w:val="006D6D44"/>
    <w:rsid w:val="006D6F06"/>
    <w:rsid w:val="006D6F5E"/>
    <w:rsid w:val="006D70D0"/>
    <w:rsid w:val="006E033A"/>
    <w:rsid w:val="006E0548"/>
    <w:rsid w:val="006E20D5"/>
    <w:rsid w:val="006E2207"/>
    <w:rsid w:val="006E27C5"/>
    <w:rsid w:val="006E2801"/>
    <w:rsid w:val="006E2A7D"/>
    <w:rsid w:val="006E2D18"/>
    <w:rsid w:val="006E3D71"/>
    <w:rsid w:val="006E44CF"/>
    <w:rsid w:val="006E461C"/>
    <w:rsid w:val="006E5027"/>
    <w:rsid w:val="006E5710"/>
    <w:rsid w:val="006E590A"/>
    <w:rsid w:val="006E59F3"/>
    <w:rsid w:val="006E5CDB"/>
    <w:rsid w:val="006E64A0"/>
    <w:rsid w:val="006E6D69"/>
    <w:rsid w:val="006E6DE5"/>
    <w:rsid w:val="006E7191"/>
    <w:rsid w:val="006E7C3F"/>
    <w:rsid w:val="006F0EB3"/>
    <w:rsid w:val="006F1511"/>
    <w:rsid w:val="006F16A7"/>
    <w:rsid w:val="006F1E91"/>
    <w:rsid w:val="006F2239"/>
    <w:rsid w:val="006F24E8"/>
    <w:rsid w:val="006F2709"/>
    <w:rsid w:val="006F2782"/>
    <w:rsid w:val="006F2A2B"/>
    <w:rsid w:val="006F428F"/>
    <w:rsid w:val="006F433C"/>
    <w:rsid w:val="006F4BEF"/>
    <w:rsid w:val="006F58F8"/>
    <w:rsid w:val="006F6A5A"/>
    <w:rsid w:val="006F7344"/>
    <w:rsid w:val="007021A0"/>
    <w:rsid w:val="00703AD9"/>
    <w:rsid w:val="00704775"/>
    <w:rsid w:val="007048AE"/>
    <w:rsid w:val="00704C8F"/>
    <w:rsid w:val="007059D8"/>
    <w:rsid w:val="0070610A"/>
    <w:rsid w:val="007062A7"/>
    <w:rsid w:val="00707047"/>
    <w:rsid w:val="00707757"/>
    <w:rsid w:val="007101AA"/>
    <w:rsid w:val="00710CC0"/>
    <w:rsid w:val="00710D94"/>
    <w:rsid w:val="00711D3D"/>
    <w:rsid w:val="00711D7A"/>
    <w:rsid w:val="00712813"/>
    <w:rsid w:val="00712C46"/>
    <w:rsid w:val="00712E67"/>
    <w:rsid w:val="00713288"/>
    <w:rsid w:val="007132FC"/>
    <w:rsid w:val="00714C2D"/>
    <w:rsid w:val="0071501B"/>
    <w:rsid w:val="0071584A"/>
    <w:rsid w:val="00715A3E"/>
    <w:rsid w:val="00716983"/>
    <w:rsid w:val="00716E14"/>
    <w:rsid w:val="00716FDC"/>
    <w:rsid w:val="00717A6B"/>
    <w:rsid w:val="0072047B"/>
    <w:rsid w:val="0072083B"/>
    <w:rsid w:val="0072177C"/>
    <w:rsid w:val="007225E1"/>
    <w:rsid w:val="0072270D"/>
    <w:rsid w:val="00722772"/>
    <w:rsid w:val="00722F92"/>
    <w:rsid w:val="0072322B"/>
    <w:rsid w:val="00724299"/>
    <w:rsid w:val="0072482F"/>
    <w:rsid w:val="00724D7F"/>
    <w:rsid w:val="00725751"/>
    <w:rsid w:val="007262C0"/>
    <w:rsid w:val="007266D8"/>
    <w:rsid w:val="007267D0"/>
    <w:rsid w:val="00726D2F"/>
    <w:rsid w:val="00727B1D"/>
    <w:rsid w:val="0073006C"/>
    <w:rsid w:val="00730AFE"/>
    <w:rsid w:val="00731D58"/>
    <w:rsid w:val="007324AA"/>
    <w:rsid w:val="00732617"/>
    <w:rsid w:val="00732B9A"/>
    <w:rsid w:val="00733126"/>
    <w:rsid w:val="00733982"/>
    <w:rsid w:val="00734ACF"/>
    <w:rsid w:val="00734FD5"/>
    <w:rsid w:val="00735EA1"/>
    <w:rsid w:val="0073653D"/>
    <w:rsid w:val="00736619"/>
    <w:rsid w:val="007366D5"/>
    <w:rsid w:val="00737636"/>
    <w:rsid w:val="007376FE"/>
    <w:rsid w:val="00737DC6"/>
    <w:rsid w:val="00740852"/>
    <w:rsid w:val="00741D90"/>
    <w:rsid w:val="007421E3"/>
    <w:rsid w:val="007427A4"/>
    <w:rsid w:val="0074380F"/>
    <w:rsid w:val="00743FDF"/>
    <w:rsid w:val="00745190"/>
    <w:rsid w:val="007451D1"/>
    <w:rsid w:val="00745E50"/>
    <w:rsid w:val="00746D7F"/>
    <w:rsid w:val="00747658"/>
    <w:rsid w:val="00747CCC"/>
    <w:rsid w:val="007501FB"/>
    <w:rsid w:val="007503EF"/>
    <w:rsid w:val="00750BD1"/>
    <w:rsid w:val="0075137D"/>
    <w:rsid w:val="00751670"/>
    <w:rsid w:val="00751766"/>
    <w:rsid w:val="00751A83"/>
    <w:rsid w:val="00751EDD"/>
    <w:rsid w:val="007563C1"/>
    <w:rsid w:val="00756841"/>
    <w:rsid w:val="00756B24"/>
    <w:rsid w:val="00756B84"/>
    <w:rsid w:val="00760116"/>
    <w:rsid w:val="007603A8"/>
    <w:rsid w:val="00761115"/>
    <w:rsid w:val="00761CD8"/>
    <w:rsid w:val="0076240A"/>
    <w:rsid w:val="007624DB"/>
    <w:rsid w:val="0076270E"/>
    <w:rsid w:val="00762EC9"/>
    <w:rsid w:val="0076322E"/>
    <w:rsid w:val="00763536"/>
    <w:rsid w:val="0076437F"/>
    <w:rsid w:val="00764D6C"/>
    <w:rsid w:val="0076503B"/>
    <w:rsid w:val="007651BD"/>
    <w:rsid w:val="00766011"/>
    <w:rsid w:val="0076680B"/>
    <w:rsid w:val="00766819"/>
    <w:rsid w:val="007669E8"/>
    <w:rsid w:val="007713C3"/>
    <w:rsid w:val="0077163B"/>
    <w:rsid w:val="007717AF"/>
    <w:rsid w:val="00771DE5"/>
    <w:rsid w:val="00773888"/>
    <w:rsid w:val="00774A65"/>
    <w:rsid w:val="00775D4F"/>
    <w:rsid w:val="0077676B"/>
    <w:rsid w:val="007767B2"/>
    <w:rsid w:val="00777CEF"/>
    <w:rsid w:val="007807CA"/>
    <w:rsid w:val="00780BF1"/>
    <w:rsid w:val="00780CEB"/>
    <w:rsid w:val="00780D89"/>
    <w:rsid w:val="00781227"/>
    <w:rsid w:val="007814DE"/>
    <w:rsid w:val="007815C4"/>
    <w:rsid w:val="00781D27"/>
    <w:rsid w:val="00781D92"/>
    <w:rsid w:val="00782FDA"/>
    <w:rsid w:val="00783E67"/>
    <w:rsid w:val="007841CF"/>
    <w:rsid w:val="00784205"/>
    <w:rsid w:val="00784260"/>
    <w:rsid w:val="007844B1"/>
    <w:rsid w:val="00784BA1"/>
    <w:rsid w:val="00784FB2"/>
    <w:rsid w:val="0078563E"/>
    <w:rsid w:val="00786172"/>
    <w:rsid w:val="00786700"/>
    <w:rsid w:val="00786B99"/>
    <w:rsid w:val="00786E24"/>
    <w:rsid w:val="00787F79"/>
    <w:rsid w:val="007900D7"/>
    <w:rsid w:val="0079015B"/>
    <w:rsid w:val="0079090B"/>
    <w:rsid w:val="00791944"/>
    <w:rsid w:val="00791B00"/>
    <w:rsid w:val="00792FFA"/>
    <w:rsid w:val="00793C98"/>
    <w:rsid w:val="00793EEB"/>
    <w:rsid w:val="00796D04"/>
    <w:rsid w:val="00797D39"/>
    <w:rsid w:val="007A026D"/>
    <w:rsid w:val="007A27FE"/>
    <w:rsid w:val="007A289B"/>
    <w:rsid w:val="007A2B68"/>
    <w:rsid w:val="007A35DB"/>
    <w:rsid w:val="007A3B12"/>
    <w:rsid w:val="007A44CE"/>
    <w:rsid w:val="007A4B1B"/>
    <w:rsid w:val="007A4DCD"/>
    <w:rsid w:val="007A4EA3"/>
    <w:rsid w:val="007A577B"/>
    <w:rsid w:val="007A6134"/>
    <w:rsid w:val="007A699B"/>
    <w:rsid w:val="007A6BDB"/>
    <w:rsid w:val="007A6E50"/>
    <w:rsid w:val="007A7232"/>
    <w:rsid w:val="007B1265"/>
    <w:rsid w:val="007B1E4C"/>
    <w:rsid w:val="007B1F43"/>
    <w:rsid w:val="007B21F4"/>
    <w:rsid w:val="007B23A8"/>
    <w:rsid w:val="007B3A1C"/>
    <w:rsid w:val="007B421A"/>
    <w:rsid w:val="007B50CE"/>
    <w:rsid w:val="007B6DD6"/>
    <w:rsid w:val="007B71CB"/>
    <w:rsid w:val="007B735B"/>
    <w:rsid w:val="007C05E9"/>
    <w:rsid w:val="007C07BA"/>
    <w:rsid w:val="007C09AB"/>
    <w:rsid w:val="007C0B49"/>
    <w:rsid w:val="007C0F55"/>
    <w:rsid w:val="007C196A"/>
    <w:rsid w:val="007C27FA"/>
    <w:rsid w:val="007C2F5B"/>
    <w:rsid w:val="007C3760"/>
    <w:rsid w:val="007C3BE6"/>
    <w:rsid w:val="007C4060"/>
    <w:rsid w:val="007C4687"/>
    <w:rsid w:val="007C4787"/>
    <w:rsid w:val="007C484E"/>
    <w:rsid w:val="007C564E"/>
    <w:rsid w:val="007C5E22"/>
    <w:rsid w:val="007D1BEA"/>
    <w:rsid w:val="007D2329"/>
    <w:rsid w:val="007D2447"/>
    <w:rsid w:val="007D2C07"/>
    <w:rsid w:val="007D2DEE"/>
    <w:rsid w:val="007D31BE"/>
    <w:rsid w:val="007D3B59"/>
    <w:rsid w:val="007D3D9C"/>
    <w:rsid w:val="007D442C"/>
    <w:rsid w:val="007D4BCF"/>
    <w:rsid w:val="007D4C4B"/>
    <w:rsid w:val="007D5326"/>
    <w:rsid w:val="007D5487"/>
    <w:rsid w:val="007D6986"/>
    <w:rsid w:val="007D6A75"/>
    <w:rsid w:val="007D6F94"/>
    <w:rsid w:val="007D7451"/>
    <w:rsid w:val="007D7926"/>
    <w:rsid w:val="007E00D5"/>
    <w:rsid w:val="007E0567"/>
    <w:rsid w:val="007E05A6"/>
    <w:rsid w:val="007E0729"/>
    <w:rsid w:val="007E07CE"/>
    <w:rsid w:val="007E0803"/>
    <w:rsid w:val="007E0BF0"/>
    <w:rsid w:val="007E0F8E"/>
    <w:rsid w:val="007E16DC"/>
    <w:rsid w:val="007E26E5"/>
    <w:rsid w:val="007E2F7A"/>
    <w:rsid w:val="007E364E"/>
    <w:rsid w:val="007E37DF"/>
    <w:rsid w:val="007E4158"/>
    <w:rsid w:val="007E4BAA"/>
    <w:rsid w:val="007E4F9D"/>
    <w:rsid w:val="007E65A2"/>
    <w:rsid w:val="007E6C53"/>
    <w:rsid w:val="007E753E"/>
    <w:rsid w:val="007E7A1A"/>
    <w:rsid w:val="007E7B69"/>
    <w:rsid w:val="007E7FBE"/>
    <w:rsid w:val="007F26ED"/>
    <w:rsid w:val="007F3545"/>
    <w:rsid w:val="007F3C88"/>
    <w:rsid w:val="007F41E8"/>
    <w:rsid w:val="007F459F"/>
    <w:rsid w:val="007F48E8"/>
    <w:rsid w:val="007F49AF"/>
    <w:rsid w:val="007F5C1B"/>
    <w:rsid w:val="007F5C6A"/>
    <w:rsid w:val="007F60FD"/>
    <w:rsid w:val="007F771D"/>
    <w:rsid w:val="007F7A6C"/>
    <w:rsid w:val="0080061F"/>
    <w:rsid w:val="008007E9"/>
    <w:rsid w:val="008008A9"/>
    <w:rsid w:val="00800C21"/>
    <w:rsid w:val="00800E3F"/>
    <w:rsid w:val="008015A7"/>
    <w:rsid w:val="00804760"/>
    <w:rsid w:val="00804923"/>
    <w:rsid w:val="00804BB2"/>
    <w:rsid w:val="008058F2"/>
    <w:rsid w:val="00806315"/>
    <w:rsid w:val="00807596"/>
    <w:rsid w:val="00807745"/>
    <w:rsid w:val="00810C35"/>
    <w:rsid w:val="00812BDD"/>
    <w:rsid w:val="00812C10"/>
    <w:rsid w:val="00812FC3"/>
    <w:rsid w:val="008130AA"/>
    <w:rsid w:val="008130B8"/>
    <w:rsid w:val="00814086"/>
    <w:rsid w:val="00814A7E"/>
    <w:rsid w:val="00814BE7"/>
    <w:rsid w:val="00814CDB"/>
    <w:rsid w:val="00815BFD"/>
    <w:rsid w:val="00815E12"/>
    <w:rsid w:val="00815F1C"/>
    <w:rsid w:val="008160AF"/>
    <w:rsid w:val="00816775"/>
    <w:rsid w:val="008167DC"/>
    <w:rsid w:val="00816E4E"/>
    <w:rsid w:val="00817E29"/>
    <w:rsid w:val="00817F34"/>
    <w:rsid w:val="00820249"/>
    <w:rsid w:val="008202A0"/>
    <w:rsid w:val="00821000"/>
    <w:rsid w:val="00821133"/>
    <w:rsid w:val="00821237"/>
    <w:rsid w:val="008213FF"/>
    <w:rsid w:val="008218C0"/>
    <w:rsid w:val="00822ED8"/>
    <w:rsid w:val="00823217"/>
    <w:rsid w:val="008235AC"/>
    <w:rsid w:val="00823816"/>
    <w:rsid w:val="00823956"/>
    <w:rsid w:val="00823A29"/>
    <w:rsid w:val="00823CBF"/>
    <w:rsid w:val="00823D86"/>
    <w:rsid w:val="00823FB3"/>
    <w:rsid w:val="00824ED2"/>
    <w:rsid w:val="00825717"/>
    <w:rsid w:val="008257F1"/>
    <w:rsid w:val="00826111"/>
    <w:rsid w:val="008262EA"/>
    <w:rsid w:val="008265ED"/>
    <w:rsid w:val="0082744A"/>
    <w:rsid w:val="0083011A"/>
    <w:rsid w:val="008307B4"/>
    <w:rsid w:val="00830D85"/>
    <w:rsid w:val="00831795"/>
    <w:rsid w:val="00832781"/>
    <w:rsid w:val="00832E80"/>
    <w:rsid w:val="00833B38"/>
    <w:rsid w:val="00834217"/>
    <w:rsid w:val="0083441D"/>
    <w:rsid w:val="00834A52"/>
    <w:rsid w:val="0083572C"/>
    <w:rsid w:val="00835911"/>
    <w:rsid w:val="0083628A"/>
    <w:rsid w:val="00836FF1"/>
    <w:rsid w:val="0083760B"/>
    <w:rsid w:val="008404B4"/>
    <w:rsid w:val="008405D1"/>
    <w:rsid w:val="00840867"/>
    <w:rsid w:val="0084091B"/>
    <w:rsid w:val="00840A38"/>
    <w:rsid w:val="0084142F"/>
    <w:rsid w:val="008423B5"/>
    <w:rsid w:val="0084289D"/>
    <w:rsid w:val="008434CA"/>
    <w:rsid w:val="008435B0"/>
    <w:rsid w:val="0084429C"/>
    <w:rsid w:val="008447A6"/>
    <w:rsid w:val="0084502B"/>
    <w:rsid w:val="008459DC"/>
    <w:rsid w:val="00845B84"/>
    <w:rsid w:val="00845C6B"/>
    <w:rsid w:val="00846421"/>
    <w:rsid w:val="00846541"/>
    <w:rsid w:val="00846A28"/>
    <w:rsid w:val="00847E70"/>
    <w:rsid w:val="0085091D"/>
    <w:rsid w:val="00850C9F"/>
    <w:rsid w:val="00851B11"/>
    <w:rsid w:val="00851EE1"/>
    <w:rsid w:val="00852665"/>
    <w:rsid w:val="00852CBA"/>
    <w:rsid w:val="00852F4A"/>
    <w:rsid w:val="00853210"/>
    <w:rsid w:val="00854727"/>
    <w:rsid w:val="00855081"/>
    <w:rsid w:val="008566CE"/>
    <w:rsid w:val="008571CF"/>
    <w:rsid w:val="00860065"/>
    <w:rsid w:val="00860758"/>
    <w:rsid w:val="0086142D"/>
    <w:rsid w:val="0086187F"/>
    <w:rsid w:val="0086225A"/>
    <w:rsid w:val="00862FB9"/>
    <w:rsid w:val="00863669"/>
    <w:rsid w:val="00863799"/>
    <w:rsid w:val="00863E34"/>
    <w:rsid w:val="00864D7D"/>
    <w:rsid w:val="00866766"/>
    <w:rsid w:val="00866AF4"/>
    <w:rsid w:val="008674BD"/>
    <w:rsid w:val="00867A9E"/>
    <w:rsid w:val="0087148A"/>
    <w:rsid w:val="008726DF"/>
    <w:rsid w:val="0087405C"/>
    <w:rsid w:val="00874AA7"/>
    <w:rsid w:val="00874DAB"/>
    <w:rsid w:val="00874E44"/>
    <w:rsid w:val="008756B7"/>
    <w:rsid w:val="008758BD"/>
    <w:rsid w:val="008759FD"/>
    <w:rsid w:val="00875C15"/>
    <w:rsid w:val="00877291"/>
    <w:rsid w:val="008773F7"/>
    <w:rsid w:val="00877FB5"/>
    <w:rsid w:val="00880402"/>
    <w:rsid w:val="0088047B"/>
    <w:rsid w:val="008809D0"/>
    <w:rsid w:val="00881080"/>
    <w:rsid w:val="008815E7"/>
    <w:rsid w:val="00881A47"/>
    <w:rsid w:val="00881D83"/>
    <w:rsid w:val="0088278F"/>
    <w:rsid w:val="00883683"/>
    <w:rsid w:val="0088373B"/>
    <w:rsid w:val="00884D6D"/>
    <w:rsid w:val="008854D1"/>
    <w:rsid w:val="00885663"/>
    <w:rsid w:val="00885D6D"/>
    <w:rsid w:val="008876E6"/>
    <w:rsid w:val="00887A9A"/>
    <w:rsid w:val="008909E4"/>
    <w:rsid w:val="00891C96"/>
    <w:rsid w:val="00893212"/>
    <w:rsid w:val="00893653"/>
    <w:rsid w:val="0089493D"/>
    <w:rsid w:val="00894CEE"/>
    <w:rsid w:val="0089561C"/>
    <w:rsid w:val="00895712"/>
    <w:rsid w:val="00896042"/>
    <w:rsid w:val="00896BA5"/>
    <w:rsid w:val="00896CCD"/>
    <w:rsid w:val="00896EE2"/>
    <w:rsid w:val="0089700A"/>
    <w:rsid w:val="00897028"/>
    <w:rsid w:val="008973DD"/>
    <w:rsid w:val="008A0564"/>
    <w:rsid w:val="008A0A8F"/>
    <w:rsid w:val="008A14FB"/>
    <w:rsid w:val="008A184A"/>
    <w:rsid w:val="008A1B17"/>
    <w:rsid w:val="008A1FF2"/>
    <w:rsid w:val="008A2157"/>
    <w:rsid w:val="008A29EF"/>
    <w:rsid w:val="008A2C42"/>
    <w:rsid w:val="008A3FD0"/>
    <w:rsid w:val="008A4490"/>
    <w:rsid w:val="008A45AD"/>
    <w:rsid w:val="008A4F4D"/>
    <w:rsid w:val="008A5C6F"/>
    <w:rsid w:val="008A5E1E"/>
    <w:rsid w:val="008A6822"/>
    <w:rsid w:val="008A683D"/>
    <w:rsid w:val="008A6BDB"/>
    <w:rsid w:val="008A6C06"/>
    <w:rsid w:val="008A7274"/>
    <w:rsid w:val="008A7F3B"/>
    <w:rsid w:val="008B0ADD"/>
    <w:rsid w:val="008B1DA1"/>
    <w:rsid w:val="008B2286"/>
    <w:rsid w:val="008B3B85"/>
    <w:rsid w:val="008B40E0"/>
    <w:rsid w:val="008B4AE3"/>
    <w:rsid w:val="008B5D63"/>
    <w:rsid w:val="008B6B8B"/>
    <w:rsid w:val="008B7097"/>
    <w:rsid w:val="008B7294"/>
    <w:rsid w:val="008B79D7"/>
    <w:rsid w:val="008C0313"/>
    <w:rsid w:val="008C036A"/>
    <w:rsid w:val="008C085E"/>
    <w:rsid w:val="008C0868"/>
    <w:rsid w:val="008C177C"/>
    <w:rsid w:val="008C1CD8"/>
    <w:rsid w:val="008C2101"/>
    <w:rsid w:val="008C308E"/>
    <w:rsid w:val="008C32C5"/>
    <w:rsid w:val="008C3E8B"/>
    <w:rsid w:val="008C4868"/>
    <w:rsid w:val="008C4F33"/>
    <w:rsid w:val="008C5162"/>
    <w:rsid w:val="008C6D0E"/>
    <w:rsid w:val="008C71A1"/>
    <w:rsid w:val="008C7939"/>
    <w:rsid w:val="008D1019"/>
    <w:rsid w:val="008D10D7"/>
    <w:rsid w:val="008D11B0"/>
    <w:rsid w:val="008D17FD"/>
    <w:rsid w:val="008D1DA2"/>
    <w:rsid w:val="008D2E08"/>
    <w:rsid w:val="008D3C5C"/>
    <w:rsid w:val="008D4177"/>
    <w:rsid w:val="008D48AE"/>
    <w:rsid w:val="008D4C61"/>
    <w:rsid w:val="008D4C95"/>
    <w:rsid w:val="008D7195"/>
    <w:rsid w:val="008D79FC"/>
    <w:rsid w:val="008E058F"/>
    <w:rsid w:val="008E0694"/>
    <w:rsid w:val="008E0A58"/>
    <w:rsid w:val="008E31FA"/>
    <w:rsid w:val="008E36E7"/>
    <w:rsid w:val="008E3D01"/>
    <w:rsid w:val="008E3E51"/>
    <w:rsid w:val="008E426E"/>
    <w:rsid w:val="008E4D8C"/>
    <w:rsid w:val="008E5921"/>
    <w:rsid w:val="008E6611"/>
    <w:rsid w:val="008E66AA"/>
    <w:rsid w:val="008E69CA"/>
    <w:rsid w:val="008F02B0"/>
    <w:rsid w:val="008F0688"/>
    <w:rsid w:val="008F0939"/>
    <w:rsid w:val="008F123B"/>
    <w:rsid w:val="008F2298"/>
    <w:rsid w:val="008F22B2"/>
    <w:rsid w:val="008F2EE8"/>
    <w:rsid w:val="008F35AC"/>
    <w:rsid w:val="008F43E4"/>
    <w:rsid w:val="008F43F0"/>
    <w:rsid w:val="008F469C"/>
    <w:rsid w:val="008F4BF9"/>
    <w:rsid w:val="008F4FD1"/>
    <w:rsid w:val="008F6183"/>
    <w:rsid w:val="008F6AF5"/>
    <w:rsid w:val="008F6D61"/>
    <w:rsid w:val="008F769A"/>
    <w:rsid w:val="008F789F"/>
    <w:rsid w:val="008F7E84"/>
    <w:rsid w:val="009004C2"/>
    <w:rsid w:val="00901632"/>
    <w:rsid w:val="00902276"/>
    <w:rsid w:val="0090242B"/>
    <w:rsid w:val="00902F64"/>
    <w:rsid w:val="00903B47"/>
    <w:rsid w:val="00904EF3"/>
    <w:rsid w:val="00905EF1"/>
    <w:rsid w:val="009062B3"/>
    <w:rsid w:val="00906D95"/>
    <w:rsid w:val="00906EB4"/>
    <w:rsid w:val="0090738D"/>
    <w:rsid w:val="009074B8"/>
    <w:rsid w:val="00907705"/>
    <w:rsid w:val="00907AFD"/>
    <w:rsid w:val="00907DAC"/>
    <w:rsid w:val="0091041D"/>
    <w:rsid w:val="0091139F"/>
    <w:rsid w:val="009124A8"/>
    <w:rsid w:val="00912BD3"/>
    <w:rsid w:val="00914249"/>
    <w:rsid w:val="00914325"/>
    <w:rsid w:val="009154FD"/>
    <w:rsid w:val="0091561C"/>
    <w:rsid w:val="009163FC"/>
    <w:rsid w:val="009171D8"/>
    <w:rsid w:val="00917792"/>
    <w:rsid w:val="00920550"/>
    <w:rsid w:val="00920C42"/>
    <w:rsid w:val="00920FB1"/>
    <w:rsid w:val="00922795"/>
    <w:rsid w:val="009233F0"/>
    <w:rsid w:val="00923B6B"/>
    <w:rsid w:val="00924D6D"/>
    <w:rsid w:val="00924EE4"/>
    <w:rsid w:val="00925976"/>
    <w:rsid w:val="00925C61"/>
    <w:rsid w:val="00926C0B"/>
    <w:rsid w:val="00930DCA"/>
    <w:rsid w:val="0093154B"/>
    <w:rsid w:val="00932C1C"/>
    <w:rsid w:val="00932C68"/>
    <w:rsid w:val="00932DD8"/>
    <w:rsid w:val="00933032"/>
    <w:rsid w:val="009335CC"/>
    <w:rsid w:val="0093370E"/>
    <w:rsid w:val="00934402"/>
    <w:rsid w:val="009345B3"/>
    <w:rsid w:val="00934E61"/>
    <w:rsid w:val="00934E69"/>
    <w:rsid w:val="0093521C"/>
    <w:rsid w:val="009353BC"/>
    <w:rsid w:val="00936DFF"/>
    <w:rsid w:val="00936F1E"/>
    <w:rsid w:val="009375BA"/>
    <w:rsid w:val="00937852"/>
    <w:rsid w:val="0093786E"/>
    <w:rsid w:val="009401AF"/>
    <w:rsid w:val="00940414"/>
    <w:rsid w:val="009404F5"/>
    <w:rsid w:val="00940CB3"/>
    <w:rsid w:val="00940D88"/>
    <w:rsid w:val="009410AD"/>
    <w:rsid w:val="0094176A"/>
    <w:rsid w:val="009419EF"/>
    <w:rsid w:val="00942D46"/>
    <w:rsid w:val="009446C6"/>
    <w:rsid w:val="0094480F"/>
    <w:rsid w:val="009448A9"/>
    <w:rsid w:val="00945BBE"/>
    <w:rsid w:val="00945D96"/>
    <w:rsid w:val="009464A4"/>
    <w:rsid w:val="00946EE3"/>
    <w:rsid w:val="00947084"/>
    <w:rsid w:val="009473F3"/>
    <w:rsid w:val="009473F6"/>
    <w:rsid w:val="009501FA"/>
    <w:rsid w:val="0095082E"/>
    <w:rsid w:val="00950939"/>
    <w:rsid w:val="00950CDF"/>
    <w:rsid w:val="009517DA"/>
    <w:rsid w:val="009534E0"/>
    <w:rsid w:val="00953ED1"/>
    <w:rsid w:val="00955975"/>
    <w:rsid w:val="00955E82"/>
    <w:rsid w:val="009563F2"/>
    <w:rsid w:val="00960332"/>
    <w:rsid w:val="009607B6"/>
    <w:rsid w:val="0096091B"/>
    <w:rsid w:val="00960DDC"/>
    <w:rsid w:val="009616C0"/>
    <w:rsid w:val="009622AD"/>
    <w:rsid w:val="009630A0"/>
    <w:rsid w:val="0096319A"/>
    <w:rsid w:val="00963A00"/>
    <w:rsid w:val="00963D02"/>
    <w:rsid w:val="00965330"/>
    <w:rsid w:val="009653A5"/>
    <w:rsid w:val="00965772"/>
    <w:rsid w:val="00965AC9"/>
    <w:rsid w:val="009666ED"/>
    <w:rsid w:val="00966747"/>
    <w:rsid w:val="009671FC"/>
    <w:rsid w:val="0097058C"/>
    <w:rsid w:val="00970B79"/>
    <w:rsid w:val="0097121F"/>
    <w:rsid w:val="009729A1"/>
    <w:rsid w:val="00973641"/>
    <w:rsid w:val="00973A8D"/>
    <w:rsid w:val="00973EAD"/>
    <w:rsid w:val="00974731"/>
    <w:rsid w:val="009749E1"/>
    <w:rsid w:val="00975B2B"/>
    <w:rsid w:val="00976090"/>
    <w:rsid w:val="009768E4"/>
    <w:rsid w:val="00976986"/>
    <w:rsid w:val="00976F18"/>
    <w:rsid w:val="00977616"/>
    <w:rsid w:val="00980269"/>
    <w:rsid w:val="0098223D"/>
    <w:rsid w:val="0098242E"/>
    <w:rsid w:val="00982882"/>
    <w:rsid w:val="00982DB2"/>
    <w:rsid w:val="00983935"/>
    <w:rsid w:val="00984DC9"/>
    <w:rsid w:val="009857BB"/>
    <w:rsid w:val="0098589E"/>
    <w:rsid w:val="00985A12"/>
    <w:rsid w:val="00985CB9"/>
    <w:rsid w:val="00986003"/>
    <w:rsid w:val="0098610E"/>
    <w:rsid w:val="00986187"/>
    <w:rsid w:val="00986CD5"/>
    <w:rsid w:val="00987004"/>
    <w:rsid w:val="009872D3"/>
    <w:rsid w:val="00987E6E"/>
    <w:rsid w:val="00987EFB"/>
    <w:rsid w:val="009901CB"/>
    <w:rsid w:val="00990698"/>
    <w:rsid w:val="0099155C"/>
    <w:rsid w:val="00991E11"/>
    <w:rsid w:val="0099223D"/>
    <w:rsid w:val="009936F3"/>
    <w:rsid w:val="009937EA"/>
    <w:rsid w:val="009949D2"/>
    <w:rsid w:val="0099507E"/>
    <w:rsid w:val="00995147"/>
    <w:rsid w:val="00995CCD"/>
    <w:rsid w:val="00996748"/>
    <w:rsid w:val="009A0235"/>
    <w:rsid w:val="009A0A34"/>
    <w:rsid w:val="009A1489"/>
    <w:rsid w:val="009A1BCB"/>
    <w:rsid w:val="009A2575"/>
    <w:rsid w:val="009A4AD2"/>
    <w:rsid w:val="009A5B62"/>
    <w:rsid w:val="009A69FE"/>
    <w:rsid w:val="009A72C4"/>
    <w:rsid w:val="009A7701"/>
    <w:rsid w:val="009A7BB5"/>
    <w:rsid w:val="009B0C61"/>
    <w:rsid w:val="009B2B80"/>
    <w:rsid w:val="009B2C5B"/>
    <w:rsid w:val="009B2C6D"/>
    <w:rsid w:val="009B31AF"/>
    <w:rsid w:val="009B34EA"/>
    <w:rsid w:val="009B3A23"/>
    <w:rsid w:val="009B3B4C"/>
    <w:rsid w:val="009B3DC4"/>
    <w:rsid w:val="009B5462"/>
    <w:rsid w:val="009B5F4F"/>
    <w:rsid w:val="009B6693"/>
    <w:rsid w:val="009B687C"/>
    <w:rsid w:val="009B6D4E"/>
    <w:rsid w:val="009B71E9"/>
    <w:rsid w:val="009C0458"/>
    <w:rsid w:val="009C1424"/>
    <w:rsid w:val="009C1CCD"/>
    <w:rsid w:val="009C220C"/>
    <w:rsid w:val="009C4308"/>
    <w:rsid w:val="009C43B4"/>
    <w:rsid w:val="009C447B"/>
    <w:rsid w:val="009C448E"/>
    <w:rsid w:val="009C44AB"/>
    <w:rsid w:val="009C5DD4"/>
    <w:rsid w:val="009C72B5"/>
    <w:rsid w:val="009C743A"/>
    <w:rsid w:val="009C7A72"/>
    <w:rsid w:val="009D06A6"/>
    <w:rsid w:val="009D0B41"/>
    <w:rsid w:val="009D1F96"/>
    <w:rsid w:val="009D22AA"/>
    <w:rsid w:val="009D3304"/>
    <w:rsid w:val="009D339F"/>
    <w:rsid w:val="009D3BC3"/>
    <w:rsid w:val="009D48CF"/>
    <w:rsid w:val="009D60EB"/>
    <w:rsid w:val="009D67A6"/>
    <w:rsid w:val="009D680F"/>
    <w:rsid w:val="009D6956"/>
    <w:rsid w:val="009D6ABE"/>
    <w:rsid w:val="009E1397"/>
    <w:rsid w:val="009E19D0"/>
    <w:rsid w:val="009E3547"/>
    <w:rsid w:val="009E394C"/>
    <w:rsid w:val="009E5048"/>
    <w:rsid w:val="009E5A13"/>
    <w:rsid w:val="009E5F0B"/>
    <w:rsid w:val="009E6AAC"/>
    <w:rsid w:val="009E6B50"/>
    <w:rsid w:val="009E7499"/>
    <w:rsid w:val="009E74C0"/>
    <w:rsid w:val="009E7785"/>
    <w:rsid w:val="009E7EC1"/>
    <w:rsid w:val="009F0610"/>
    <w:rsid w:val="009F160A"/>
    <w:rsid w:val="009F18EF"/>
    <w:rsid w:val="009F1A6C"/>
    <w:rsid w:val="009F32BA"/>
    <w:rsid w:val="009F3983"/>
    <w:rsid w:val="009F3D52"/>
    <w:rsid w:val="009F413D"/>
    <w:rsid w:val="009F4D8F"/>
    <w:rsid w:val="009F4E13"/>
    <w:rsid w:val="009F5283"/>
    <w:rsid w:val="009F769C"/>
    <w:rsid w:val="009F7C2C"/>
    <w:rsid w:val="00A0072D"/>
    <w:rsid w:val="00A0160A"/>
    <w:rsid w:val="00A023B8"/>
    <w:rsid w:val="00A02599"/>
    <w:rsid w:val="00A0271F"/>
    <w:rsid w:val="00A02872"/>
    <w:rsid w:val="00A02E64"/>
    <w:rsid w:val="00A03484"/>
    <w:rsid w:val="00A036FF"/>
    <w:rsid w:val="00A05024"/>
    <w:rsid w:val="00A053A9"/>
    <w:rsid w:val="00A057D0"/>
    <w:rsid w:val="00A05B94"/>
    <w:rsid w:val="00A060DE"/>
    <w:rsid w:val="00A06E0A"/>
    <w:rsid w:val="00A07BB0"/>
    <w:rsid w:val="00A1056B"/>
    <w:rsid w:val="00A10C25"/>
    <w:rsid w:val="00A117FB"/>
    <w:rsid w:val="00A1316A"/>
    <w:rsid w:val="00A14B6D"/>
    <w:rsid w:val="00A14DED"/>
    <w:rsid w:val="00A15CA2"/>
    <w:rsid w:val="00A17981"/>
    <w:rsid w:val="00A17A36"/>
    <w:rsid w:val="00A20D50"/>
    <w:rsid w:val="00A21FFE"/>
    <w:rsid w:val="00A22900"/>
    <w:rsid w:val="00A22C33"/>
    <w:rsid w:val="00A23C44"/>
    <w:rsid w:val="00A24835"/>
    <w:rsid w:val="00A253B5"/>
    <w:rsid w:val="00A25611"/>
    <w:rsid w:val="00A25996"/>
    <w:rsid w:val="00A25DEF"/>
    <w:rsid w:val="00A265CC"/>
    <w:rsid w:val="00A279FC"/>
    <w:rsid w:val="00A3002E"/>
    <w:rsid w:val="00A30590"/>
    <w:rsid w:val="00A31E30"/>
    <w:rsid w:val="00A32356"/>
    <w:rsid w:val="00A32CEF"/>
    <w:rsid w:val="00A33482"/>
    <w:rsid w:val="00A33A6D"/>
    <w:rsid w:val="00A34B3C"/>
    <w:rsid w:val="00A35F66"/>
    <w:rsid w:val="00A360B1"/>
    <w:rsid w:val="00A36940"/>
    <w:rsid w:val="00A376BE"/>
    <w:rsid w:val="00A37F3B"/>
    <w:rsid w:val="00A40ED4"/>
    <w:rsid w:val="00A4141A"/>
    <w:rsid w:val="00A41F50"/>
    <w:rsid w:val="00A42868"/>
    <w:rsid w:val="00A42A27"/>
    <w:rsid w:val="00A43058"/>
    <w:rsid w:val="00A433D4"/>
    <w:rsid w:val="00A4363C"/>
    <w:rsid w:val="00A43E78"/>
    <w:rsid w:val="00A43E7B"/>
    <w:rsid w:val="00A44A6B"/>
    <w:rsid w:val="00A451EE"/>
    <w:rsid w:val="00A451F5"/>
    <w:rsid w:val="00A4541F"/>
    <w:rsid w:val="00A45596"/>
    <w:rsid w:val="00A461A1"/>
    <w:rsid w:val="00A461A2"/>
    <w:rsid w:val="00A46D28"/>
    <w:rsid w:val="00A47AA2"/>
    <w:rsid w:val="00A47D2D"/>
    <w:rsid w:val="00A47D3B"/>
    <w:rsid w:val="00A5106B"/>
    <w:rsid w:val="00A522C9"/>
    <w:rsid w:val="00A54896"/>
    <w:rsid w:val="00A54BF6"/>
    <w:rsid w:val="00A55646"/>
    <w:rsid w:val="00A55F9D"/>
    <w:rsid w:val="00A56088"/>
    <w:rsid w:val="00A568F8"/>
    <w:rsid w:val="00A574B3"/>
    <w:rsid w:val="00A5766B"/>
    <w:rsid w:val="00A57D5A"/>
    <w:rsid w:val="00A60619"/>
    <w:rsid w:val="00A60CCF"/>
    <w:rsid w:val="00A60F2B"/>
    <w:rsid w:val="00A61822"/>
    <w:rsid w:val="00A61CB1"/>
    <w:rsid w:val="00A624E0"/>
    <w:rsid w:val="00A6255A"/>
    <w:rsid w:val="00A62868"/>
    <w:rsid w:val="00A62F94"/>
    <w:rsid w:val="00A63075"/>
    <w:rsid w:val="00A63843"/>
    <w:rsid w:val="00A64137"/>
    <w:rsid w:val="00A64C5F"/>
    <w:rsid w:val="00A64CC8"/>
    <w:rsid w:val="00A65F2D"/>
    <w:rsid w:val="00A65F64"/>
    <w:rsid w:val="00A6613D"/>
    <w:rsid w:val="00A66542"/>
    <w:rsid w:val="00A66DB9"/>
    <w:rsid w:val="00A6717D"/>
    <w:rsid w:val="00A677B1"/>
    <w:rsid w:val="00A6796A"/>
    <w:rsid w:val="00A7107C"/>
    <w:rsid w:val="00A71DE3"/>
    <w:rsid w:val="00A73110"/>
    <w:rsid w:val="00A73841"/>
    <w:rsid w:val="00A744D2"/>
    <w:rsid w:val="00A7530B"/>
    <w:rsid w:val="00A75994"/>
    <w:rsid w:val="00A765A4"/>
    <w:rsid w:val="00A766A0"/>
    <w:rsid w:val="00A77FE3"/>
    <w:rsid w:val="00A817C9"/>
    <w:rsid w:val="00A81A67"/>
    <w:rsid w:val="00A81C27"/>
    <w:rsid w:val="00A82973"/>
    <w:rsid w:val="00A82E85"/>
    <w:rsid w:val="00A83EBC"/>
    <w:rsid w:val="00A84DED"/>
    <w:rsid w:val="00A854A8"/>
    <w:rsid w:val="00A854AB"/>
    <w:rsid w:val="00A85D0F"/>
    <w:rsid w:val="00A8697E"/>
    <w:rsid w:val="00A872D3"/>
    <w:rsid w:val="00A874AF"/>
    <w:rsid w:val="00A879B5"/>
    <w:rsid w:val="00A90BC0"/>
    <w:rsid w:val="00A91CF3"/>
    <w:rsid w:val="00A936D3"/>
    <w:rsid w:val="00A94128"/>
    <w:rsid w:val="00A946A1"/>
    <w:rsid w:val="00A94A19"/>
    <w:rsid w:val="00A94EB8"/>
    <w:rsid w:val="00A95C93"/>
    <w:rsid w:val="00A968B4"/>
    <w:rsid w:val="00A96C50"/>
    <w:rsid w:val="00A97A10"/>
    <w:rsid w:val="00A97C49"/>
    <w:rsid w:val="00A97DBD"/>
    <w:rsid w:val="00AA00F0"/>
    <w:rsid w:val="00AA12A3"/>
    <w:rsid w:val="00AA287C"/>
    <w:rsid w:val="00AA3091"/>
    <w:rsid w:val="00AA36BD"/>
    <w:rsid w:val="00AB07FF"/>
    <w:rsid w:val="00AB0DE3"/>
    <w:rsid w:val="00AB0F12"/>
    <w:rsid w:val="00AB17A7"/>
    <w:rsid w:val="00AB1E37"/>
    <w:rsid w:val="00AB20EC"/>
    <w:rsid w:val="00AB2A32"/>
    <w:rsid w:val="00AB4039"/>
    <w:rsid w:val="00AB4379"/>
    <w:rsid w:val="00AB4CDA"/>
    <w:rsid w:val="00AB4D8A"/>
    <w:rsid w:val="00AB4DCC"/>
    <w:rsid w:val="00AB5065"/>
    <w:rsid w:val="00AB66A1"/>
    <w:rsid w:val="00AB68B1"/>
    <w:rsid w:val="00AB7473"/>
    <w:rsid w:val="00AC13FE"/>
    <w:rsid w:val="00AC1428"/>
    <w:rsid w:val="00AC1949"/>
    <w:rsid w:val="00AC19BB"/>
    <w:rsid w:val="00AC2616"/>
    <w:rsid w:val="00AC3631"/>
    <w:rsid w:val="00AC38DA"/>
    <w:rsid w:val="00AC3A8B"/>
    <w:rsid w:val="00AC3EC3"/>
    <w:rsid w:val="00AC465B"/>
    <w:rsid w:val="00AC6994"/>
    <w:rsid w:val="00AC6DED"/>
    <w:rsid w:val="00AC6FFC"/>
    <w:rsid w:val="00AC7462"/>
    <w:rsid w:val="00AC7813"/>
    <w:rsid w:val="00AC7F2B"/>
    <w:rsid w:val="00AD0069"/>
    <w:rsid w:val="00AD00A7"/>
    <w:rsid w:val="00AD0112"/>
    <w:rsid w:val="00AD070C"/>
    <w:rsid w:val="00AD11E4"/>
    <w:rsid w:val="00AD1B2D"/>
    <w:rsid w:val="00AD1B4E"/>
    <w:rsid w:val="00AD2371"/>
    <w:rsid w:val="00AD3EB4"/>
    <w:rsid w:val="00AD41EC"/>
    <w:rsid w:val="00AD46FE"/>
    <w:rsid w:val="00AD4BCE"/>
    <w:rsid w:val="00AD5566"/>
    <w:rsid w:val="00AD571A"/>
    <w:rsid w:val="00AD7027"/>
    <w:rsid w:val="00AD71A3"/>
    <w:rsid w:val="00AD721F"/>
    <w:rsid w:val="00AE01BA"/>
    <w:rsid w:val="00AE04AB"/>
    <w:rsid w:val="00AE1387"/>
    <w:rsid w:val="00AE1990"/>
    <w:rsid w:val="00AE25A9"/>
    <w:rsid w:val="00AE5D8B"/>
    <w:rsid w:val="00AE5E00"/>
    <w:rsid w:val="00AE6B4E"/>
    <w:rsid w:val="00AE746E"/>
    <w:rsid w:val="00AE77B2"/>
    <w:rsid w:val="00AE7F70"/>
    <w:rsid w:val="00AF00D8"/>
    <w:rsid w:val="00AF0430"/>
    <w:rsid w:val="00AF0D40"/>
    <w:rsid w:val="00AF158E"/>
    <w:rsid w:val="00AF1AE7"/>
    <w:rsid w:val="00AF273D"/>
    <w:rsid w:val="00AF2AFE"/>
    <w:rsid w:val="00AF35E1"/>
    <w:rsid w:val="00AF3ABF"/>
    <w:rsid w:val="00AF3C96"/>
    <w:rsid w:val="00AF4A79"/>
    <w:rsid w:val="00AF4B5F"/>
    <w:rsid w:val="00AF4B88"/>
    <w:rsid w:val="00AF4CEA"/>
    <w:rsid w:val="00AF4F7E"/>
    <w:rsid w:val="00AF512A"/>
    <w:rsid w:val="00AF56E5"/>
    <w:rsid w:val="00AF60AD"/>
    <w:rsid w:val="00AF65DE"/>
    <w:rsid w:val="00AF664F"/>
    <w:rsid w:val="00AF66E0"/>
    <w:rsid w:val="00AF6A84"/>
    <w:rsid w:val="00AF6A92"/>
    <w:rsid w:val="00AF6F3F"/>
    <w:rsid w:val="00AF724B"/>
    <w:rsid w:val="00AF7816"/>
    <w:rsid w:val="00B00008"/>
    <w:rsid w:val="00B00947"/>
    <w:rsid w:val="00B00A84"/>
    <w:rsid w:val="00B00CF5"/>
    <w:rsid w:val="00B0272A"/>
    <w:rsid w:val="00B03434"/>
    <w:rsid w:val="00B03B83"/>
    <w:rsid w:val="00B03F96"/>
    <w:rsid w:val="00B04845"/>
    <w:rsid w:val="00B0499C"/>
    <w:rsid w:val="00B05187"/>
    <w:rsid w:val="00B053F2"/>
    <w:rsid w:val="00B05A10"/>
    <w:rsid w:val="00B06772"/>
    <w:rsid w:val="00B10032"/>
    <w:rsid w:val="00B1143B"/>
    <w:rsid w:val="00B11687"/>
    <w:rsid w:val="00B11F51"/>
    <w:rsid w:val="00B12407"/>
    <w:rsid w:val="00B13602"/>
    <w:rsid w:val="00B13A92"/>
    <w:rsid w:val="00B14E60"/>
    <w:rsid w:val="00B1506C"/>
    <w:rsid w:val="00B158F2"/>
    <w:rsid w:val="00B16D5F"/>
    <w:rsid w:val="00B16E8A"/>
    <w:rsid w:val="00B17F31"/>
    <w:rsid w:val="00B20114"/>
    <w:rsid w:val="00B20B2A"/>
    <w:rsid w:val="00B20E7A"/>
    <w:rsid w:val="00B219D5"/>
    <w:rsid w:val="00B225C9"/>
    <w:rsid w:val="00B225ED"/>
    <w:rsid w:val="00B22AFB"/>
    <w:rsid w:val="00B22FF3"/>
    <w:rsid w:val="00B235CC"/>
    <w:rsid w:val="00B237F3"/>
    <w:rsid w:val="00B2383E"/>
    <w:rsid w:val="00B24905"/>
    <w:rsid w:val="00B24B5F"/>
    <w:rsid w:val="00B25072"/>
    <w:rsid w:val="00B251F5"/>
    <w:rsid w:val="00B25414"/>
    <w:rsid w:val="00B265D6"/>
    <w:rsid w:val="00B26815"/>
    <w:rsid w:val="00B27767"/>
    <w:rsid w:val="00B27E9F"/>
    <w:rsid w:val="00B3084A"/>
    <w:rsid w:val="00B31F89"/>
    <w:rsid w:val="00B32304"/>
    <w:rsid w:val="00B324C6"/>
    <w:rsid w:val="00B32EB8"/>
    <w:rsid w:val="00B3340E"/>
    <w:rsid w:val="00B33ABE"/>
    <w:rsid w:val="00B344EB"/>
    <w:rsid w:val="00B34BCF"/>
    <w:rsid w:val="00B34D02"/>
    <w:rsid w:val="00B34E29"/>
    <w:rsid w:val="00B36E44"/>
    <w:rsid w:val="00B37626"/>
    <w:rsid w:val="00B40284"/>
    <w:rsid w:val="00B402BF"/>
    <w:rsid w:val="00B40723"/>
    <w:rsid w:val="00B41ADB"/>
    <w:rsid w:val="00B42C28"/>
    <w:rsid w:val="00B42DBB"/>
    <w:rsid w:val="00B43476"/>
    <w:rsid w:val="00B4381B"/>
    <w:rsid w:val="00B45141"/>
    <w:rsid w:val="00B4528D"/>
    <w:rsid w:val="00B45636"/>
    <w:rsid w:val="00B47323"/>
    <w:rsid w:val="00B50BBA"/>
    <w:rsid w:val="00B511EE"/>
    <w:rsid w:val="00B51AF1"/>
    <w:rsid w:val="00B521A1"/>
    <w:rsid w:val="00B525DD"/>
    <w:rsid w:val="00B52A9C"/>
    <w:rsid w:val="00B52B22"/>
    <w:rsid w:val="00B53382"/>
    <w:rsid w:val="00B536ED"/>
    <w:rsid w:val="00B53786"/>
    <w:rsid w:val="00B53DEE"/>
    <w:rsid w:val="00B554FA"/>
    <w:rsid w:val="00B55556"/>
    <w:rsid w:val="00B55B6E"/>
    <w:rsid w:val="00B57135"/>
    <w:rsid w:val="00B57704"/>
    <w:rsid w:val="00B60EF1"/>
    <w:rsid w:val="00B612BD"/>
    <w:rsid w:val="00B61B4B"/>
    <w:rsid w:val="00B62BB6"/>
    <w:rsid w:val="00B62F9D"/>
    <w:rsid w:val="00B6361D"/>
    <w:rsid w:val="00B6387E"/>
    <w:rsid w:val="00B63988"/>
    <w:rsid w:val="00B64942"/>
    <w:rsid w:val="00B65684"/>
    <w:rsid w:val="00B6577A"/>
    <w:rsid w:val="00B657EE"/>
    <w:rsid w:val="00B65B20"/>
    <w:rsid w:val="00B66729"/>
    <w:rsid w:val="00B669C6"/>
    <w:rsid w:val="00B702B2"/>
    <w:rsid w:val="00B70AE9"/>
    <w:rsid w:val="00B713AC"/>
    <w:rsid w:val="00B72A0E"/>
    <w:rsid w:val="00B7322C"/>
    <w:rsid w:val="00B73396"/>
    <w:rsid w:val="00B73707"/>
    <w:rsid w:val="00B73B48"/>
    <w:rsid w:val="00B74BD7"/>
    <w:rsid w:val="00B7523E"/>
    <w:rsid w:val="00B7578D"/>
    <w:rsid w:val="00B75E89"/>
    <w:rsid w:val="00B76344"/>
    <w:rsid w:val="00B768FD"/>
    <w:rsid w:val="00B77035"/>
    <w:rsid w:val="00B7706A"/>
    <w:rsid w:val="00B77989"/>
    <w:rsid w:val="00B80333"/>
    <w:rsid w:val="00B804DC"/>
    <w:rsid w:val="00B80B3D"/>
    <w:rsid w:val="00B81224"/>
    <w:rsid w:val="00B82991"/>
    <w:rsid w:val="00B83FCB"/>
    <w:rsid w:val="00B86244"/>
    <w:rsid w:val="00B86582"/>
    <w:rsid w:val="00B86CDD"/>
    <w:rsid w:val="00B87507"/>
    <w:rsid w:val="00B90209"/>
    <w:rsid w:val="00B90793"/>
    <w:rsid w:val="00B9097F"/>
    <w:rsid w:val="00B91921"/>
    <w:rsid w:val="00B91B96"/>
    <w:rsid w:val="00B91D71"/>
    <w:rsid w:val="00B926AA"/>
    <w:rsid w:val="00B92983"/>
    <w:rsid w:val="00B92BA0"/>
    <w:rsid w:val="00B92CCB"/>
    <w:rsid w:val="00B93A39"/>
    <w:rsid w:val="00B948A4"/>
    <w:rsid w:val="00B94CEF"/>
    <w:rsid w:val="00B95302"/>
    <w:rsid w:val="00B95824"/>
    <w:rsid w:val="00B95906"/>
    <w:rsid w:val="00B95D97"/>
    <w:rsid w:val="00B96850"/>
    <w:rsid w:val="00B96E75"/>
    <w:rsid w:val="00B974EB"/>
    <w:rsid w:val="00B977A6"/>
    <w:rsid w:val="00B977AD"/>
    <w:rsid w:val="00B978F8"/>
    <w:rsid w:val="00BA02B4"/>
    <w:rsid w:val="00BA0ECE"/>
    <w:rsid w:val="00BA0ED5"/>
    <w:rsid w:val="00BA0FAB"/>
    <w:rsid w:val="00BA1726"/>
    <w:rsid w:val="00BA222B"/>
    <w:rsid w:val="00BA226E"/>
    <w:rsid w:val="00BA267E"/>
    <w:rsid w:val="00BA2766"/>
    <w:rsid w:val="00BA2CF0"/>
    <w:rsid w:val="00BA2E3B"/>
    <w:rsid w:val="00BA2F69"/>
    <w:rsid w:val="00BA36EB"/>
    <w:rsid w:val="00BA403C"/>
    <w:rsid w:val="00BA417E"/>
    <w:rsid w:val="00BA41B4"/>
    <w:rsid w:val="00BA44B1"/>
    <w:rsid w:val="00BA48E2"/>
    <w:rsid w:val="00BA4975"/>
    <w:rsid w:val="00BA4DB2"/>
    <w:rsid w:val="00BA6F04"/>
    <w:rsid w:val="00BA7144"/>
    <w:rsid w:val="00BA77B3"/>
    <w:rsid w:val="00BB0376"/>
    <w:rsid w:val="00BB044C"/>
    <w:rsid w:val="00BB0902"/>
    <w:rsid w:val="00BB111B"/>
    <w:rsid w:val="00BB300A"/>
    <w:rsid w:val="00BB3242"/>
    <w:rsid w:val="00BB34F2"/>
    <w:rsid w:val="00BB4C4D"/>
    <w:rsid w:val="00BB5463"/>
    <w:rsid w:val="00BB56B1"/>
    <w:rsid w:val="00BB5814"/>
    <w:rsid w:val="00BB597C"/>
    <w:rsid w:val="00BB6921"/>
    <w:rsid w:val="00BC006C"/>
    <w:rsid w:val="00BC02E4"/>
    <w:rsid w:val="00BC0A5C"/>
    <w:rsid w:val="00BC19BE"/>
    <w:rsid w:val="00BC1F65"/>
    <w:rsid w:val="00BC2296"/>
    <w:rsid w:val="00BC3028"/>
    <w:rsid w:val="00BC4220"/>
    <w:rsid w:val="00BC5338"/>
    <w:rsid w:val="00BC5681"/>
    <w:rsid w:val="00BC60E1"/>
    <w:rsid w:val="00BC731A"/>
    <w:rsid w:val="00BC7A94"/>
    <w:rsid w:val="00BC7BE7"/>
    <w:rsid w:val="00BC7C1E"/>
    <w:rsid w:val="00BD0D2E"/>
    <w:rsid w:val="00BD21BD"/>
    <w:rsid w:val="00BD2530"/>
    <w:rsid w:val="00BD2B58"/>
    <w:rsid w:val="00BD38DC"/>
    <w:rsid w:val="00BD40AC"/>
    <w:rsid w:val="00BD45AF"/>
    <w:rsid w:val="00BD4BCD"/>
    <w:rsid w:val="00BD550C"/>
    <w:rsid w:val="00BD5C81"/>
    <w:rsid w:val="00BD60CA"/>
    <w:rsid w:val="00BD6484"/>
    <w:rsid w:val="00BD677C"/>
    <w:rsid w:val="00BD6CB4"/>
    <w:rsid w:val="00BD75D0"/>
    <w:rsid w:val="00BD79E3"/>
    <w:rsid w:val="00BE0608"/>
    <w:rsid w:val="00BE062F"/>
    <w:rsid w:val="00BE0A99"/>
    <w:rsid w:val="00BE0B24"/>
    <w:rsid w:val="00BE25A6"/>
    <w:rsid w:val="00BE2EF7"/>
    <w:rsid w:val="00BE3FCF"/>
    <w:rsid w:val="00BE4D91"/>
    <w:rsid w:val="00BE567E"/>
    <w:rsid w:val="00BF0587"/>
    <w:rsid w:val="00BF0995"/>
    <w:rsid w:val="00BF0E39"/>
    <w:rsid w:val="00BF3B3B"/>
    <w:rsid w:val="00BF4297"/>
    <w:rsid w:val="00BF5258"/>
    <w:rsid w:val="00BF53C0"/>
    <w:rsid w:val="00BF5E47"/>
    <w:rsid w:val="00BF6285"/>
    <w:rsid w:val="00BF691F"/>
    <w:rsid w:val="00BF7046"/>
    <w:rsid w:val="00BF7206"/>
    <w:rsid w:val="00BF7339"/>
    <w:rsid w:val="00BF7478"/>
    <w:rsid w:val="00C0328F"/>
    <w:rsid w:val="00C032E6"/>
    <w:rsid w:val="00C04A3C"/>
    <w:rsid w:val="00C04E67"/>
    <w:rsid w:val="00C05566"/>
    <w:rsid w:val="00C05F16"/>
    <w:rsid w:val="00C05FBD"/>
    <w:rsid w:val="00C07477"/>
    <w:rsid w:val="00C10C40"/>
    <w:rsid w:val="00C112F8"/>
    <w:rsid w:val="00C11C31"/>
    <w:rsid w:val="00C11DFA"/>
    <w:rsid w:val="00C12662"/>
    <w:rsid w:val="00C12D51"/>
    <w:rsid w:val="00C13154"/>
    <w:rsid w:val="00C136E6"/>
    <w:rsid w:val="00C13A59"/>
    <w:rsid w:val="00C15840"/>
    <w:rsid w:val="00C16714"/>
    <w:rsid w:val="00C17256"/>
    <w:rsid w:val="00C17C53"/>
    <w:rsid w:val="00C17FB2"/>
    <w:rsid w:val="00C20031"/>
    <w:rsid w:val="00C20ED7"/>
    <w:rsid w:val="00C21D78"/>
    <w:rsid w:val="00C22354"/>
    <w:rsid w:val="00C229C4"/>
    <w:rsid w:val="00C22B61"/>
    <w:rsid w:val="00C22D0F"/>
    <w:rsid w:val="00C239E3"/>
    <w:rsid w:val="00C23CF9"/>
    <w:rsid w:val="00C2434C"/>
    <w:rsid w:val="00C24620"/>
    <w:rsid w:val="00C24A8A"/>
    <w:rsid w:val="00C26209"/>
    <w:rsid w:val="00C2708C"/>
    <w:rsid w:val="00C272CA"/>
    <w:rsid w:val="00C27507"/>
    <w:rsid w:val="00C32ABF"/>
    <w:rsid w:val="00C335F9"/>
    <w:rsid w:val="00C339A7"/>
    <w:rsid w:val="00C3473C"/>
    <w:rsid w:val="00C3482C"/>
    <w:rsid w:val="00C35C59"/>
    <w:rsid w:val="00C35F76"/>
    <w:rsid w:val="00C36631"/>
    <w:rsid w:val="00C372CD"/>
    <w:rsid w:val="00C377E7"/>
    <w:rsid w:val="00C40437"/>
    <w:rsid w:val="00C40B48"/>
    <w:rsid w:val="00C41563"/>
    <w:rsid w:val="00C41C6C"/>
    <w:rsid w:val="00C42C28"/>
    <w:rsid w:val="00C42F28"/>
    <w:rsid w:val="00C4374B"/>
    <w:rsid w:val="00C44809"/>
    <w:rsid w:val="00C44EB6"/>
    <w:rsid w:val="00C467A8"/>
    <w:rsid w:val="00C46BE8"/>
    <w:rsid w:val="00C47A38"/>
    <w:rsid w:val="00C501F8"/>
    <w:rsid w:val="00C50A60"/>
    <w:rsid w:val="00C5174D"/>
    <w:rsid w:val="00C51C09"/>
    <w:rsid w:val="00C51DD1"/>
    <w:rsid w:val="00C520A0"/>
    <w:rsid w:val="00C52B2A"/>
    <w:rsid w:val="00C52EB7"/>
    <w:rsid w:val="00C53047"/>
    <w:rsid w:val="00C536C4"/>
    <w:rsid w:val="00C53757"/>
    <w:rsid w:val="00C53DD7"/>
    <w:rsid w:val="00C54510"/>
    <w:rsid w:val="00C54B43"/>
    <w:rsid w:val="00C55063"/>
    <w:rsid w:val="00C55771"/>
    <w:rsid w:val="00C558F8"/>
    <w:rsid w:val="00C57788"/>
    <w:rsid w:val="00C603CB"/>
    <w:rsid w:val="00C60DF5"/>
    <w:rsid w:val="00C6194C"/>
    <w:rsid w:val="00C619E7"/>
    <w:rsid w:val="00C61E62"/>
    <w:rsid w:val="00C62544"/>
    <w:rsid w:val="00C62C7C"/>
    <w:rsid w:val="00C62D41"/>
    <w:rsid w:val="00C6370A"/>
    <w:rsid w:val="00C63BC8"/>
    <w:rsid w:val="00C645BF"/>
    <w:rsid w:val="00C66AB4"/>
    <w:rsid w:val="00C66AC1"/>
    <w:rsid w:val="00C703C1"/>
    <w:rsid w:val="00C707FA"/>
    <w:rsid w:val="00C70914"/>
    <w:rsid w:val="00C7125B"/>
    <w:rsid w:val="00C71A34"/>
    <w:rsid w:val="00C71D32"/>
    <w:rsid w:val="00C724BA"/>
    <w:rsid w:val="00C72704"/>
    <w:rsid w:val="00C729A9"/>
    <w:rsid w:val="00C72B1A"/>
    <w:rsid w:val="00C742A1"/>
    <w:rsid w:val="00C74800"/>
    <w:rsid w:val="00C7485D"/>
    <w:rsid w:val="00C75109"/>
    <w:rsid w:val="00C7583F"/>
    <w:rsid w:val="00C75C9E"/>
    <w:rsid w:val="00C75F00"/>
    <w:rsid w:val="00C76A64"/>
    <w:rsid w:val="00C77EE1"/>
    <w:rsid w:val="00C80037"/>
    <w:rsid w:val="00C80155"/>
    <w:rsid w:val="00C80792"/>
    <w:rsid w:val="00C8146E"/>
    <w:rsid w:val="00C82DF4"/>
    <w:rsid w:val="00C83AE7"/>
    <w:rsid w:val="00C83B21"/>
    <w:rsid w:val="00C84708"/>
    <w:rsid w:val="00C84771"/>
    <w:rsid w:val="00C84E22"/>
    <w:rsid w:val="00C8610C"/>
    <w:rsid w:val="00C861EC"/>
    <w:rsid w:val="00C86581"/>
    <w:rsid w:val="00C87E2C"/>
    <w:rsid w:val="00C87FC6"/>
    <w:rsid w:val="00C87FFC"/>
    <w:rsid w:val="00C91D26"/>
    <w:rsid w:val="00C92A04"/>
    <w:rsid w:val="00C92CAA"/>
    <w:rsid w:val="00C949FD"/>
    <w:rsid w:val="00C94F94"/>
    <w:rsid w:val="00C95ACC"/>
    <w:rsid w:val="00C95FD2"/>
    <w:rsid w:val="00C967C2"/>
    <w:rsid w:val="00C973A7"/>
    <w:rsid w:val="00CA08EC"/>
    <w:rsid w:val="00CA14ED"/>
    <w:rsid w:val="00CA2323"/>
    <w:rsid w:val="00CA2903"/>
    <w:rsid w:val="00CA42A7"/>
    <w:rsid w:val="00CA45F4"/>
    <w:rsid w:val="00CA4B95"/>
    <w:rsid w:val="00CA4BE2"/>
    <w:rsid w:val="00CA4FD0"/>
    <w:rsid w:val="00CA577D"/>
    <w:rsid w:val="00CA60CF"/>
    <w:rsid w:val="00CA6345"/>
    <w:rsid w:val="00CA664F"/>
    <w:rsid w:val="00CA6DCE"/>
    <w:rsid w:val="00CB0DE4"/>
    <w:rsid w:val="00CB12FD"/>
    <w:rsid w:val="00CB1E3E"/>
    <w:rsid w:val="00CB231F"/>
    <w:rsid w:val="00CB4284"/>
    <w:rsid w:val="00CB4DD4"/>
    <w:rsid w:val="00CB59B7"/>
    <w:rsid w:val="00CB5CB3"/>
    <w:rsid w:val="00CB6756"/>
    <w:rsid w:val="00CB6D72"/>
    <w:rsid w:val="00CB7BF6"/>
    <w:rsid w:val="00CC047F"/>
    <w:rsid w:val="00CC0714"/>
    <w:rsid w:val="00CC0E4D"/>
    <w:rsid w:val="00CC0F15"/>
    <w:rsid w:val="00CC16BB"/>
    <w:rsid w:val="00CC188D"/>
    <w:rsid w:val="00CC2B32"/>
    <w:rsid w:val="00CC2FC3"/>
    <w:rsid w:val="00CC4D5E"/>
    <w:rsid w:val="00CC5095"/>
    <w:rsid w:val="00CC5258"/>
    <w:rsid w:val="00CC56CD"/>
    <w:rsid w:val="00CC63A5"/>
    <w:rsid w:val="00CC6BF8"/>
    <w:rsid w:val="00CC6F8C"/>
    <w:rsid w:val="00CC7025"/>
    <w:rsid w:val="00CC7811"/>
    <w:rsid w:val="00CC7EF5"/>
    <w:rsid w:val="00CD0CAC"/>
    <w:rsid w:val="00CD1655"/>
    <w:rsid w:val="00CD2E6B"/>
    <w:rsid w:val="00CD4127"/>
    <w:rsid w:val="00CD44EF"/>
    <w:rsid w:val="00CD5592"/>
    <w:rsid w:val="00CD6397"/>
    <w:rsid w:val="00CD7888"/>
    <w:rsid w:val="00CD7E9B"/>
    <w:rsid w:val="00CE08EF"/>
    <w:rsid w:val="00CE0E18"/>
    <w:rsid w:val="00CE1B14"/>
    <w:rsid w:val="00CE2048"/>
    <w:rsid w:val="00CE2421"/>
    <w:rsid w:val="00CE2940"/>
    <w:rsid w:val="00CE3DCD"/>
    <w:rsid w:val="00CE3FFD"/>
    <w:rsid w:val="00CE4190"/>
    <w:rsid w:val="00CE504A"/>
    <w:rsid w:val="00CE5D0E"/>
    <w:rsid w:val="00CF01FD"/>
    <w:rsid w:val="00CF023C"/>
    <w:rsid w:val="00CF0D75"/>
    <w:rsid w:val="00CF1656"/>
    <w:rsid w:val="00CF1901"/>
    <w:rsid w:val="00CF25E2"/>
    <w:rsid w:val="00CF3B5D"/>
    <w:rsid w:val="00CF48DE"/>
    <w:rsid w:val="00CF4F8B"/>
    <w:rsid w:val="00CF53CF"/>
    <w:rsid w:val="00CF6905"/>
    <w:rsid w:val="00CF6E9D"/>
    <w:rsid w:val="00CF7349"/>
    <w:rsid w:val="00CF773A"/>
    <w:rsid w:val="00CF7B1E"/>
    <w:rsid w:val="00D00CFF"/>
    <w:rsid w:val="00D00F18"/>
    <w:rsid w:val="00D013CB"/>
    <w:rsid w:val="00D04AE9"/>
    <w:rsid w:val="00D04E0D"/>
    <w:rsid w:val="00D05027"/>
    <w:rsid w:val="00D0520E"/>
    <w:rsid w:val="00D05B71"/>
    <w:rsid w:val="00D05C15"/>
    <w:rsid w:val="00D06295"/>
    <w:rsid w:val="00D07018"/>
    <w:rsid w:val="00D10D39"/>
    <w:rsid w:val="00D123EC"/>
    <w:rsid w:val="00D1312E"/>
    <w:rsid w:val="00D13482"/>
    <w:rsid w:val="00D14FCB"/>
    <w:rsid w:val="00D15CF4"/>
    <w:rsid w:val="00D15D55"/>
    <w:rsid w:val="00D16178"/>
    <w:rsid w:val="00D16D38"/>
    <w:rsid w:val="00D1717A"/>
    <w:rsid w:val="00D17970"/>
    <w:rsid w:val="00D205B2"/>
    <w:rsid w:val="00D2090A"/>
    <w:rsid w:val="00D20DA3"/>
    <w:rsid w:val="00D21085"/>
    <w:rsid w:val="00D21336"/>
    <w:rsid w:val="00D22C5D"/>
    <w:rsid w:val="00D2348F"/>
    <w:rsid w:val="00D2391D"/>
    <w:rsid w:val="00D23A1A"/>
    <w:rsid w:val="00D23CF6"/>
    <w:rsid w:val="00D23D05"/>
    <w:rsid w:val="00D23EE8"/>
    <w:rsid w:val="00D27842"/>
    <w:rsid w:val="00D30AC5"/>
    <w:rsid w:val="00D30B6E"/>
    <w:rsid w:val="00D313F3"/>
    <w:rsid w:val="00D314FC"/>
    <w:rsid w:val="00D327F4"/>
    <w:rsid w:val="00D32F78"/>
    <w:rsid w:val="00D33376"/>
    <w:rsid w:val="00D33481"/>
    <w:rsid w:val="00D33ACE"/>
    <w:rsid w:val="00D33AEF"/>
    <w:rsid w:val="00D33B23"/>
    <w:rsid w:val="00D3474A"/>
    <w:rsid w:val="00D3631F"/>
    <w:rsid w:val="00D36B9A"/>
    <w:rsid w:val="00D37157"/>
    <w:rsid w:val="00D378AB"/>
    <w:rsid w:val="00D378C4"/>
    <w:rsid w:val="00D419C4"/>
    <w:rsid w:val="00D42238"/>
    <w:rsid w:val="00D424B9"/>
    <w:rsid w:val="00D42B3F"/>
    <w:rsid w:val="00D4397E"/>
    <w:rsid w:val="00D43D16"/>
    <w:rsid w:val="00D45035"/>
    <w:rsid w:val="00D468A5"/>
    <w:rsid w:val="00D474C7"/>
    <w:rsid w:val="00D47C89"/>
    <w:rsid w:val="00D5009F"/>
    <w:rsid w:val="00D51129"/>
    <w:rsid w:val="00D514FF"/>
    <w:rsid w:val="00D516CF"/>
    <w:rsid w:val="00D52127"/>
    <w:rsid w:val="00D525F6"/>
    <w:rsid w:val="00D528D5"/>
    <w:rsid w:val="00D52CB6"/>
    <w:rsid w:val="00D52D4C"/>
    <w:rsid w:val="00D53283"/>
    <w:rsid w:val="00D53752"/>
    <w:rsid w:val="00D5427C"/>
    <w:rsid w:val="00D54333"/>
    <w:rsid w:val="00D546A2"/>
    <w:rsid w:val="00D547AF"/>
    <w:rsid w:val="00D54AEE"/>
    <w:rsid w:val="00D54E32"/>
    <w:rsid w:val="00D553B5"/>
    <w:rsid w:val="00D55BB4"/>
    <w:rsid w:val="00D56647"/>
    <w:rsid w:val="00D56F31"/>
    <w:rsid w:val="00D57123"/>
    <w:rsid w:val="00D603E9"/>
    <w:rsid w:val="00D60640"/>
    <w:rsid w:val="00D62315"/>
    <w:rsid w:val="00D623DE"/>
    <w:rsid w:val="00D62E47"/>
    <w:rsid w:val="00D642E5"/>
    <w:rsid w:val="00D64CA1"/>
    <w:rsid w:val="00D65CB4"/>
    <w:rsid w:val="00D65DDC"/>
    <w:rsid w:val="00D669FD"/>
    <w:rsid w:val="00D66EC9"/>
    <w:rsid w:val="00D674EB"/>
    <w:rsid w:val="00D70323"/>
    <w:rsid w:val="00D711A9"/>
    <w:rsid w:val="00D722CE"/>
    <w:rsid w:val="00D726ED"/>
    <w:rsid w:val="00D72D1A"/>
    <w:rsid w:val="00D732B9"/>
    <w:rsid w:val="00D7338C"/>
    <w:rsid w:val="00D73803"/>
    <w:rsid w:val="00D74249"/>
    <w:rsid w:val="00D74F00"/>
    <w:rsid w:val="00D7526C"/>
    <w:rsid w:val="00D76E42"/>
    <w:rsid w:val="00D77756"/>
    <w:rsid w:val="00D80ACC"/>
    <w:rsid w:val="00D8118E"/>
    <w:rsid w:val="00D813A8"/>
    <w:rsid w:val="00D81A52"/>
    <w:rsid w:val="00D81FFA"/>
    <w:rsid w:val="00D827FF"/>
    <w:rsid w:val="00D82813"/>
    <w:rsid w:val="00D84043"/>
    <w:rsid w:val="00D84225"/>
    <w:rsid w:val="00D84322"/>
    <w:rsid w:val="00D847CE"/>
    <w:rsid w:val="00D85581"/>
    <w:rsid w:val="00D85723"/>
    <w:rsid w:val="00D8716F"/>
    <w:rsid w:val="00D92228"/>
    <w:rsid w:val="00D92904"/>
    <w:rsid w:val="00D937F7"/>
    <w:rsid w:val="00D94657"/>
    <w:rsid w:val="00D94965"/>
    <w:rsid w:val="00D94A38"/>
    <w:rsid w:val="00D955F1"/>
    <w:rsid w:val="00D9561E"/>
    <w:rsid w:val="00D95759"/>
    <w:rsid w:val="00D95809"/>
    <w:rsid w:val="00D95EF0"/>
    <w:rsid w:val="00D96860"/>
    <w:rsid w:val="00D96B87"/>
    <w:rsid w:val="00D96BC3"/>
    <w:rsid w:val="00D96D65"/>
    <w:rsid w:val="00D96DCC"/>
    <w:rsid w:val="00D97564"/>
    <w:rsid w:val="00DA0181"/>
    <w:rsid w:val="00DA21DF"/>
    <w:rsid w:val="00DA2C46"/>
    <w:rsid w:val="00DA3109"/>
    <w:rsid w:val="00DA330F"/>
    <w:rsid w:val="00DA3A70"/>
    <w:rsid w:val="00DA6198"/>
    <w:rsid w:val="00DA6AA5"/>
    <w:rsid w:val="00DA717F"/>
    <w:rsid w:val="00DA728A"/>
    <w:rsid w:val="00DB09E9"/>
    <w:rsid w:val="00DB0C08"/>
    <w:rsid w:val="00DB0E38"/>
    <w:rsid w:val="00DB1454"/>
    <w:rsid w:val="00DB1478"/>
    <w:rsid w:val="00DB4244"/>
    <w:rsid w:val="00DB60F0"/>
    <w:rsid w:val="00DB62E7"/>
    <w:rsid w:val="00DB69BA"/>
    <w:rsid w:val="00DB6CCA"/>
    <w:rsid w:val="00DB70F7"/>
    <w:rsid w:val="00DB7136"/>
    <w:rsid w:val="00DB723A"/>
    <w:rsid w:val="00DC03A5"/>
    <w:rsid w:val="00DC07E8"/>
    <w:rsid w:val="00DC08CE"/>
    <w:rsid w:val="00DC0AD4"/>
    <w:rsid w:val="00DC1A3C"/>
    <w:rsid w:val="00DC1CD6"/>
    <w:rsid w:val="00DC1F87"/>
    <w:rsid w:val="00DC2467"/>
    <w:rsid w:val="00DC3077"/>
    <w:rsid w:val="00DC3983"/>
    <w:rsid w:val="00DC50D7"/>
    <w:rsid w:val="00DC5490"/>
    <w:rsid w:val="00DC5CE2"/>
    <w:rsid w:val="00DC5E04"/>
    <w:rsid w:val="00DC5EBF"/>
    <w:rsid w:val="00DC638D"/>
    <w:rsid w:val="00DC6633"/>
    <w:rsid w:val="00DC67F2"/>
    <w:rsid w:val="00DC6AA2"/>
    <w:rsid w:val="00DC6B52"/>
    <w:rsid w:val="00DD030E"/>
    <w:rsid w:val="00DD0CF8"/>
    <w:rsid w:val="00DD1FFF"/>
    <w:rsid w:val="00DD2E90"/>
    <w:rsid w:val="00DD3E22"/>
    <w:rsid w:val="00DD54A1"/>
    <w:rsid w:val="00DD5835"/>
    <w:rsid w:val="00DD592F"/>
    <w:rsid w:val="00DD5967"/>
    <w:rsid w:val="00DD5B33"/>
    <w:rsid w:val="00DD625B"/>
    <w:rsid w:val="00DD7314"/>
    <w:rsid w:val="00DD7438"/>
    <w:rsid w:val="00DD78C7"/>
    <w:rsid w:val="00DE07F8"/>
    <w:rsid w:val="00DE134D"/>
    <w:rsid w:val="00DE1B56"/>
    <w:rsid w:val="00DE3B2B"/>
    <w:rsid w:val="00DE3EEC"/>
    <w:rsid w:val="00DE4253"/>
    <w:rsid w:val="00DE5666"/>
    <w:rsid w:val="00DE5706"/>
    <w:rsid w:val="00DE5FF2"/>
    <w:rsid w:val="00DE6DEE"/>
    <w:rsid w:val="00DE75A0"/>
    <w:rsid w:val="00DE75F8"/>
    <w:rsid w:val="00DF058E"/>
    <w:rsid w:val="00DF05DF"/>
    <w:rsid w:val="00DF0861"/>
    <w:rsid w:val="00DF092D"/>
    <w:rsid w:val="00DF0F9C"/>
    <w:rsid w:val="00DF2277"/>
    <w:rsid w:val="00DF22DF"/>
    <w:rsid w:val="00DF32B6"/>
    <w:rsid w:val="00DF3C24"/>
    <w:rsid w:val="00DF3E9B"/>
    <w:rsid w:val="00DF3FEA"/>
    <w:rsid w:val="00DF5E1E"/>
    <w:rsid w:val="00DF630F"/>
    <w:rsid w:val="00DF6B15"/>
    <w:rsid w:val="00DF7998"/>
    <w:rsid w:val="00E012E4"/>
    <w:rsid w:val="00E01445"/>
    <w:rsid w:val="00E01669"/>
    <w:rsid w:val="00E0178D"/>
    <w:rsid w:val="00E021A1"/>
    <w:rsid w:val="00E046F2"/>
    <w:rsid w:val="00E04B5B"/>
    <w:rsid w:val="00E04F0F"/>
    <w:rsid w:val="00E0571A"/>
    <w:rsid w:val="00E06927"/>
    <w:rsid w:val="00E06958"/>
    <w:rsid w:val="00E0755C"/>
    <w:rsid w:val="00E104D1"/>
    <w:rsid w:val="00E10C40"/>
    <w:rsid w:val="00E121CB"/>
    <w:rsid w:val="00E12FCB"/>
    <w:rsid w:val="00E13834"/>
    <w:rsid w:val="00E148C9"/>
    <w:rsid w:val="00E14A6A"/>
    <w:rsid w:val="00E15F44"/>
    <w:rsid w:val="00E16578"/>
    <w:rsid w:val="00E16769"/>
    <w:rsid w:val="00E17E90"/>
    <w:rsid w:val="00E20A5E"/>
    <w:rsid w:val="00E2252B"/>
    <w:rsid w:val="00E23C35"/>
    <w:rsid w:val="00E242C7"/>
    <w:rsid w:val="00E2486C"/>
    <w:rsid w:val="00E268EB"/>
    <w:rsid w:val="00E27FF1"/>
    <w:rsid w:val="00E304FB"/>
    <w:rsid w:val="00E31805"/>
    <w:rsid w:val="00E32B2F"/>
    <w:rsid w:val="00E33569"/>
    <w:rsid w:val="00E350B4"/>
    <w:rsid w:val="00E36596"/>
    <w:rsid w:val="00E36B4A"/>
    <w:rsid w:val="00E376A4"/>
    <w:rsid w:val="00E378EC"/>
    <w:rsid w:val="00E37E3D"/>
    <w:rsid w:val="00E40168"/>
    <w:rsid w:val="00E40B87"/>
    <w:rsid w:val="00E40EE1"/>
    <w:rsid w:val="00E41627"/>
    <w:rsid w:val="00E41687"/>
    <w:rsid w:val="00E426F7"/>
    <w:rsid w:val="00E428A0"/>
    <w:rsid w:val="00E42AE7"/>
    <w:rsid w:val="00E43618"/>
    <w:rsid w:val="00E437DF"/>
    <w:rsid w:val="00E43B28"/>
    <w:rsid w:val="00E43D0D"/>
    <w:rsid w:val="00E4430F"/>
    <w:rsid w:val="00E44A21"/>
    <w:rsid w:val="00E458B6"/>
    <w:rsid w:val="00E47B7E"/>
    <w:rsid w:val="00E47D9A"/>
    <w:rsid w:val="00E5133B"/>
    <w:rsid w:val="00E51452"/>
    <w:rsid w:val="00E5170B"/>
    <w:rsid w:val="00E52F8F"/>
    <w:rsid w:val="00E5338B"/>
    <w:rsid w:val="00E5341D"/>
    <w:rsid w:val="00E540DA"/>
    <w:rsid w:val="00E54B62"/>
    <w:rsid w:val="00E54E0C"/>
    <w:rsid w:val="00E54F1C"/>
    <w:rsid w:val="00E55CA5"/>
    <w:rsid w:val="00E55D10"/>
    <w:rsid w:val="00E57F9D"/>
    <w:rsid w:val="00E62238"/>
    <w:rsid w:val="00E636E2"/>
    <w:rsid w:val="00E639A3"/>
    <w:rsid w:val="00E64614"/>
    <w:rsid w:val="00E70022"/>
    <w:rsid w:val="00E70B0F"/>
    <w:rsid w:val="00E71F2B"/>
    <w:rsid w:val="00E72127"/>
    <w:rsid w:val="00E72862"/>
    <w:rsid w:val="00E7294C"/>
    <w:rsid w:val="00E73C66"/>
    <w:rsid w:val="00E73D82"/>
    <w:rsid w:val="00E7408D"/>
    <w:rsid w:val="00E7478C"/>
    <w:rsid w:val="00E751E0"/>
    <w:rsid w:val="00E769EA"/>
    <w:rsid w:val="00E811E5"/>
    <w:rsid w:val="00E8151A"/>
    <w:rsid w:val="00E821D7"/>
    <w:rsid w:val="00E825EE"/>
    <w:rsid w:val="00E828FD"/>
    <w:rsid w:val="00E83EF7"/>
    <w:rsid w:val="00E84241"/>
    <w:rsid w:val="00E86DBD"/>
    <w:rsid w:val="00E90B09"/>
    <w:rsid w:val="00E9128F"/>
    <w:rsid w:val="00E924EC"/>
    <w:rsid w:val="00E92CA3"/>
    <w:rsid w:val="00E93363"/>
    <w:rsid w:val="00E934BC"/>
    <w:rsid w:val="00E93A10"/>
    <w:rsid w:val="00E93C64"/>
    <w:rsid w:val="00E93F67"/>
    <w:rsid w:val="00E94425"/>
    <w:rsid w:val="00E94FE9"/>
    <w:rsid w:val="00E95AA9"/>
    <w:rsid w:val="00E95C4F"/>
    <w:rsid w:val="00E971FD"/>
    <w:rsid w:val="00E975F8"/>
    <w:rsid w:val="00E97B15"/>
    <w:rsid w:val="00EA0555"/>
    <w:rsid w:val="00EA176B"/>
    <w:rsid w:val="00EA1B4A"/>
    <w:rsid w:val="00EA1DF5"/>
    <w:rsid w:val="00EA23B8"/>
    <w:rsid w:val="00EA47C0"/>
    <w:rsid w:val="00EA4ECF"/>
    <w:rsid w:val="00EA548C"/>
    <w:rsid w:val="00EA743D"/>
    <w:rsid w:val="00EA77EC"/>
    <w:rsid w:val="00EB00FA"/>
    <w:rsid w:val="00EB0D50"/>
    <w:rsid w:val="00EB133E"/>
    <w:rsid w:val="00EB16D7"/>
    <w:rsid w:val="00EB1B27"/>
    <w:rsid w:val="00EB2A96"/>
    <w:rsid w:val="00EB2E13"/>
    <w:rsid w:val="00EB525B"/>
    <w:rsid w:val="00EB5411"/>
    <w:rsid w:val="00EB7057"/>
    <w:rsid w:val="00EC00EA"/>
    <w:rsid w:val="00EC0F7B"/>
    <w:rsid w:val="00EC1D71"/>
    <w:rsid w:val="00EC26A6"/>
    <w:rsid w:val="00EC2CC3"/>
    <w:rsid w:val="00EC2E1F"/>
    <w:rsid w:val="00EC4971"/>
    <w:rsid w:val="00EC5D63"/>
    <w:rsid w:val="00EC6C5E"/>
    <w:rsid w:val="00EC6DFC"/>
    <w:rsid w:val="00EC73D8"/>
    <w:rsid w:val="00EC78D3"/>
    <w:rsid w:val="00ED147D"/>
    <w:rsid w:val="00ED184C"/>
    <w:rsid w:val="00ED2EB8"/>
    <w:rsid w:val="00ED2FCE"/>
    <w:rsid w:val="00ED4656"/>
    <w:rsid w:val="00ED4BDA"/>
    <w:rsid w:val="00ED4E1A"/>
    <w:rsid w:val="00ED5772"/>
    <w:rsid w:val="00ED5CA4"/>
    <w:rsid w:val="00ED5FBA"/>
    <w:rsid w:val="00ED6298"/>
    <w:rsid w:val="00ED6D5C"/>
    <w:rsid w:val="00ED7041"/>
    <w:rsid w:val="00ED7E15"/>
    <w:rsid w:val="00EE1AC0"/>
    <w:rsid w:val="00EE1B87"/>
    <w:rsid w:val="00EE35BC"/>
    <w:rsid w:val="00EE4511"/>
    <w:rsid w:val="00EE5219"/>
    <w:rsid w:val="00EE55C3"/>
    <w:rsid w:val="00EE6012"/>
    <w:rsid w:val="00EE6049"/>
    <w:rsid w:val="00EE6E55"/>
    <w:rsid w:val="00EE746C"/>
    <w:rsid w:val="00EE7D16"/>
    <w:rsid w:val="00EF1067"/>
    <w:rsid w:val="00EF2145"/>
    <w:rsid w:val="00EF2984"/>
    <w:rsid w:val="00EF298B"/>
    <w:rsid w:val="00EF2C4C"/>
    <w:rsid w:val="00EF2C77"/>
    <w:rsid w:val="00EF339D"/>
    <w:rsid w:val="00EF3528"/>
    <w:rsid w:val="00EF3B77"/>
    <w:rsid w:val="00EF3CEB"/>
    <w:rsid w:val="00EF3FE2"/>
    <w:rsid w:val="00EF41D9"/>
    <w:rsid w:val="00EF4AFF"/>
    <w:rsid w:val="00EF4CFF"/>
    <w:rsid w:val="00EF7180"/>
    <w:rsid w:val="00EF7A7C"/>
    <w:rsid w:val="00F00056"/>
    <w:rsid w:val="00F005E0"/>
    <w:rsid w:val="00F00AD5"/>
    <w:rsid w:val="00F01466"/>
    <w:rsid w:val="00F015B6"/>
    <w:rsid w:val="00F02554"/>
    <w:rsid w:val="00F02D94"/>
    <w:rsid w:val="00F0340E"/>
    <w:rsid w:val="00F04B94"/>
    <w:rsid w:val="00F04EA7"/>
    <w:rsid w:val="00F0542D"/>
    <w:rsid w:val="00F07169"/>
    <w:rsid w:val="00F1009C"/>
    <w:rsid w:val="00F10797"/>
    <w:rsid w:val="00F10E09"/>
    <w:rsid w:val="00F11331"/>
    <w:rsid w:val="00F11AAA"/>
    <w:rsid w:val="00F11BEA"/>
    <w:rsid w:val="00F11FA2"/>
    <w:rsid w:val="00F123C4"/>
    <w:rsid w:val="00F12E3F"/>
    <w:rsid w:val="00F1300E"/>
    <w:rsid w:val="00F13C31"/>
    <w:rsid w:val="00F1472D"/>
    <w:rsid w:val="00F1475E"/>
    <w:rsid w:val="00F14EC6"/>
    <w:rsid w:val="00F150AE"/>
    <w:rsid w:val="00F155F9"/>
    <w:rsid w:val="00F161D6"/>
    <w:rsid w:val="00F166E5"/>
    <w:rsid w:val="00F205B5"/>
    <w:rsid w:val="00F22A85"/>
    <w:rsid w:val="00F22AD3"/>
    <w:rsid w:val="00F22AE6"/>
    <w:rsid w:val="00F2359D"/>
    <w:rsid w:val="00F245E8"/>
    <w:rsid w:val="00F25163"/>
    <w:rsid w:val="00F252BA"/>
    <w:rsid w:val="00F25365"/>
    <w:rsid w:val="00F259A9"/>
    <w:rsid w:val="00F26B0C"/>
    <w:rsid w:val="00F26E77"/>
    <w:rsid w:val="00F27236"/>
    <w:rsid w:val="00F27FA8"/>
    <w:rsid w:val="00F300CC"/>
    <w:rsid w:val="00F31687"/>
    <w:rsid w:val="00F31D20"/>
    <w:rsid w:val="00F35056"/>
    <w:rsid w:val="00F3564C"/>
    <w:rsid w:val="00F3593D"/>
    <w:rsid w:val="00F36078"/>
    <w:rsid w:val="00F36984"/>
    <w:rsid w:val="00F37715"/>
    <w:rsid w:val="00F37EA3"/>
    <w:rsid w:val="00F4056A"/>
    <w:rsid w:val="00F4076A"/>
    <w:rsid w:val="00F41155"/>
    <w:rsid w:val="00F41CB5"/>
    <w:rsid w:val="00F432F8"/>
    <w:rsid w:val="00F4352B"/>
    <w:rsid w:val="00F458E6"/>
    <w:rsid w:val="00F45931"/>
    <w:rsid w:val="00F468EC"/>
    <w:rsid w:val="00F50406"/>
    <w:rsid w:val="00F509B3"/>
    <w:rsid w:val="00F51443"/>
    <w:rsid w:val="00F527DD"/>
    <w:rsid w:val="00F5320A"/>
    <w:rsid w:val="00F532DE"/>
    <w:rsid w:val="00F54A87"/>
    <w:rsid w:val="00F54ADA"/>
    <w:rsid w:val="00F552F4"/>
    <w:rsid w:val="00F57205"/>
    <w:rsid w:val="00F57E92"/>
    <w:rsid w:val="00F61456"/>
    <w:rsid w:val="00F624BD"/>
    <w:rsid w:val="00F633EB"/>
    <w:rsid w:val="00F635FE"/>
    <w:rsid w:val="00F63BB0"/>
    <w:rsid w:val="00F63EF7"/>
    <w:rsid w:val="00F64A8B"/>
    <w:rsid w:val="00F64E07"/>
    <w:rsid w:val="00F658AE"/>
    <w:rsid w:val="00F6636F"/>
    <w:rsid w:val="00F66EF0"/>
    <w:rsid w:val="00F67ABC"/>
    <w:rsid w:val="00F67E56"/>
    <w:rsid w:val="00F71115"/>
    <w:rsid w:val="00F71D6F"/>
    <w:rsid w:val="00F720D3"/>
    <w:rsid w:val="00F721FE"/>
    <w:rsid w:val="00F7307D"/>
    <w:rsid w:val="00F730B8"/>
    <w:rsid w:val="00F73D0B"/>
    <w:rsid w:val="00F73EB5"/>
    <w:rsid w:val="00F74CBB"/>
    <w:rsid w:val="00F75668"/>
    <w:rsid w:val="00F763AD"/>
    <w:rsid w:val="00F765CA"/>
    <w:rsid w:val="00F76D21"/>
    <w:rsid w:val="00F803E0"/>
    <w:rsid w:val="00F80C16"/>
    <w:rsid w:val="00F80E7D"/>
    <w:rsid w:val="00F80FD0"/>
    <w:rsid w:val="00F82094"/>
    <w:rsid w:val="00F8261E"/>
    <w:rsid w:val="00F82936"/>
    <w:rsid w:val="00F83E24"/>
    <w:rsid w:val="00F84AA3"/>
    <w:rsid w:val="00F84EC1"/>
    <w:rsid w:val="00F864B0"/>
    <w:rsid w:val="00F86974"/>
    <w:rsid w:val="00F87186"/>
    <w:rsid w:val="00F90094"/>
    <w:rsid w:val="00F902F8"/>
    <w:rsid w:val="00F90D3A"/>
    <w:rsid w:val="00F91979"/>
    <w:rsid w:val="00F930BA"/>
    <w:rsid w:val="00F934B9"/>
    <w:rsid w:val="00F936A2"/>
    <w:rsid w:val="00F93718"/>
    <w:rsid w:val="00F93BF3"/>
    <w:rsid w:val="00F93FD2"/>
    <w:rsid w:val="00F95C53"/>
    <w:rsid w:val="00F9795F"/>
    <w:rsid w:val="00F97AA1"/>
    <w:rsid w:val="00F97CA4"/>
    <w:rsid w:val="00FA0436"/>
    <w:rsid w:val="00FA067A"/>
    <w:rsid w:val="00FA0B6B"/>
    <w:rsid w:val="00FA1031"/>
    <w:rsid w:val="00FA18FE"/>
    <w:rsid w:val="00FA1A5F"/>
    <w:rsid w:val="00FA2169"/>
    <w:rsid w:val="00FA41DB"/>
    <w:rsid w:val="00FA493D"/>
    <w:rsid w:val="00FA4B35"/>
    <w:rsid w:val="00FA4C26"/>
    <w:rsid w:val="00FA60CB"/>
    <w:rsid w:val="00FA61CB"/>
    <w:rsid w:val="00FA6404"/>
    <w:rsid w:val="00FA73B2"/>
    <w:rsid w:val="00FA7709"/>
    <w:rsid w:val="00FA77BE"/>
    <w:rsid w:val="00FA7F02"/>
    <w:rsid w:val="00FB0039"/>
    <w:rsid w:val="00FB044C"/>
    <w:rsid w:val="00FB050D"/>
    <w:rsid w:val="00FB33B8"/>
    <w:rsid w:val="00FB3B45"/>
    <w:rsid w:val="00FB4781"/>
    <w:rsid w:val="00FB4EFC"/>
    <w:rsid w:val="00FB5B32"/>
    <w:rsid w:val="00FB5BE8"/>
    <w:rsid w:val="00FB62FE"/>
    <w:rsid w:val="00FB67BC"/>
    <w:rsid w:val="00FB6B3A"/>
    <w:rsid w:val="00FB736F"/>
    <w:rsid w:val="00FB73C5"/>
    <w:rsid w:val="00FB74F9"/>
    <w:rsid w:val="00FB77BF"/>
    <w:rsid w:val="00FC07A7"/>
    <w:rsid w:val="00FC1E9B"/>
    <w:rsid w:val="00FC29A6"/>
    <w:rsid w:val="00FC3579"/>
    <w:rsid w:val="00FC3D96"/>
    <w:rsid w:val="00FC5BB3"/>
    <w:rsid w:val="00FC5C91"/>
    <w:rsid w:val="00FC65A2"/>
    <w:rsid w:val="00FC65D3"/>
    <w:rsid w:val="00FC6F50"/>
    <w:rsid w:val="00FC705E"/>
    <w:rsid w:val="00FC756E"/>
    <w:rsid w:val="00FC7836"/>
    <w:rsid w:val="00FC7E72"/>
    <w:rsid w:val="00FD0A57"/>
    <w:rsid w:val="00FD1B12"/>
    <w:rsid w:val="00FD2543"/>
    <w:rsid w:val="00FD2A26"/>
    <w:rsid w:val="00FD2C4D"/>
    <w:rsid w:val="00FD302A"/>
    <w:rsid w:val="00FD3499"/>
    <w:rsid w:val="00FD48D3"/>
    <w:rsid w:val="00FD5170"/>
    <w:rsid w:val="00FD53D8"/>
    <w:rsid w:val="00FD70F8"/>
    <w:rsid w:val="00FE034A"/>
    <w:rsid w:val="00FE0455"/>
    <w:rsid w:val="00FE0DC5"/>
    <w:rsid w:val="00FE1E00"/>
    <w:rsid w:val="00FE2163"/>
    <w:rsid w:val="00FE2A8B"/>
    <w:rsid w:val="00FE2E19"/>
    <w:rsid w:val="00FE36D9"/>
    <w:rsid w:val="00FE426A"/>
    <w:rsid w:val="00FE49DE"/>
    <w:rsid w:val="00FE520D"/>
    <w:rsid w:val="00FE58C9"/>
    <w:rsid w:val="00FE5968"/>
    <w:rsid w:val="00FE5DAD"/>
    <w:rsid w:val="00FE5FE3"/>
    <w:rsid w:val="00FE6ECF"/>
    <w:rsid w:val="00FE779A"/>
    <w:rsid w:val="00FE7EE5"/>
    <w:rsid w:val="00FE7EEF"/>
    <w:rsid w:val="00FF004C"/>
    <w:rsid w:val="00FF09D2"/>
    <w:rsid w:val="00FF0B27"/>
    <w:rsid w:val="00FF0C02"/>
    <w:rsid w:val="00FF0C99"/>
    <w:rsid w:val="00FF13DC"/>
    <w:rsid w:val="00FF1454"/>
    <w:rsid w:val="00FF1965"/>
    <w:rsid w:val="00FF1D47"/>
    <w:rsid w:val="00FF1F35"/>
    <w:rsid w:val="00FF1F75"/>
    <w:rsid w:val="00FF23B8"/>
    <w:rsid w:val="00FF2568"/>
    <w:rsid w:val="00FF27E8"/>
    <w:rsid w:val="00FF282B"/>
    <w:rsid w:val="00FF2D87"/>
    <w:rsid w:val="00FF2FFE"/>
    <w:rsid w:val="00FF3291"/>
    <w:rsid w:val="00FF3B18"/>
    <w:rsid w:val="00FF4D74"/>
    <w:rsid w:val="00FF5E6F"/>
    <w:rsid w:val="00FF6083"/>
    <w:rsid w:val="00FF6528"/>
    <w:rsid w:val="00FF7216"/>
    <w:rsid w:val="00FF7557"/>
    <w:rsid w:val="05AC6765"/>
    <w:rsid w:val="06190499"/>
    <w:rsid w:val="078C6CB0"/>
    <w:rsid w:val="0C041C77"/>
    <w:rsid w:val="0CE833BF"/>
    <w:rsid w:val="15556A60"/>
    <w:rsid w:val="17FC0B72"/>
    <w:rsid w:val="1A5F4708"/>
    <w:rsid w:val="229C2A1D"/>
    <w:rsid w:val="266E5DFD"/>
    <w:rsid w:val="2A92225B"/>
    <w:rsid w:val="2BD86B4B"/>
    <w:rsid w:val="2D6826DD"/>
    <w:rsid w:val="318D1685"/>
    <w:rsid w:val="3405195B"/>
    <w:rsid w:val="3FF92B21"/>
    <w:rsid w:val="41C30F65"/>
    <w:rsid w:val="41E16ABC"/>
    <w:rsid w:val="454775AD"/>
    <w:rsid w:val="4877403A"/>
    <w:rsid w:val="50722BD5"/>
    <w:rsid w:val="5C434E91"/>
    <w:rsid w:val="5C790CA2"/>
    <w:rsid w:val="5D00427A"/>
    <w:rsid w:val="5D133D61"/>
    <w:rsid w:val="6127084F"/>
    <w:rsid w:val="64D22AFA"/>
    <w:rsid w:val="69D658F5"/>
    <w:rsid w:val="6CC615E1"/>
    <w:rsid w:val="719470CA"/>
    <w:rsid w:val="71CF4377"/>
    <w:rsid w:val="74EF3E60"/>
    <w:rsid w:val="754C390D"/>
    <w:rsid w:val="77792074"/>
    <w:rsid w:val="7FE7462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locked="1"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locked="1"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locked="1"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locked="1"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39" w:unhideWhenUsed="0"/>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locked/>
    <w:pPr>
      <w:keepNext/>
      <w:jc w:val="left"/>
      <w:outlineLvl w:val="0"/>
    </w:pPr>
    <w:rPr>
      <w:rFonts w:ascii="宋体" w:hAnsi="宋体"/>
      <w:b/>
      <w:sz w:val="28"/>
      <w:szCs w:val="20"/>
    </w:rPr>
  </w:style>
  <w:style w:type="paragraph" w:styleId="Heading2">
    <w:name w:val="heading 2"/>
    <w:basedOn w:val="Normal"/>
    <w:next w:val="Normal"/>
    <w:link w:val="2Char"/>
    <w:qFormat/>
    <w:locked/>
    <w:pPr>
      <w:keepNext/>
      <w:keepLines/>
      <w:spacing w:before="260" w:after="260"/>
      <w:ind w:leftChars="100" w:rightChars="100"/>
      <w:jc w:val="left"/>
      <w:outlineLvl w:val="1"/>
    </w:pPr>
    <w:rPr>
      <w:rFonts w:ascii="Arial" w:hAnsi="Arial"/>
      <w:b/>
      <w:bCs/>
      <w:sz w:val="24"/>
      <w:szCs w:val="32"/>
    </w:rPr>
  </w:style>
  <w:style w:type="paragraph" w:styleId="Heading3">
    <w:name w:val="heading 3"/>
    <w:basedOn w:val="Normal"/>
    <w:next w:val="Normal"/>
    <w:link w:val="3Char"/>
    <w:qFormat/>
    <w:locked/>
    <w:pPr>
      <w:keepNext/>
      <w:keepLines/>
      <w:spacing w:before="60" w:after="100" w:line="415" w:lineRule="auto"/>
      <w:outlineLvl w:val="2"/>
    </w:pPr>
    <w:rPr>
      <w:b/>
      <w:bCs/>
      <w:sz w:val="32"/>
      <w:szCs w:val="32"/>
    </w:rPr>
  </w:style>
  <w:style w:type="paragraph" w:styleId="Heading4">
    <w:name w:val="heading 4"/>
    <w:basedOn w:val="Normal"/>
    <w:next w:val="Normal"/>
    <w:link w:val="4Char"/>
    <w:qFormat/>
    <w:locked/>
    <w:pPr>
      <w:keepNext/>
      <w:keepLines/>
      <w:spacing w:before="280" w:after="290" w:line="372" w:lineRule="auto"/>
      <w:outlineLvl w:val="3"/>
    </w:pPr>
    <w:rPr>
      <w:rFonts w:ascii="Arial" w:eastAsia="黑体" w:hAnsi="Arial"/>
      <w:b/>
      <w:bCs/>
      <w:sz w:val="28"/>
      <w:szCs w:val="28"/>
    </w:rPr>
  </w:style>
  <w:style w:type="paragraph" w:styleId="Heading5">
    <w:name w:val="heading 5"/>
    <w:basedOn w:val="Normal"/>
    <w:next w:val="Normal"/>
    <w:link w:val="5Char"/>
    <w:qFormat/>
    <w:locked/>
    <w:pPr>
      <w:keepNext/>
      <w:keepLines/>
      <w:spacing w:before="280" w:after="290" w:line="372" w:lineRule="auto"/>
      <w:jc w:val="left"/>
      <w:outlineLvl w:val="4"/>
    </w:pPr>
    <w:rPr>
      <w:rFonts w:eastAsia="仿宋_GB2312"/>
      <w:b/>
      <w:bCs/>
      <w:sz w:val="28"/>
      <w:szCs w:val="28"/>
    </w:rPr>
  </w:style>
  <w:style w:type="paragraph" w:styleId="Heading6">
    <w:name w:val="heading 6"/>
    <w:basedOn w:val="Normal"/>
    <w:next w:val="Normal"/>
    <w:link w:val="6Char"/>
    <w:qFormat/>
    <w:locked/>
    <w:pPr>
      <w:keepNext/>
      <w:keepLines/>
      <w:spacing w:before="240" w:after="64" w:line="317" w:lineRule="auto"/>
      <w:jc w:val="left"/>
      <w:outlineLvl w:val="5"/>
    </w:pPr>
    <w:rPr>
      <w:rFonts w:ascii="Arial" w:eastAsia="黑体" w:hAnsi="Arial"/>
      <w:b/>
      <w:bCs/>
      <w:sz w:val="24"/>
    </w:rPr>
  </w:style>
  <w:style w:type="paragraph" w:styleId="Heading7">
    <w:name w:val="heading 7"/>
    <w:basedOn w:val="Normal"/>
    <w:next w:val="Normal"/>
    <w:link w:val="7Char"/>
    <w:qFormat/>
    <w:locked/>
    <w:pPr>
      <w:keepNext/>
      <w:keepLines/>
      <w:spacing w:before="240" w:after="64" w:line="317" w:lineRule="auto"/>
      <w:jc w:val="left"/>
      <w:outlineLvl w:val="6"/>
    </w:pPr>
    <w:rPr>
      <w:rFonts w:eastAsia="仿宋_GB2312"/>
      <w:b/>
      <w:bCs/>
      <w:sz w:val="24"/>
    </w:rPr>
  </w:style>
  <w:style w:type="paragraph" w:styleId="Heading8">
    <w:name w:val="heading 8"/>
    <w:basedOn w:val="Normal"/>
    <w:next w:val="Normal"/>
    <w:link w:val="8Char"/>
    <w:qFormat/>
    <w:locked/>
    <w:pPr>
      <w:keepNext/>
      <w:keepLines/>
      <w:spacing w:before="240" w:after="64" w:line="317" w:lineRule="auto"/>
      <w:jc w:val="left"/>
      <w:outlineLvl w:val="7"/>
    </w:pPr>
    <w:rPr>
      <w:rFonts w:ascii="Arial" w:eastAsia="黑体" w:hAnsi="Arial"/>
      <w:sz w:val="24"/>
    </w:rPr>
  </w:style>
  <w:style w:type="paragraph" w:styleId="Heading9">
    <w:name w:val="heading 9"/>
    <w:basedOn w:val="Normal"/>
    <w:next w:val="Normal"/>
    <w:link w:val="9Char"/>
    <w:qFormat/>
    <w:locked/>
    <w:pPr>
      <w:keepNext/>
      <w:keepLines/>
      <w:spacing w:before="240" w:after="64" w:line="317" w:lineRule="auto"/>
      <w:jc w:val="left"/>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宋体" w:hAnsi="宋体"/>
      <w:b/>
      <w:kern w:val="2"/>
      <w:sz w:val="28"/>
    </w:rPr>
  </w:style>
  <w:style w:type="character" w:customStyle="1" w:styleId="2Char">
    <w:name w:val="标题 2 Char"/>
    <w:link w:val="Heading2"/>
    <w:rPr>
      <w:rFonts w:ascii="Arial" w:hAnsi="Arial"/>
      <w:b/>
      <w:bCs/>
      <w:kern w:val="2"/>
      <w:sz w:val="24"/>
      <w:szCs w:val="32"/>
    </w:rPr>
  </w:style>
  <w:style w:type="character" w:customStyle="1" w:styleId="3Char">
    <w:name w:val="标题 3 Char"/>
    <w:link w:val="Heading3"/>
    <w:rPr>
      <w:b/>
      <w:bCs/>
      <w:kern w:val="2"/>
      <w:sz w:val="32"/>
      <w:szCs w:val="32"/>
    </w:rPr>
  </w:style>
  <w:style w:type="character" w:customStyle="1" w:styleId="4Char">
    <w:name w:val="标题 4 Char"/>
    <w:link w:val="Heading4"/>
    <w:rPr>
      <w:rFonts w:ascii="Arial" w:eastAsia="黑体" w:hAnsi="Arial"/>
      <w:b/>
      <w:bCs/>
      <w:kern w:val="2"/>
      <w:sz w:val="28"/>
      <w:szCs w:val="28"/>
    </w:rPr>
  </w:style>
  <w:style w:type="character" w:customStyle="1" w:styleId="5Char">
    <w:name w:val="标题 5 Char"/>
    <w:link w:val="Heading5"/>
    <w:rPr>
      <w:rFonts w:eastAsia="仿宋_GB2312"/>
      <w:b/>
      <w:bCs/>
      <w:snapToGrid/>
      <w:kern w:val="2"/>
      <w:sz w:val="28"/>
      <w:szCs w:val="28"/>
    </w:rPr>
  </w:style>
  <w:style w:type="character" w:customStyle="1" w:styleId="6Char">
    <w:name w:val="标题 6 Char"/>
    <w:link w:val="Heading6"/>
    <w:rPr>
      <w:rFonts w:ascii="Arial" w:eastAsia="黑体" w:hAnsi="Arial"/>
      <w:b/>
      <w:bCs/>
      <w:snapToGrid/>
      <w:kern w:val="2"/>
      <w:sz w:val="24"/>
      <w:szCs w:val="24"/>
    </w:rPr>
  </w:style>
  <w:style w:type="character" w:customStyle="1" w:styleId="7Char">
    <w:name w:val="标题 7 Char"/>
    <w:link w:val="Heading7"/>
    <w:rPr>
      <w:rFonts w:eastAsia="仿宋_GB2312"/>
      <w:b/>
      <w:bCs/>
      <w:snapToGrid/>
      <w:kern w:val="2"/>
      <w:sz w:val="24"/>
      <w:szCs w:val="24"/>
    </w:rPr>
  </w:style>
  <w:style w:type="character" w:customStyle="1" w:styleId="8Char">
    <w:name w:val="标题 8 Char"/>
    <w:link w:val="Heading8"/>
    <w:rPr>
      <w:rFonts w:ascii="Arial" w:eastAsia="黑体" w:hAnsi="Arial"/>
      <w:snapToGrid/>
      <w:kern w:val="2"/>
      <w:sz w:val="24"/>
      <w:szCs w:val="24"/>
    </w:rPr>
  </w:style>
  <w:style w:type="character" w:customStyle="1" w:styleId="9Char">
    <w:name w:val="标题 9 Char"/>
    <w:link w:val="Heading9"/>
    <w:rPr>
      <w:rFonts w:ascii="Arial" w:eastAsia="黑体" w:hAnsi="Arial"/>
      <w:snapToGrid/>
      <w:kern w:val="2"/>
      <w:sz w:val="21"/>
      <w:szCs w:val="21"/>
    </w:rPr>
  </w:style>
  <w:style w:type="paragraph" w:styleId="NormalIndent">
    <w:name w:val="Normal Indent"/>
    <w:basedOn w:val="Normal"/>
    <w:link w:val="Char"/>
    <w:qFormat/>
    <w:pPr>
      <w:ind w:firstLine="420" w:firstLineChars="200"/>
    </w:pPr>
    <w:rPr>
      <w:szCs w:val="20"/>
    </w:rPr>
  </w:style>
  <w:style w:type="character" w:customStyle="1" w:styleId="Char">
    <w:name w:val="正文缩进 Char"/>
    <w:link w:val="NormalIndent"/>
    <w:rPr>
      <w:rFonts w:eastAsia="宋体"/>
      <w:kern w:val="2"/>
      <w:sz w:val="21"/>
      <w:lang w:val="en-US" w:eastAsia="zh-CN" w:bidi="ar-SA"/>
    </w:rPr>
  </w:style>
  <w:style w:type="paragraph" w:styleId="Caption">
    <w:name w:val="caption"/>
    <w:basedOn w:val="Normal"/>
    <w:next w:val="Normal"/>
    <w:qFormat/>
    <w:locked/>
    <w:pPr>
      <w:spacing w:before="152" w:after="160"/>
    </w:pPr>
    <w:rPr>
      <w:rFonts w:ascii="Arial" w:eastAsia="黑体" w:hAnsi="Arial" w:cs="Arial"/>
      <w:sz w:val="20"/>
      <w:szCs w:val="28"/>
    </w:rPr>
  </w:style>
  <w:style w:type="paragraph" w:styleId="DocumentMap">
    <w:name w:val="Document Map"/>
    <w:basedOn w:val="Normal"/>
    <w:link w:val="Char0"/>
    <w:pPr>
      <w:shd w:val="clear" w:color="auto" w:fill="000080"/>
    </w:pPr>
  </w:style>
  <w:style w:type="character" w:customStyle="1" w:styleId="Char0">
    <w:name w:val="文档结构图 Char"/>
    <w:link w:val="DocumentMap"/>
    <w:rPr>
      <w:kern w:val="2"/>
      <w:sz w:val="21"/>
      <w:szCs w:val="24"/>
      <w:shd w:val="clear" w:color="auto" w:fill="000080"/>
    </w:rPr>
  </w:style>
  <w:style w:type="paragraph" w:styleId="CommentText">
    <w:name w:val="annotation text"/>
    <w:basedOn w:val="Normal"/>
    <w:link w:val="Char1"/>
    <w:pPr>
      <w:jc w:val="left"/>
    </w:pPr>
  </w:style>
  <w:style w:type="character" w:customStyle="1" w:styleId="Char1">
    <w:name w:val="批注文字 Char1"/>
    <w:link w:val="CommentText"/>
    <w:rPr>
      <w:kern w:val="2"/>
      <w:sz w:val="21"/>
      <w:szCs w:val="24"/>
    </w:rPr>
  </w:style>
  <w:style w:type="paragraph" w:styleId="BodyText">
    <w:name w:val="Body Text"/>
    <w:basedOn w:val="Normal"/>
    <w:link w:val="Char2"/>
    <w:pPr>
      <w:spacing w:after="120"/>
    </w:pPr>
  </w:style>
  <w:style w:type="character" w:customStyle="1" w:styleId="Char2">
    <w:name w:val="正文文本 Char"/>
    <w:link w:val="BodyText"/>
    <w:rPr>
      <w:kern w:val="2"/>
      <w:sz w:val="21"/>
      <w:szCs w:val="24"/>
    </w:rPr>
  </w:style>
  <w:style w:type="paragraph" w:styleId="BodyTextIndent">
    <w:name w:val="Body Text Indent"/>
    <w:basedOn w:val="Normal"/>
    <w:link w:val="Char10"/>
    <w:pPr>
      <w:ind w:firstLine="480"/>
    </w:pPr>
    <w:rPr>
      <w:color w:val="000000"/>
      <w:sz w:val="24"/>
      <w:szCs w:val="20"/>
    </w:rPr>
  </w:style>
  <w:style w:type="character" w:customStyle="1" w:styleId="Char10">
    <w:name w:val="正文文本缩进 Char1"/>
    <w:link w:val="BodyTextIndent"/>
    <w:rPr>
      <w:color w:val="000000"/>
      <w:kern w:val="2"/>
      <w:sz w:val="24"/>
    </w:rPr>
  </w:style>
  <w:style w:type="paragraph" w:styleId="List2">
    <w:name w:val="List 2"/>
    <w:basedOn w:val="Normal"/>
    <w:pPr>
      <w:ind w:left="100" w:hanging="200" w:leftChars="200" w:hangingChars="200"/>
    </w:pPr>
    <w:rPr>
      <w:sz w:val="28"/>
      <w:szCs w:val="20"/>
    </w:rPr>
  </w:style>
  <w:style w:type="paragraph" w:styleId="PlainText">
    <w:name w:val="Plain Text"/>
    <w:basedOn w:val="Normal"/>
    <w:link w:val="Char11"/>
    <w:rPr>
      <w:rFonts w:ascii="宋体" w:hAnsi="Courier New"/>
      <w:szCs w:val="20"/>
    </w:rPr>
  </w:style>
  <w:style w:type="character" w:customStyle="1" w:styleId="Char11">
    <w:name w:val="纯文本 Char1"/>
    <w:link w:val="PlainText"/>
    <w:rPr>
      <w:rFonts w:ascii="宋体" w:hAnsi="Courier New"/>
      <w:kern w:val="2"/>
      <w:sz w:val="21"/>
    </w:rPr>
  </w:style>
  <w:style w:type="paragraph" w:styleId="Date">
    <w:name w:val="Date"/>
    <w:basedOn w:val="Normal"/>
    <w:next w:val="Normal"/>
    <w:link w:val="Char3"/>
    <w:rPr>
      <w:rFonts w:eastAsia="金山简仿宋"/>
      <w:sz w:val="32"/>
      <w:szCs w:val="20"/>
    </w:rPr>
  </w:style>
  <w:style w:type="character" w:customStyle="1" w:styleId="Char3">
    <w:name w:val="日期 Char"/>
    <w:link w:val="Date"/>
    <w:rPr>
      <w:rFonts w:eastAsia="金山简仿宋"/>
      <w:kern w:val="2"/>
      <w:sz w:val="32"/>
    </w:rPr>
  </w:style>
  <w:style w:type="paragraph" w:styleId="BodyTextIndent2">
    <w:name w:val="Body Text Indent 2"/>
    <w:basedOn w:val="Normal"/>
    <w:link w:val="2Char0"/>
    <w:pPr>
      <w:spacing w:line="360" w:lineRule="exact"/>
      <w:ind w:firstLine="438" w:firstLineChars="200"/>
    </w:pPr>
    <w:rPr>
      <w:rFonts w:ascii="宋体" w:hAnsi="宋体"/>
      <w:bCs/>
      <w:color w:val="000000"/>
      <w:sz w:val="24"/>
    </w:rPr>
  </w:style>
  <w:style w:type="character" w:customStyle="1" w:styleId="2Char0">
    <w:name w:val="正文文本缩进 2 Char"/>
    <w:link w:val="BodyTextIndent2"/>
    <w:rPr>
      <w:rFonts w:ascii="宋体" w:hAnsi="宋体"/>
      <w:bCs/>
      <w:color w:val="000000"/>
      <w:kern w:val="2"/>
      <w:sz w:val="24"/>
      <w:szCs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pPr>
      <w:tabs>
        <w:tab w:val="center" w:pos="4153"/>
        <w:tab w:val="right" w:pos="8306"/>
      </w:tabs>
      <w:snapToGrid w:val="0"/>
      <w:jc w:val="left"/>
    </w:pPr>
    <w:rPr>
      <w:sz w:val="18"/>
      <w:szCs w:val="18"/>
    </w:rPr>
  </w:style>
  <w:style w:type="character" w:customStyle="1" w:styleId="Char5">
    <w:name w:val="页脚 Char"/>
    <w:link w:val="Footer"/>
    <w:rPr>
      <w:kern w:val="2"/>
      <w:sz w:val="18"/>
      <w:szCs w:val="18"/>
    </w:rPr>
  </w:style>
  <w:style w:type="paragraph" w:styleId="Header">
    <w:name w:val="header"/>
    <w:basedOn w:val="Normal"/>
    <w:link w:val="Char6"/>
    <w:pPr>
      <w:pBdr>
        <w:bottom w:val="single" w:sz="6" w:space="1" w:color="auto"/>
      </w:pBdr>
      <w:tabs>
        <w:tab w:val="center" w:pos="4153"/>
        <w:tab w:val="right" w:pos="8306"/>
      </w:tabs>
      <w:snapToGrid w:val="0"/>
      <w:jc w:val="center"/>
    </w:pPr>
    <w:rPr>
      <w:sz w:val="18"/>
      <w:szCs w:val="18"/>
    </w:rPr>
  </w:style>
  <w:style w:type="character" w:customStyle="1" w:styleId="Char6">
    <w:name w:val="页眉 Char"/>
    <w:link w:val="Header"/>
    <w:rPr>
      <w:kern w:val="2"/>
      <w:sz w:val="18"/>
      <w:szCs w:val="18"/>
    </w:rPr>
  </w:style>
  <w:style w:type="paragraph" w:styleId="List">
    <w:name w:val="List"/>
    <w:basedOn w:val="Normal"/>
    <w:pPr>
      <w:tabs>
        <w:tab w:val="left" w:pos="425"/>
      </w:tabs>
      <w:spacing w:before="60"/>
      <w:ind w:left="420" w:hanging="420"/>
    </w:pPr>
    <w:rPr>
      <w:rFonts w:ascii="Arial" w:eastAsia="仿宋_GB2312" w:hAnsi="Arial"/>
      <w:kern w:val="0"/>
      <w:sz w:val="24"/>
      <w:szCs w:val="20"/>
    </w:rPr>
  </w:style>
  <w:style w:type="paragraph" w:styleId="TOC6">
    <w:name w:val="toc 6"/>
    <w:basedOn w:val="Normal"/>
    <w:next w:val="Normal"/>
    <w:pPr>
      <w:spacing w:line="360" w:lineRule="auto"/>
      <w:jc w:val="left"/>
    </w:pPr>
    <w:rPr>
      <w:rFonts w:ascii="仿宋_GB2312" w:eastAsia="仿宋_GB2312" w:hAnsi="Arial"/>
      <w:sz w:val="28"/>
      <w:szCs w:val="28"/>
    </w:rPr>
  </w:style>
  <w:style w:type="paragraph" w:styleId="BodyTextIndent3">
    <w:name w:val="Body Text Indent 3"/>
    <w:basedOn w:val="Normal"/>
    <w:link w:val="3Char0"/>
    <w:pPr>
      <w:spacing w:line="360" w:lineRule="auto"/>
      <w:ind w:firstLine="480" w:firstLineChars="200"/>
    </w:pPr>
    <w:rPr>
      <w:rFonts w:ascii="宋体" w:hAnsi="宋体"/>
      <w:sz w:val="24"/>
    </w:rPr>
  </w:style>
  <w:style w:type="character" w:customStyle="1" w:styleId="3Char0">
    <w:name w:val="正文文本缩进 3 Char"/>
    <w:link w:val="BodyTextIndent3"/>
    <w:rPr>
      <w:rFonts w:ascii="宋体" w:hAnsi="宋体"/>
      <w:kern w:val="2"/>
      <w:sz w:val="24"/>
      <w:szCs w:val="24"/>
    </w:rPr>
  </w:style>
  <w:style w:type="paragraph" w:styleId="TOC2">
    <w:name w:val="toc 2"/>
    <w:basedOn w:val="Normal"/>
    <w:next w:val="Normal"/>
    <w:pPr>
      <w:tabs>
        <w:tab w:val="left" w:pos="426"/>
        <w:tab w:val="left" w:pos="567"/>
        <w:tab w:val="right" w:leader="dot" w:pos="8607"/>
      </w:tabs>
      <w:adjustRightInd w:val="0"/>
      <w:snapToGrid w:val="0"/>
      <w:spacing w:line="300" w:lineRule="auto"/>
    </w:pPr>
    <w:rPr>
      <w:rFonts w:ascii="华文仿宋" w:eastAsia="华文仿宋" w:hAnsi="华文仿宋"/>
      <w:smallCaps/>
      <w:sz w:val="24"/>
    </w:rPr>
  </w:style>
  <w:style w:type="paragraph" w:styleId="TOC9">
    <w:name w:val="toc 9"/>
    <w:basedOn w:val="Normal"/>
    <w:next w:val="Normal"/>
    <w:pPr>
      <w:adjustRightInd w:val="0"/>
      <w:snapToGrid w:val="0"/>
    </w:pPr>
    <w:rPr>
      <w:sz w:val="18"/>
      <w:szCs w:val="18"/>
    </w:rPr>
  </w:style>
  <w:style w:type="paragraph" w:styleId="BodyText2">
    <w:name w:val="Body Text 2"/>
    <w:basedOn w:val="Normal"/>
    <w:link w:val="2Char1"/>
    <w:pPr>
      <w:spacing w:line="360" w:lineRule="auto"/>
    </w:pPr>
    <w:rPr>
      <w:rFonts w:ascii="宋体" w:eastAsia="幼圆"/>
      <w:color w:val="000000"/>
      <w:sz w:val="28"/>
    </w:rPr>
  </w:style>
  <w:style w:type="character" w:customStyle="1" w:styleId="2Char1">
    <w:name w:val="正文文本 2 Char"/>
    <w:link w:val="BodyText2"/>
    <w:rPr>
      <w:rFonts w:ascii="宋体" w:eastAsia="幼圆"/>
      <w:color w:val="000000"/>
      <w:kern w:val="2"/>
      <w:sz w:val="28"/>
      <w:szCs w:val="24"/>
    </w:r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character" w:customStyle="1" w:styleId="HTMLChar">
    <w:name w:val="HTML 预设格式 Char"/>
    <w:link w:val="HTMLPreformatted"/>
    <w:rPr>
      <w:rFonts w:ascii="Arial" w:hAnsi="Arial" w:cs="Arial"/>
      <w:sz w:val="24"/>
      <w:szCs w:val="24"/>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paragraph" w:styleId="Title">
    <w:name w:val="Title"/>
    <w:basedOn w:val="Normal"/>
    <w:next w:val="Normal"/>
    <w:link w:val="Char7"/>
    <w:qFormat/>
    <w:locked/>
    <w:pPr>
      <w:spacing w:before="240" w:after="60"/>
      <w:jc w:val="left"/>
      <w:outlineLvl w:val="0"/>
    </w:pPr>
    <w:rPr>
      <w:rFonts w:ascii="Calibri Light" w:hAnsi="Calibri Light"/>
      <w:b/>
      <w:bCs/>
      <w:sz w:val="32"/>
      <w:szCs w:val="32"/>
    </w:rPr>
  </w:style>
  <w:style w:type="character" w:customStyle="1" w:styleId="Char7">
    <w:name w:val="标题 Char"/>
    <w:link w:val="Title"/>
    <w:rPr>
      <w:rFonts w:ascii="Calibri Light" w:hAnsi="Calibri Light"/>
      <w:b/>
      <w:bCs/>
      <w:kern w:val="2"/>
      <w:sz w:val="32"/>
      <w:szCs w:val="32"/>
    </w:rPr>
  </w:style>
  <w:style w:type="paragraph" w:styleId="CommentSubject">
    <w:name w:val="annotation subject"/>
    <w:basedOn w:val="CommentText"/>
    <w:next w:val="CommentText"/>
    <w:link w:val="Char8"/>
  </w:style>
  <w:style w:type="character" w:customStyle="1" w:styleId="Char8">
    <w:name w:val="批注主题 Char"/>
    <w:basedOn w:val="Char9"/>
    <w:link w:val="CommentSubject"/>
  </w:style>
  <w:style w:type="character" w:customStyle="1" w:styleId="Char9">
    <w:name w:val="批注文字 Char"/>
    <w:semiHidden/>
    <w:rPr>
      <w:kern w:val="2"/>
      <w:sz w:val="21"/>
      <w:szCs w:val="24"/>
    </w:rPr>
  </w:style>
  <w:style w:type="paragraph" w:styleId="BodyTextFirstIndent">
    <w:name w:val="Body Text First Indent"/>
    <w:basedOn w:val="BodyText"/>
    <w:link w:val="Char12"/>
    <w:pPr>
      <w:ind w:firstLine="420" w:firstLineChars="100"/>
    </w:pPr>
  </w:style>
  <w:style w:type="character" w:customStyle="1" w:styleId="Char12">
    <w:name w:val="正文首行缩进 Char"/>
    <w:link w:val="BodyTextFirstIndent"/>
    <w:rPr>
      <w:kern w:val="2"/>
      <w:sz w:val="21"/>
      <w:szCs w:val="24"/>
    </w:rPr>
  </w:style>
  <w:style w:type="paragraph" w:styleId="BodyTextFirstIndent2">
    <w:name w:val="Body Text First Indent 2"/>
    <w:basedOn w:val="BodyTextIndent"/>
    <w:link w:val="2Char2"/>
    <w:pPr>
      <w:spacing w:after="120"/>
      <w:ind w:left="420" w:firstLine="420" w:leftChars="200" w:firstLineChars="200"/>
    </w:pPr>
    <w:rPr>
      <w:color w:val="auto"/>
      <w:sz w:val="28"/>
    </w:rPr>
  </w:style>
  <w:style w:type="character" w:customStyle="1" w:styleId="2Char2">
    <w:name w:val="正文首行缩进 2 Char"/>
    <w:basedOn w:val="Char13"/>
    <w:link w:val="BodyTextFirstIndent2"/>
  </w:style>
  <w:style w:type="character" w:customStyle="1" w:styleId="Char13">
    <w:name w:val="正文文本缩进 Char"/>
    <w:rPr>
      <w:kern w:val="2"/>
      <w:sz w:val="28"/>
    </w:rPr>
  </w:style>
  <w:style w:type="table" w:styleId="TableGrid">
    <w:name w:val="Table Grid"/>
    <w:basedOn w:val="TableNormal"/>
    <w:uiPriority w:val="39"/>
    <w:pPr>
      <w:widowControl w:val="0"/>
      <w:jc w:val="both"/>
    </w:pPr>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character" w:styleId="Strong">
    <w:name w:val="Strong"/>
    <w:qFormat/>
    <w:rPr>
      <w:rFonts w:cs="Times New Roman"/>
      <w:b/>
      <w:bCs/>
    </w:rPr>
  </w:style>
  <w:style w:type="character" w:styleId="PageNumber">
    <w:name w:val="page number"/>
    <w:rPr>
      <w:rFonts w:cs="Times New Roman"/>
    </w:rPr>
  </w:style>
  <w:style w:type="character" w:styleId="FollowedHyperlink">
    <w:name w:val="FollowedHyperlink"/>
    <w:rPr>
      <w:rFonts w:cs="Times New Roman"/>
      <w:color w:val="800080"/>
      <w:u w:val="single"/>
    </w:rPr>
  </w:style>
  <w:style w:type="character" w:styleId="Emphasis">
    <w:name w:val="Emphasis"/>
    <w:qFormat/>
    <w:locked/>
    <w:rPr>
      <w:i/>
      <w:iCs/>
    </w:rPr>
  </w:style>
  <w:style w:type="character" w:styleId="Hyperlink">
    <w:name w:val="Hyperlink"/>
    <w:rPr>
      <w:rFonts w:cs="Times New Roman"/>
      <w:color w:val="0066CC"/>
      <w:u w:val="none"/>
    </w:rPr>
  </w:style>
  <w:style w:type="character" w:styleId="CommentReference">
    <w:name w:val="annotation reference"/>
    <w:rPr>
      <w:sz w:val="21"/>
      <w:szCs w:val="21"/>
    </w:rPr>
  </w:style>
  <w:style w:type="character" w:customStyle="1" w:styleId="apple-converted-space">
    <w:name w:val="apple-converted-space"/>
    <w:basedOn w:val="DefaultParagraphFont"/>
  </w:style>
  <w:style w:type="character" w:customStyle="1" w:styleId="Char14">
    <w:name w:val="表格中文字 Char"/>
    <w:link w:val="a"/>
    <w:rPr>
      <w:kern w:val="18"/>
      <w:sz w:val="21"/>
      <w:szCs w:val="21"/>
    </w:rPr>
  </w:style>
  <w:style w:type="paragraph" w:customStyle="1" w:styleId="a">
    <w:name w:val="表格中文字"/>
    <w:basedOn w:val="Normal"/>
    <w:link w:val="Char14"/>
    <w:pPr>
      <w:adjustRightInd w:val="0"/>
      <w:snapToGrid w:val="0"/>
      <w:jc w:val="center"/>
    </w:pPr>
    <w:rPr>
      <w:kern w:val="18"/>
      <w:szCs w:val="21"/>
    </w:rPr>
  </w:style>
  <w:style w:type="character" w:customStyle="1" w:styleId="CharChar">
    <w:name w:val="正文（首行缩进两字） Char Char"/>
    <w:aliases w:val="s4 Char,文本 Char,标题4 Char,正文不缩进 Char,正文缩进 Char Char,正文缩进 Char1,正文缩进1 Char,正文（首行缩进两字） Char Char Char Char Char Char Char Char,正文（首行缩进两字） Char Char Char Char Char1,正文（首行缩进两字） Char Char Char Char1,特点 Char,表后文 Char,表格标题 Char,首行缩进两字 Char"/>
    <w:rPr>
      <w:rFonts w:eastAsia="宋体"/>
      <w:kern w:val="2"/>
      <w:sz w:val="21"/>
      <w:lang w:val="en-US" w:eastAsia="zh-CN" w:bidi="ar-SA"/>
    </w:rPr>
  </w:style>
  <w:style w:type="character" w:customStyle="1" w:styleId="font131">
    <w:name w:val="font131"/>
    <w:rPr>
      <w:rFonts w:ascii="Times New Roman" w:hAnsi="Times New Roman" w:cs="Times New Roman" w:hint="default"/>
      <w:color w:val="000000"/>
      <w:sz w:val="21"/>
      <w:szCs w:val="21"/>
      <w:u w:val="none"/>
    </w:rPr>
  </w:style>
  <w:style w:type="character" w:customStyle="1" w:styleId="px14">
    <w:name w:val="px14"/>
    <w:basedOn w:val="DefaultParagraphFont"/>
  </w:style>
  <w:style w:type="character" w:customStyle="1" w:styleId="Char110">
    <w:name w:val="表格正文 Char1"/>
    <w:rPr>
      <w:rFonts w:ascii="仿宋_GB2312" w:eastAsia="仿宋_GB2312"/>
      <w:kern w:val="2"/>
      <w:sz w:val="21"/>
      <w:szCs w:val="24"/>
    </w:rPr>
  </w:style>
  <w:style w:type="character" w:customStyle="1" w:styleId="Char22">
    <w:name w:val="正本文字 Char"/>
    <w:link w:val="a0"/>
    <w:rPr>
      <w:kern w:val="18"/>
      <w:sz w:val="24"/>
    </w:rPr>
  </w:style>
  <w:style w:type="paragraph" w:customStyle="1" w:styleId="a0">
    <w:name w:val="正本文字"/>
    <w:basedOn w:val="Normal"/>
    <w:link w:val="Char22"/>
    <w:pPr>
      <w:adjustRightInd w:val="0"/>
      <w:snapToGrid w:val="0"/>
      <w:spacing w:line="360" w:lineRule="auto"/>
      <w:ind w:firstLine="480" w:firstLineChars="200"/>
      <w:jc w:val="left"/>
    </w:pPr>
    <w:rPr>
      <w:kern w:val="18"/>
      <w:sz w:val="24"/>
      <w:szCs w:val="20"/>
    </w:rPr>
  </w:style>
  <w:style w:type="character" w:customStyle="1" w:styleId="textediteditable-title">
    <w:name w:val="text_edit editable-title"/>
    <w:basedOn w:val="DefaultParagraphFont"/>
  </w:style>
  <w:style w:type="character" w:customStyle="1" w:styleId="title0">
    <w:name w:val="title"/>
    <w:basedOn w:val="DefaultParagraphFont"/>
  </w:style>
  <w:style w:type="character" w:customStyle="1" w:styleId="4CharChar">
    <w:name w:val="4正文 Char Char"/>
    <w:link w:val="4"/>
    <w:rPr>
      <w:rFonts w:cs="宋体"/>
      <w:kern w:val="2"/>
      <w:sz w:val="21"/>
    </w:rPr>
  </w:style>
  <w:style w:type="paragraph" w:customStyle="1" w:styleId="4">
    <w:name w:val="4正文"/>
    <w:basedOn w:val="Normal"/>
    <w:link w:val="4CharChar"/>
    <w:pPr>
      <w:ind w:firstLine="480"/>
    </w:pPr>
    <w:rPr>
      <w:szCs w:val="20"/>
    </w:rPr>
  </w:style>
  <w:style w:type="character" w:customStyle="1" w:styleId="Char23">
    <w:name w:val="正文(首行缩进) Char"/>
    <w:link w:val="a1"/>
    <w:rPr>
      <w:snapToGrid/>
      <w:sz w:val="24"/>
      <w:szCs w:val="24"/>
    </w:rPr>
  </w:style>
  <w:style w:type="paragraph" w:customStyle="1" w:styleId="a1">
    <w:name w:val="正文(首行缩进)"/>
    <w:basedOn w:val="Normal"/>
    <w:link w:val="Char23"/>
    <w:pPr>
      <w:spacing w:line="360" w:lineRule="auto"/>
    </w:pPr>
    <w:rPr>
      <w:kern w:val="0"/>
      <w:sz w:val="24"/>
    </w:rPr>
  </w:style>
  <w:style w:type="character" w:customStyle="1" w:styleId="Char24">
    <w:name w:val="表格文字 Char"/>
    <w:link w:val="a2"/>
    <w:rPr>
      <w:rFonts w:ascii="宋体" w:hAnsi="宋体"/>
      <w:sz w:val="21"/>
    </w:rPr>
  </w:style>
  <w:style w:type="paragraph" w:customStyle="1" w:styleId="a2">
    <w:name w:val="表格文字"/>
    <w:basedOn w:val="Normal"/>
    <w:link w:val="Char24"/>
    <w:pPr>
      <w:autoSpaceDE w:val="0"/>
      <w:autoSpaceDN w:val="0"/>
      <w:adjustRightInd w:val="0"/>
      <w:snapToGrid w:val="0"/>
      <w:spacing w:before="50" w:after="50" w:line="300" w:lineRule="auto"/>
      <w:jc w:val="center"/>
    </w:pPr>
    <w:rPr>
      <w:rFonts w:ascii="宋体" w:hAnsi="宋体"/>
      <w:kern w:val="0"/>
      <w:szCs w:val="20"/>
    </w:rPr>
  </w:style>
  <w:style w:type="character" w:customStyle="1" w:styleId="Char111">
    <w:name w:val="表格内正文 Char1"/>
    <w:link w:val="a3"/>
    <w:rPr>
      <w:rFonts w:ascii="宋体" w:eastAsia="宋体" w:hAnsi="宋体"/>
      <w:spacing w:val="4"/>
      <w:kern w:val="18"/>
      <w:sz w:val="24"/>
      <w:szCs w:val="24"/>
      <w:lang w:val="en-US" w:eastAsia="zh-CN" w:bidi="ar-SA"/>
    </w:rPr>
  </w:style>
  <w:style w:type="paragraph" w:customStyle="1" w:styleId="a3">
    <w:name w:val="表格内正文"/>
    <w:basedOn w:val="Normal"/>
    <w:link w:val="Char111"/>
    <w:pPr>
      <w:spacing w:line="360" w:lineRule="auto"/>
      <w:ind w:firstLine="493"/>
    </w:pPr>
    <w:rPr>
      <w:rFonts w:ascii="宋体" w:hAnsi="宋体"/>
      <w:spacing w:val="4"/>
      <w:kern w:val="18"/>
      <w:sz w:val="24"/>
    </w:rPr>
  </w:style>
  <w:style w:type="character" w:customStyle="1" w:styleId="CharChar1">
    <w:name w:val="文 本 正 文 Char Char"/>
    <w:link w:val="a4"/>
    <w:locked/>
    <w:rPr>
      <w:rFonts w:ascii="宋体" w:eastAsia="宋体" w:hAnsi="宋体" w:cs="宋体"/>
      <w:snapToGrid w:val="0"/>
      <w:color w:val="000000"/>
      <w:spacing w:val="4"/>
      <w:kern w:val="18"/>
      <w:sz w:val="24"/>
      <w:szCs w:val="24"/>
      <w:lang w:val="en-US" w:eastAsia="zh-CN" w:bidi="ar-SA"/>
    </w:rPr>
  </w:style>
  <w:style w:type="paragraph" w:customStyle="1" w:styleId="a4">
    <w:name w:val="文 本 正 文"/>
    <w:basedOn w:val="Normal"/>
    <w:link w:val="CharChar1"/>
    <w:pPr>
      <w:autoSpaceDE w:val="0"/>
      <w:autoSpaceDN w:val="0"/>
      <w:adjustRightInd w:val="0"/>
      <w:snapToGrid w:val="0"/>
      <w:spacing w:line="360" w:lineRule="auto"/>
      <w:ind w:firstLine="496" w:firstLineChars="200"/>
    </w:pPr>
    <w:rPr>
      <w:rFonts w:ascii="宋体" w:hAnsi="宋体" w:cs="宋体"/>
      <w:snapToGrid w:val="0"/>
      <w:color w:val="000000"/>
      <w:spacing w:val="4"/>
      <w:kern w:val="18"/>
      <w:sz w:val="24"/>
    </w:rPr>
  </w:style>
  <w:style w:type="character" w:customStyle="1" w:styleId="Char25">
    <w:name w:val="表格正文 Char"/>
    <w:link w:val="a5"/>
    <w:rPr>
      <w:rFonts w:ascii="宋体" w:eastAsia="宋体"/>
      <w:snapToGrid w:val="0"/>
      <w:spacing w:val="4"/>
      <w:sz w:val="21"/>
      <w:szCs w:val="21"/>
      <w:lang w:val="en-US" w:eastAsia="zh-CN" w:bidi="ar-SA"/>
    </w:rPr>
  </w:style>
  <w:style w:type="paragraph" w:customStyle="1" w:styleId="a5">
    <w:name w:val="表格正文"/>
    <w:basedOn w:val="Normal"/>
    <w:next w:val="Normal"/>
    <w:link w:val="Char25"/>
    <w:pPr>
      <w:adjustRightInd w:val="0"/>
      <w:snapToGrid w:val="0"/>
      <w:jc w:val="center"/>
      <w:textAlignment w:val="baseline"/>
    </w:pPr>
    <w:rPr>
      <w:rFonts w:ascii="宋体"/>
      <w:snapToGrid w:val="0"/>
      <w:spacing w:val="4"/>
      <w:kern w:val="0"/>
      <w:szCs w:val="21"/>
    </w:rPr>
  </w:style>
  <w:style w:type="character" w:customStyle="1" w:styleId="Char26">
    <w:name w:val="表头 Char"/>
    <w:rPr>
      <w:rFonts w:ascii="宋体" w:hAnsi="宋体"/>
      <w:b/>
      <w:spacing w:val="4"/>
      <w:w w:val="90"/>
      <w:sz w:val="24"/>
      <w:lang w:val="en-US" w:eastAsia="zh-CN" w:bidi="ar-SA"/>
    </w:rPr>
  </w:style>
  <w:style w:type="character" w:customStyle="1" w:styleId="title14">
    <w:name w:val="title14"/>
    <w:rPr>
      <w:rFonts w:cs="Times New Roman"/>
    </w:rPr>
  </w:style>
  <w:style w:type="character" w:customStyle="1" w:styleId="hh1">
    <w:name w:val="hh1"/>
    <w:rPr>
      <w:rFonts w:cs="Times New Roman"/>
      <w:spacing w:val="300"/>
      <w:u w:val="none"/>
    </w:rPr>
  </w:style>
  <w:style w:type="character" w:customStyle="1" w:styleId="Char112">
    <w:name w:val="表头 Char1"/>
    <w:link w:val="a6"/>
    <w:rPr>
      <w:rFonts w:ascii="宋体" w:hAnsi="宋体"/>
      <w:spacing w:val="4"/>
      <w:sz w:val="24"/>
      <w:szCs w:val="24"/>
      <w:lang w:val="en-US" w:eastAsia="zh-CN" w:bidi="ar-SA"/>
    </w:rPr>
  </w:style>
  <w:style w:type="paragraph" w:customStyle="1" w:styleId="a6">
    <w:name w:val="表头"/>
    <w:link w:val="Char112"/>
    <w:pPr>
      <w:spacing w:before="50" w:beforeLines="50"/>
      <w:jc w:val="center"/>
    </w:pPr>
    <w:rPr>
      <w:rFonts w:ascii="宋体" w:hAnsi="宋体"/>
      <w:spacing w:val="4"/>
      <w:sz w:val="24"/>
      <w:szCs w:val="24"/>
      <w:lang w:val="en-US" w:eastAsia="zh-CN" w:bidi="ar-SA"/>
    </w:rPr>
  </w:style>
  <w:style w:type="character" w:customStyle="1" w:styleId="Char27">
    <w:name w:val="表名 Char"/>
    <w:link w:val="a7"/>
    <w:rPr>
      <w:b/>
      <w:bCs/>
      <w:kern w:val="2"/>
      <w:sz w:val="24"/>
      <w:szCs w:val="24"/>
    </w:rPr>
  </w:style>
  <w:style w:type="paragraph" w:customStyle="1" w:styleId="a7">
    <w:name w:val="表名"/>
    <w:basedOn w:val="Normal"/>
    <w:link w:val="Char27"/>
    <w:pPr>
      <w:adjustRightInd w:val="0"/>
      <w:spacing w:before="80" w:after="80" w:line="440" w:lineRule="atLeast"/>
      <w:jc w:val="center"/>
      <w:textAlignment w:val="baseline"/>
    </w:pPr>
    <w:rPr>
      <w:b/>
      <w:bCs/>
      <w:sz w:val="24"/>
    </w:rPr>
  </w:style>
  <w:style w:type="character" w:customStyle="1" w:styleId="12Char">
    <w:name w:val="样式12 Char"/>
    <w:link w:val="12"/>
    <w:rPr>
      <w:rFonts w:ascii="宋体" w:hAnsi="Romantic"/>
      <w:snapToGrid/>
      <w:spacing w:val="4"/>
      <w:sz w:val="24"/>
      <w:szCs w:val="24"/>
    </w:rPr>
  </w:style>
  <w:style w:type="paragraph" w:customStyle="1" w:styleId="12">
    <w:name w:val="样式12"/>
    <w:basedOn w:val="Normal"/>
    <w:link w:val="12Char"/>
    <w:pPr>
      <w:adjustRightInd w:val="0"/>
      <w:snapToGrid w:val="0"/>
      <w:spacing w:line="360" w:lineRule="auto"/>
      <w:ind w:firstLine="496" w:firstLineChars="200"/>
      <w:jc w:val="left"/>
      <w:textAlignment w:val="baseline"/>
    </w:pPr>
    <w:rPr>
      <w:rFonts w:ascii="宋体" w:hAnsi="Romantic"/>
      <w:spacing w:val="4"/>
      <w:kern w:val="0"/>
      <w:sz w:val="24"/>
    </w:rPr>
  </w:style>
  <w:style w:type="character" w:customStyle="1" w:styleId="a8">
    <w:name w:val="样式 宋体 小四"/>
    <w:rPr>
      <w:rFonts w:ascii="宋体" w:eastAsia="宋体" w:hAnsi="宋体"/>
      <w:sz w:val="24"/>
      <w:szCs w:val="24"/>
    </w:rPr>
  </w:style>
  <w:style w:type="character" w:customStyle="1" w:styleId="l12">
    <w:name w:val="l12"/>
    <w:basedOn w:val="DefaultParagraphFont"/>
  </w:style>
  <w:style w:type="character" w:customStyle="1" w:styleId="lllChar">
    <w:name w:val="lll Char"/>
    <w:link w:val="lll"/>
    <w:rPr>
      <w:rFonts w:ascii="宋体" w:hAnsi="宋体"/>
      <w:kern w:val="2"/>
      <w:sz w:val="28"/>
    </w:rPr>
  </w:style>
  <w:style w:type="paragraph" w:customStyle="1" w:styleId="lll">
    <w:name w:val="lll"/>
    <w:basedOn w:val="Normal"/>
    <w:link w:val="lllChar"/>
    <w:pPr>
      <w:spacing w:line="360" w:lineRule="auto"/>
      <w:ind w:firstLine="601"/>
    </w:pPr>
    <w:rPr>
      <w:rFonts w:ascii="宋体" w:hAnsi="宋体"/>
      <w:sz w:val="28"/>
      <w:szCs w:val="20"/>
    </w:rPr>
  </w:style>
  <w:style w:type="character" w:customStyle="1" w:styleId="headline-content">
    <w:name w:val="headline-content"/>
    <w:basedOn w:val="DefaultParagraphFont"/>
  </w:style>
  <w:style w:type="character" w:customStyle="1" w:styleId="mmChar">
    <w:name w:val="样式 正文mm Char"/>
    <w:link w:val="mm"/>
    <w:rPr>
      <w:rFonts w:cs="宋体"/>
      <w:kern w:val="2"/>
      <w:sz w:val="24"/>
      <w:szCs w:val="24"/>
    </w:rPr>
  </w:style>
  <w:style w:type="paragraph" w:customStyle="1" w:styleId="mm">
    <w:name w:val="样式 正文mm"/>
    <w:basedOn w:val="Normal"/>
    <w:next w:val="BodyTextFirstIndent2"/>
    <w:link w:val="mmChar"/>
    <w:pPr>
      <w:spacing w:line="360" w:lineRule="auto"/>
      <w:ind w:firstLine="200" w:firstLineChars="200"/>
    </w:pPr>
    <w:rPr>
      <w:sz w:val="24"/>
    </w:rPr>
  </w:style>
  <w:style w:type="character" w:customStyle="1" w:styleId="20110824Char">
    <w:name w:val="正文20110824 Char"/>
    <w:link w:val="20110824"/>
    <w:rPr>
      <w:color w:val="000000"/>
      <w:kern w:val="2"/>
      <w:sz w:val="24"/>
      <w:szCs w:val="24"/>
    </w:rPr>
  </w:style>
  <w:style w:type="paragraph" w:customStyle="1" w:styleId="20110824">
    <w:name w:val="正文20110824"/>
    <w:basedOn w:val="Normal"/>
    <w:link w:val="20110824Char"/>
    <w:pPr>
      <w:spacing w:line="360" w:lineRule="auto"/>
      <w:ind w:firstLine="200" w:firstLineChars="200"/>
    </w:pPr>
    <w:rPr>
      <w:color w:val="000000"/>
      <w:sz w:val="24"/>
    </w:rPr>
  </w:style>
  <w:style w:type="character" w:customStyle="1" w:styleId="Char28">
    <w:name w:val="可研报告正文 Char"/>
    <w:link w:val="a9"/>
    <w:rPr>
      <w:kern w:val="2"/>
      <w:sz w:val="24"/>
      <w:szCs w:val="24"/>
    </w:rPr>
  </w:style>
  <w:style w:type="paragraph" w:customStyle="1" w:styleId="a9">
    <w:name w:val="可研报告正文"/>
    <w:basedOn w:val="Normal"/>
    <w:link w:val="Char28"/>
    <w:pPr>
      <w:tabs>
        <w:tab w:val="left" w:pos="5880"/>
      </w:tabs>
      <w:spacing w:before="156" w:beforeLines="50" w:line="440" w:lineRule="exact"/>
      <w:ind w:left="425" w:firstLine="482"/>
    </w:pPr>
    <w:rPr>
      <w:sz w:val="24"/>
    </w:rPr>
  </w:style>
  <w:style w:type="character" w:customStyle="1" w:styleId="Char29">
    <w:name w:val="表内 Char"/>
    <w:link w:val="a10"/>
    <w:rPr>
      <w:kern w:val="2"/>
      <w:sz w:val="21"/>
      <w:szCs w:val="24"/>
    </w:rPr>
  </w:style>
  <w:style w:type="paragraph" w:customStyle="1" w:styleId="a10">
    <w:name w:val="表内"/>
    <w:basedOn w:val="Normal"/>
    <w:link w:val="Char29"/>
    <w:pPr>
      <w:jc w:val="center"/>
    </w:pPr>
  </w:style>
  <w:style w:type="character" w:customStyle="1" w:styleId="Char30">
    <w:name w:val="纯文本 Char"/>
    <w:rPr>
      <w:rFonts w:ascii="宋体" w:hAnsi="Courier New" w:cs="Courier New"/>
      <w:kern w:val="2"/>
      <w:sz w:val="21"/>
      <w:szCs w:val="21"/>
    </w:rPr>
  </w:style>
  <w:style w:type="character" w:customStyle="1" w:styleId="font121">
    <w:name w:val="font121"/>
    <w:rPr>
      <w:rFonts w:ascii="Times New Roman" w:hAnsi="Times New Roman" w:cs="Times New Roman" w:hint="default"/>
      <w:color w:val="000000"/>
      <w:sz w:val="21"/>
      <w:szCs w:val="21"/>
      <w:u w:val="none"/>
      <w:vertAlign w:val="subscript"/>
    </w:rPr>
  </w:style>
  <w:style w:type="character" w:customStyle="1" w:styleId="style491">
    <w:name w:val="style491"/>
    <w:rPr>
      <w:sz w:val="21"/>
      <w:szCs w:val="21"/>
    </w:rPr>
  </w:style>
  <w:style w:type="character" w:customStyle="1" w:styleId="Char31">
    <w:name w:val="表格内文字 Char"/>
    <w:link w:val="a11"/>
    <w:rPr>
      <w:rFonts w:eastAsia="仿宋_GB2312"/>
      <w:kern w:val="2"/>
      <w:sz w:val="24"/>
      <w:szCs w:val="24"/>
    </w:rPr>
  </w:style>
  <w:style w:type="paragraph" w:customStyle="1" w:styleId="a11">
    <w:name w:val="表格内文字"/>
    <w:basedOn w:val="Normal"/>
    <w:link w:val="Char31"/>
    <w:pPr>
      <w:tabs>
        <w:tab w:val="left" w:pos="0"/>
      </w:tabs>
      <w:adjustRightInd w:val="0"/>
      <w:snapToGrid w:val="0"/>
      <w:jc w:val="center"/>
    </w:pPr>
    <w:rPr>
      <w:rFonts w:eastAsia="仿宋_GB2312"/>
      <w:sz w:val="24"/>
    </w:rPr>
  </w:style>
  <w:style w:type="character" w:customStyle="1" w:styleId="highlight1">
    <w:name w:val="highlight1"/>
    <w:rPr>
      <w:sz w:val="21"/>
      <w:szCs w:val="21"/>
    </w:rPr>
  </w:style>
  <w:style w:type="character" w:customStyle="1" w:styleId="Char210">
    <w:name w:val="小四+首行缩进 Char2"/>
    <w:link w:val="a12"/>
    <w:rPr>
      <w:rFonts w:ascii="宋体" w:hAnsi="宋体" w:cs="宋体"/>
      <w:kern w:val="2"/>
      <w:sz w:val="24"/>
    </w:rPr>
  </w:style>
  <w:style w:type="paragraph" w:customStyle="1" w:styleId="a12">
    <w:name w:val="小四+首行缩进"/>
    <w:basedOn w:val="Normal"/>
    <w:link w:val="Char210"/>
    <w:pPr>
      <w:spacing w:line="360" w:lineRule="auto"/>
      <w:ind w:firstLine="482"/>
    </w:pPr>
    <w:rPr>
      <w:rFonts w:ascii="宋体" w:hAnsi="宋体"/>
      <w:sz w:val="24"/>
      <w:szCs w:val="20"/>
    </w:rPr>
  </w:style>
  <w:style w:type="character" w:customStyle="1" w:styleId="CharCharCharChar10">
    <w:name w:val="普通文字 Char Char Char Char1"/>
    <w:rPr>
      <w:rFonts w:ascii="宋体" w:eastAsia="宋体" w:hAnsi="Courier New" w:cs="Courier New"/>
      <w:kern w:val="2"/>
      <w:sz w:val="21"/>
      <w:szCs w:val="21"/>
      <w:lang w:val="en-US" w:eastAsia="zh-CN" w:bidi="ar-SA"/>
    </w:rPr>
  </w:style>
  <w:style w:type="character" w:customStyle="1" w:styleId="Char113">
    <w:name w:val="日期 Char1"/>
    <w:rPr>
      <w:kern w:val="2"/>
      <w:sz w:val="21"/>
      <w:szCs w:val="24"/>
    </w:rPr>
  </w:style>
  <w:style w:type="character" w:customStyle="1" w:styleId="2Char10">
    <w:name w:val="正文首行缩进 2 Char1"/>
    <w:rPr>
      <w:color w:val="000000"/>
      <w:kern w:val="2"/>
      <w:sz w:val="21"/>
      <w:szCs w:val="24"/>
    </w:rPr>
  </w:style>
  <w:style w:type="character" w:customStyle="1" w:styleId="Char114">
    <w:name w:val="批注主题 Char1"/>
    <w:rPr>
      <w:b/>
      <w:bCs/>
      <w:kern w:val="2"/>
      <w:sz w:val="21"/>
      <w:szCs w:val="24"/>
    </w:rPr>
  </w:style>
  <w:style w:type="character" w:customStyle="1" w:styleId="HTMLChar1">
    <w:name w:val="HTML 预设格式 Char1"/>
    <w:rPr>
      <w:rFonts w:ascii="Courier New" w:hAnsi="Courier New" w:cs="Courier New"/>
      <w:kern w:val="2"/>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CharCharChar">
    <w:name w:val=" Char Char Char"/>
    <w:basedOn w:val="Normal"/>
  </w:style>
  <w:style w:type="paragraph" w:customStyle="1" w:styleId="xl41">
    <w:name w:val="xl41"/>
    <w:basedOn w:val="Normal"/>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39">
    <w:name w:val="xl3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2"/>
      <w:szCs w:val="12"/>
    </w:rPr>
  </w:style>
  <w:style w:type="paragraph" w:customStyle="1" w:styleId="CharCharChar2Char">
    <w:name w:val=" Char Char Char2 Char"/>
    <w:basedOn w:val="Normal"/>
  </w:style>
  <w:style w:type="paragraph" w:customStyle="1" w:styleId="a13">
    <w:name w:val="内文"/>
    <w:pPr>
      <w:widowControl w:val="0"/>
      <w:autoSpaceDE w:val="0"/>
      <w:autoSpaceDN w:val="0"/>
      <w:adjustRightInd w:val="0"/>
      <w:spacing w:line="360" w:lineRule="atLeast"/>
      <w:ind w:left="567" w:firstLine="283"/>
      <w:jc w:val="both"/>
    </w:pPr>
    <w:rPr>
      <w:rFonts w:ascii="创艺繁宋体" w:eastAsia="创艺繁宋体"/>
      <w:color w:val="000000"/>
      <w:spacing w:val="200"/>
      <w:lang w:val="en-US" w:eastAsia="zh-CN" w:bidi="ar-SA"/>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35">
    <w:name w:val="标题3.5"/>
    <w:basedOn w:val="Normal"/>
    <w:rPr>
      <w:rFonts w:eastAsia="仿宋_GB2312"/>
      <w:sz w:val="24"/>
    </w:rPr>
  </w:style>
  <w:style w:type="paragraph" w:customStyle="1" w:styleId="xl52">
    <w:name w:val="xl52"/>
    <w:basedOn w:val="Normal"/>
    <w:pPr>
      <w:widowControl/>
      <w:pBdr>
        <w:left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a14">
    <w:name w:val="主标题"/>
    <w:pPr>
      <w:widowControl w:val="0"/>
      <w:autoSpaceDE w:val="0"/>
      <w:autoSpaceDN w:val="0"/>
      <w:adjustRightInd w:val="0"/>
      <w:jc w:val="both"/>
    </w:pPr>
    <w:rPr>
      <w:rFonts w:ascii="创艺繁标宋" w:eastAsia="创艺繁标宋"/>
      <w:b/>
      <w:sz w:val="30"/>
      <w:lang w:val="en-US" w:eastAsia="zh-CN" w:bidi="ar-SA"/>
    </w:rPr>
  </w:style>
  <w:style w:type="paragraph" w:customStyle="1" w:styleId="font8">
    <w:name w:val="font8"/>
    <w:basedOn w:val="Normal"/>
    <w:pPr>
      <w:widowControl/>
      <w:spacing w:before="100" w:beforeAutospacing="1" w:after="100" w:afterAutospacing="1"/>
      <w:jc w:val="left"/>
    </w:pPr>
    <w:rPr>
      <w:kern w:val="0"/>
      <w:sz w:val="24"/>
    </w:rPr>
  </w:style>
  <w:style w:type="paragraph" w:customStyle="1" w:styleId="ParaCharCharCharChar">
    <w:name w:val="默认段落字体 Para Char Char Char Char"/>
    <w:basedOn w:val="Normal"/>
    <w:rPr>
      <w:sz w:val="24"/>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42">
    <w:name w:val="xl42"/>
    <w:basedOn w:val="Normal"/>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22">
    <w:name w:val="xl22"/>
    <w:basedOn w:val="Normal"/>
    <w:pPr>
      <w:widowControl/>
      <w:spacing w:before="100" w:beforeAutospacing="1" w:after="100" w:afterAutospacing="1"/>
      <w:jc w:val="left"/>
    </w:pPr>
    <w:rPr>
      <w:rFonts w:ascii="宋体" w:hAnsi="宋体"/>
      <w:kern w:val="0"/>
      <w:sz w:val="20"/>
      <w:szCs w:val="20"/>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44">
    <w:name w:val="xl44"/>
    <w:basedOn w:val="Normal"/>
    <w:pPr>
      <w:widowControl/>
      <w:spacing w:before="100" w:beforeAutospacing="1" w:after="100" w:afterAutospacing="1"/>
      <w:jc w:val="center"/>
    </w:pPr>
    <w:rPr>
      <w:rFonts w:ascii="幼圆" w:eastAsia="幼圆" w:hAnsi="宋体" w:hint="eastAsia"/>
      <w:kern w:val="0"/>
      <w:sz w:val="24"/>
    </w:rPr>
  </w:style>
  <w:style w:type="paragraph" w:customStyle="1" w:styleId="xl46">
    <w:name w:val="xl46"/>
    <w:basedOn w:val="Normal"/>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51">
    <w:name w:val="xl51"/>
    <w:basedOn w:val="Normal"/>
    <w:pPr>
      <w:widowControl/>
      <w:pBdr>
        <w:top w:val="single" w:sz="4" w:space="0" w:color="auto"/>
        <w:left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16"/>
      <w:szCs w:val="16"/>
    </w:rPr>
  </w:style>
  <w:style w:type="paragraph" w:customStyle="1" w:styleId="xl23">
    <w:name w:val="xl2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CharCharCharCharChar2Char">
    <w:name w:val=" Char Char Char Char Char2 Char"/>
    <w:basedOn w:val="Normal"/>
    <w:pPr>
      <w:adjustRightInd w:val="0"/>
      <w:snapToGrid w:val="0"/>
      <w:spacing w:line="360" w:lineRule="auto"/>
      <w:ind w:firstLine="200" w:firstLineChars="200"/>
    </w:pPr>
  </w:style>
  <w:style w:type="paragraph" w:customStyle="1" w:styleId="xl49">
    <w:name w:val="xl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32">
    <w:name w:val=" Char"/>
    <w:basedOn w:val="Normal"/>
    <w:rPr>
      <w:sz w:val="24"/>
    </w:rPr>
  </w:style>
  <w:style w:type="paragraph" w:customStyle="1" w:styleId="xl45">
    <w:name w:val="xl45"/>
    <w:basedOn w:val="Normal"/>
    <w:pPr>
      <w:widowControl/>
      <w:spacing w:before="100" w:beforeAutospacing="1" w:after="100" w:afterAutospacing="1"/>
      <w:jc w:val="center"/>
    </w:pPr>
    <w:rPr>
      <w:rFonts w:ascii="宋体" w:hAnsi="宋体"/>
      <w:kern w:val="0"/>
      <w:sz w:val="36"/>
      <w:szCs w:val="36"/>
    </w:rPr>
  </w:style>
  <w:style w:type="paragraph" w:customStyle="1" w:styleId="font7">
    <w:name w:val="font7"/>
    <w:basedOn w:val="Normal"/>
    <w:pPr>
      <w:widowControl/>
      <w:spacing w:before="100" w:beforeAutospacing="1" w:after="100" w:afterAutospacing="1"/>
      <w:jc w:val="left"/>
    </w:pPr>
    <w:rPr>
      <w:kern w:val="0"/>
      <w:sz w:val="20"/>
      <w:szCs w:val="20"/>
    </w:rPr>
  </w:style>
  <w:style w:type="paragraph" w:customStyle="1" w:styleId="xl37">
    <w:name w:val="xl3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2"/>
      <w:szCs w:val="12"/>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16"/>
      <w:szCs w:val="16"/>
    </w:rPr>
  </w:style>
  <w:style w:type="paragraph" w:customStyle="1" w:styleId="23">
    <w:name w:val="样式 文本正文 + 首行缩进:  2 字符3"/>
    <w:basedOn w:val="Normal"/>
    <w:pPr>
      <w:autoSpaceDE w:val="0"/>
      <w:autoSpaceDN w:val="0"/>
      <w:adjustRightInd w:val="0"/>
      <w:spacing w:line="360" w:lineRule="auto"/>
      <w:ind w:firstLine="496" w:firstLineChars="200"/>
      <w:textAlignment w:val="baseline"/>
    </w:pPr>
    <w:rPr>
      <w:rFonts w:ascii="宋体" w:hAnsi="宋体" w:cs="宋体"/>
      <w:snapToGrid w:val="0"/>
      <w:color w:val="000000"/>
      <w:kern w:val="21"/>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40">
    <w:name w:val="xl4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1">
    <w:name w:val="小标题 1"/>
    <w:basedOn w:val="a14"/>
    <w:rPr>
      <w:rFonts w:ascii="创艺繁宋体" w:eastAsia="创艺繁宋体"/>
      <w:sz w:val="20"/>
    </w:rPr>
  </w:style>
  <w:style w:type="paragraph" w:customStyle="1" w:styleId="a15">
    <w:name w:val="表格"/>
    <w:basedOn w:val="Normal"/>
    <w:pPr>
      <w:jc w:val="center"/>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
    <w:name w:val="小标题 2"/>
    <w:basedOn w:val="1"/>
    <w:pPr>
      <w:ind w:left="283"/>
    </w:pPr>
  </w:style>
  <w:style w:type="paragraph" w:customStyle="1" w:styleId="font9">
    <w:name w:val="font9"/>
    <w:basedOn w:val="Normal"/>
    <w:pPr>
      <w:widowControl/>
      <w:spacing w:before="100" w:beforeAutospacing="1" w:after="100" w:afterAutospacing="1"/>
      <w:jc w:val="left"/>
    </w:pPr>
    <w:rPr>
      <w:rFonts w:ascii="宋体" w:hAnsi="宋体" w:hint="eastAsia"/>
      <w:kern w:val="0"/>
      <w:sz w:val="16"/>
      <w:szCs w:val="16"/>
    </w:rPr>
  </w:style>
  <w:style w:type="paragraph" w:customStyle="1" w:styleId="xl48">
    <w:name w:val="xl48"/>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16">
    <w:name w:val="引言"/>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pPr>
    <w:rPr>
      <w:rFonts w:ascii="创艺繁楷体" w:eastAsia="创艺繁楷体"/>
      <w:i/>
      <w:sz w:val="22"/>
      <w:lang w:val="en-US" w:eastAsia="zh-CN" w:bidi="ar-SA"/>
    </w:rPr>
  </w:style>
  <w:style w:type="paragraph" w:customStyle="1" w:styleId="02">
    <w:name w:val="标题02"/>
    <w:basedOn w:val="Normal"/>
    <w:pPr>
      <w:tabs>
        <w:tab w:val="left" w:pos="840"/>
      </w:tabs>
      <w:snapToGrid w:val="0"/>
      <w:spacing w:line="440" w:lineRule="atLeast"/>
      <w:ind w:left="476" w:hanging="357"/>
      <w:outlineLvl w:val="1"/>
    </w:pPr>
    <w:rPr>
      <w:rFonts w:eastAsia="仿宋_GB2312"/>
      <w:b/>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7">
    <w:name w:val="样式7"/>
    <w:basedOn w:val="Normal"/>
    <w:pPr>
      <w:tabs>
        <w:tab w:val="left" w:pos="320"/>
        <w:tab w:val="center" w:pos="709"/>
      </w:tabs>
      <w:spacing w:line="320" w:lineRule="exact"/>
      <w:jc w:val="center"/>
    </w:pPr>
    <w:rPr>
      <w:color w:val="000000"/>
      <w:sz w:val="18"/>
    </w:rPr>
  </w:style>
  <w:style w:type="paragraph" w:customStyle="1" w:styleId="xl43">
    <w:name w:val="xl43"/>
    <w:basedOn w:val="Normal"/>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a17">
    <w:name w:val="敏感表"/>
    <w:basedOn w:val="Normal"/>
    <w:next w:val="Normal"/>
    <w:pPr>
      <w:topLinePunct/>
      <w:adjustRightInd w:val="0"/>
      <w:spacing w:line="240" w:lineRule="atLeast"/>
      <w:jc w:val="center"/>
      <w:textAlignment w:val="bottom"/>
    </w:pPr>
    <w:rPr>
      <w:kern w:val="0"/>
      <w:szCs w:val="20"/>
    </w:rPr>
  </w:style>
  <w:style w:type="paragraph" w:customStyle="1" w:styleId="ParaChar">
    <w:name w:val="默认段落字体 Para Char"/>
    <w:basedOn w:val="Normal"/>
    <w:rPr>
      <w:sz w:val="24"/>
    </w:rPr>
  </w:style>
  <w:style w:type="paragraph" w:customStyle="1" w:styleId="a18">
    <w:name w:val="表后文字"/>
    <w:next w:val="Normal"/>
    <w:pPr>
      <w:ind w:firstLine="493"/>
    </w:pPr>
    <w:rPr>
      <w:rFonts w:ascii="宋体"/>
      <w:spacing w:val="4"/>
      <w:w w:val="80"/>
      <w:kern w:val="18"/>
      <w:sz w:val="24"/>
      <w:szCs w:val="24"/>
      <w:lang w:val="en-US" w:eastAsia="zh-CN" w:bidi="ar-SA"/>
    </w:rPr>
  </w:style>
  <w:style w:type="paragraph" w:customStyle="1" w:styleId="Style60">
    <w:name w:val="_Style 60"/>
    <w:basedOn w:val="Normal"/>
    <w:pPr>
      <w:adjustRightInd w:val="0"/>
      <w:snapToGrid w:val="0"/>
      <w:spacing w:line="360" w:lineRule="auto"/>
      <w:ind w:firstLine="200" w:firstLineChars="200"/>
    </w:pPr>
  </w:style>
  <w:style w:type="paragraph" w:customStyle="1" w:styleId="xl38">
    <w:name w:val="xl3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Char1CharCharCharCharCharChar1">
    <w:name w:val=" Char1 Char Char Char Char Char Char1"/>
    <w:basedOn w:val="Normal"/>
    <w:rPr>
      <w:sz w:val="24"/>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Char33">
    <w:name w:val="Char"/>
    <w:basedOn w:val="Normal"/>
    <w:rPr>
      <w:sz w:val="24"/>
    </w:rPr>
  </w:style>
  <w:style w:type="paragraph" w:customStyle="1" w:styleId="xl47">
    <w:name w:val="xl47"/>
    <w:basedOn w:val="Normal"/>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Pa0">
    <w:name w:val="Pa0"/>
    <w:basedOn w:val="Default"/>
    <w:next w:val="Default"/>
    <w:pPr>
      <w:spacing w:line="241" w:lineRule="atLeast"/>
    </w:pPr>
    <w:rPr>
      <w:rFonts w:ascii="华文中宋" w:eastAsia="华文中宋" w:cs="Times New Roman"/>
      <w:color w:val="auto"/>
    </w:rPr>
  </w:style>
  <w:style w:type="paragraph" w:customStyle="1" w:styleId="Default">
    <w:name w:val="Default"/>
    <w:pPr>
      <w:widowControl w:val="0"/>
      <w:autoSpaceDE w:val="0"/>
      <w:autoSpaceDN w:val="0"/>
      <w:adjustRightInd w:val="0"/>
    </w:pPr>
    <w:rPr>
      <w:rFonts w:ascii="幼圆" w:eastAsia="幼圆" w:cs="幼圆"/>
      <w:color w:val="000000"/>
      <w:sz w:val="24"/>
      <w:szCs w:val="24"/>
      <w:lang w:val="en-US" w:eastAsia="zh-CN" w:bidi="ar-SA"/>
    </w:rPr>
  </w:style>
  <w:style w:type="paragraph" w:customStyle="1" w:styleId="xl53">
    <w:name w:val="xl53"/>
    <w:basedOn w:val="Normal"/>
    <w:pPr>
      <w:widowControl/>
      <w:pBdr>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CharCharCharCharCharCharCharCharCharCharCharCharCharCharCharCharCharCharChar">
    <w:name w:val=" Char Char Char Char Char Char Char Char Char Char Char Char Char Char Char Char Char Char Char"/>
    <w:basedOn w:val="Normal"/>
    <w:pPr>
      <w:spacing w:line="360" w:lineRule="auto"/>
      <w:ind w:firstLine="200" w:firstLineChars="200"/>
    </w:pPr>
    <w:rPr>
      <w:szCs w:val="20"/>
    </w:rPr>
  </w:style>
  <w:style w:type="paragraph" w:customStyle="1" w:styleId="20">
    <w:name w:val="正文2"/>
    <w:basedOn w:val="Normal"/>
    <w:pPr>
      <w:adjustRightInd w:val="0"/>
      <w:snapToGrid w:val="0"/>
      <w:spacing w:line="440" w:lineRule="atLeast"/>
      <w:ind w:firstLine="567"/>
    </w:pPr>
    <w:rPr>
      <w:sz w:val="24"/>
      <w:szCs w:val="20"/>
    </w:rPr>
  </w:style>
  <w:style w:type="paragraph" w:customStyle="1" w:styleId="a19">
    <w:name w:val="居中正文"/>
    <w:basedOn w:val="BodyTextFirstIndent"/>
    <w:pPr>
      <w:adjustRightInd w:val="0"/>
      <w:spacing w:before="120" w:after="0" w:line="360" w:lineRule="auto"/>
      <w:ind w:firstLine="0" w:firstLineChars="0"/>
      <w:jc w:val="center"/>
      <w:textAlignment w:val="baseline"/>
    </w:pPr>
    <w:rPr>
      <w:rFonts w:ascii="宋体"/>
      <w:kern w:val="28"/>
      <w:sz w:val="24"/>
      <w:szCs w:val="20"/>
    </w:rPr>
  </w:style>
  <w:style w:type="paragraph" w:customStyle="1" w:styleId="AM">
    <w:name w:val="正本AM"/>
    <w:basedOn w:val="Normal"/>
    <w:pPr>
      <w:adjustRightInd w:val="0"/>
      <w:snapToGrid w:val="0"/>
      <w:spacing w:line="360" w:lineRule="auto"/>
      <w:ind w:firstLine="576" w:firstLineChars="200"/>
      <w:jc w:val="left"/>
    </w:pPr>
    <w:rPr>
      <w:rFonts w:eastAsia="仿宋_GB2312"/>
      <w:spacing w:val="4"/>
      <w:kern w:val="18"/>
      <w:sz w:val="28"/>
      <w:szCs w:val="28"/>
    </w:rPr>
  </w:style>
  <w:style w:type="paragraph" w:customStyle="1" w:styleId="5">
    <w:name w:val="5表头"/>
    <w:basedOn w:val="Normal"/>
    <w:pPr>
      <w:spacing w:before="156" w:beforeLines="50"/>
      <w:jc w:val="center"/>
    </w:pPr>
    <w:rPr>
      <w:rFonts w:eastAsia="黑体" w:cs="宋体"/>
      <w:szCs w:val="20"/>
    </w:rPr>
  </w:style>
  <w:style w:type="paragraph" w:customStyle="1" w:styleId="21">
    <w:name w:val="正文文本 21"/>
    <w:basedOn w:val="Normal"/>
    <w:pPr>
      <w:adjustRightInd w:val="0"/>
      <w:jc w:val="center"/>
      <w:textAlignment w:val="baseline"/>
    </w:pPr>
    <w:rPr>
      <w:sz w:val="24"/>
      <w:szCs w:val="20"/>
    </w:rPr>
  </w:style>
  <w:style w:type="paragraph" w:customStyle="1" w:styleId="a20">
    <w:name w:val="标准"/>
    <w:basedOn w:val="Normal"/>
    <w:pPr>
      <w:adjustRightInd w:val="0"/>
      <w:spacing w:line="312" w:lineRule="atLeast"/>
      <w:jc w:val="center"/>
      <w:textAlignment w:val="baseline"/>
    </w:pPr>
    <w:rPr>
      <w:kern w:val="0"/>
      <w:szCs w:val="20"/>
    </w:rPr>
  </w:style>
  <w:style w:type="paragraph" w:customStyle="1" w:styleId="a21">
    <w:name w:val="简单回函地址"/>
    <w:basedOn w:val="Normal"/>
    <w:rPr>
      <w:sz w:val="24"/>
      <w:szCs w:val="20"/>
    </w:rPr>
  </w:style>
  <w:style w:type="paragraph" w:customStyle="1" w:styleId="CharCharCharCharCharCharChar">
    <w:name w:val=" Char Char Char Char Char Char Char"/>
    <w:basedOn w:val="Normal"/>
    <w:rPr>
      <w:szCs w:val="20"/>
    </w:rPr>
  </w:style>
  <w:style w:type="paragraph" w:customStyle="1" w:styleId="a22">
    <w:name w:val="表格内表格正文"/>
    <w:basedOn w:val="Normal"/>
    <w:pPr>
      <w:jc w:val="center"/>
    </w:pPr>
    <w:rPr>
      <w:rFonts w:ascii="宋体" w:hAnsi="宋体"/>
      <w:kern w:val="18"/>
      <w:szCs w:val="21"/>
    </w:rPr>
  </w:style>
  <w:style w:type="paragraph" w:customStyle="1" w:styleId="10">
    <w:name w:val="正文文字1"/>
    <w:basedOn w:val="Normal"/>
    <w:pPr>
      <w:jc w:val="center"/>
    </w:pPr>
  </w:style>
  <w:style w:type="paragraph" w:customStyle="1" w:styleId="CharChar2">
    <w:name w:val="表头 Char Char"/>
    <w:basedOn w:val="Normal"/>
    <w:pPr>
      <w:spacing w:line="440" w:lineRule="exact"/>
      <w:jc w:val="center"/>
    </w:pPr>
    <w:rPr>
      <w:spacing w:val="34"/>
      <w:sz w:val="24"/>
    </w:rPr>
  </w:style>
  <w:style w:type="paragraph" w:customStyle="1" w:styleId="3">
    <w:name w:val="样式3"/>
    <w:basedOn w:val="BodyTextIndent"/>
    <w:pPr>
      <w:spacing w:line="900" w:lineRule="exact"/>
      <w:ind w:firstLine="720" w:firstLineChars="200"/>
      <w:jc w:val="center"/>
    </w:pPr>
    <w:rPr>
      <w:rFonts w:eastAsia="黑体"/>
      <w:b/>
      <w:color w:val="auto"/>
      <w:sz w:val="36"/>
    </w:rPr>
  </w:style>
  <w:style w:type="paragraph" w:customStyle="1" w:styleId="tableborder4">
    <w:name w:val="tableborder4"/>
    <w:basedOn w:val="Normal"/>
    <w:pPr>
      <w:widowControl/>
      <w:pBdr>
        <w:top w:val="single" w:sz="6" w:space="0" w:color="FFFFFF"/>
        <w:left w:val="single" w:sz="6" w:space="0" w:color="FFFFFF"/>
        <w:bottom w:val="single" w:sz="6" w:space="0" w:color="FFFFFF"/>
        <w:right w:val="single" w:sz="6" w:space="0" w:color="FFFFFF"/>
      </w:pBdr>
      <w:spacing w:before="100" w:beforeAutospacing="1" w:after="100" w:afterAutospacing="1"/>
      <w:jc w:val="left"/>
    </w:pPr>
    <w:rPr>
      <w:rFonts w:ascii="宋体" w:hAnsi="宋体"/>
      <w:kern w:val="0"/>
      <w:sz w:val="24"/>
    </w:rPr>
  </w:style>
  <w:style w:type="paragraph" w:customStyle="1" w:styleId="a23">
    <w:name w:val="表体"/>
    <w:basedOn w:val="Normal"/>
    <w:pPr>
      <w:adjustRightInd w:val="0"/>
      <w:snapToGrid w:val="0"/>
      <w:spacing w:line="240" w:lineRule="atLeast"/>
      <w:jc w:val="center"/>
    </w:pPr>
    <w:rPr>
      <w:rFonts w:ascii="仿宋_GB2312" w:eastAsia="仿宋_GB2312"/>
      <w:sz w:val="24"/>
      <w:szCs w:val="20"/>
    </w:rPr>
  </w:style>
  <w:style w:type="paragraph" w:customStyle="1" w:styleId="tablebody2">
    <w:name w:val="tablebody2"/>
    <w:basedOn w:val="Normal"/>
    <w:pPr>
      <w:widowControl/>
      <w:shd w:val="clear" w:color="auto" w:fill="EEEEEE"/>
      <w:spacing w:before="100" w:beforeAutospacing="1" w:after="100" w:afterAutospacing="1"/>
      <w:jc w:val="left"/>
    </w:pPr>
    <w:rPr>
      <w:rFonts w:ascii="宋体" w:hAnsi="宋体"/>
      <w:kern w:val="0"/>
      <w:sz w:val="24"/>
    </w:rPr>
  </w:style>
  <w:style w:type="paragraph" w:customStyle="1" w:styleId="a24">
    <w:name w:val="正文首行缩进二字"/>
    <w:basedOn w:val="Normal"/>
    <w:pPr>
      <w:snapToGrid w:val="0"/>
      <w:spacing w:line="460" w:lineRule="exact"/>
      <w:ind w:firstLine="200" w:firstLineChars="200"/>
    </w:pPr>
    <w:rPr>
      <w:sz w:val="24"/>
    </w:rPr>
  </w:style>
  <w:style w:type="paragraph" w:customStyle="1" w:styleId="2GB2312">
    <w:name w:val="样式 标题 2 + 仿宋_GB2312 黑色"/>
    <w:basedOn w:val="Heading2"/>
    <w:pPr>
      <w:spacing w:before="0" w:after="0" w:line="640" w:lineRule="exact"/>
      <w:ind w:firstLine="602" w:leftChars="0" w:rightChars="0" w:firstLineChars="200"/>
      <w:jc w:val="both"/>
    </w:pPr>
    <w:rPr>
      <w:rFonts w:ascii="仿宋_GB2312" w:eastAsia="仿宋_GB2312" w:cs="宋体"/>
      <w:snapToGrid w:val="0"/>
      <w:color w:val="000000"/>
      <w:sz w:val="30"/>
      <w:szCs w:val="20"/>
    </w:rPr>
  </w:style>
  <w:style w:type="paragraph" w:customStyle="1" w:styleId="CharCharCharChar">
    <w:name w:val=" Char Char Char Char"/>
    <w:basedOn w:val="Normal"/>
  </w:style>
  <w:style w:type="paragraph" w:customStyle="1" w:styleId="tableborder2">
    <w:name w:val="tableborder2"/>
    <w:basedOn w:val="Normal"/>
    <w:pPr>
      <w:widowControl/>
      <w:pBdr>
        <w:top w:val="single" w:sz="6" w:space="0" w:color="FFFFFF"/>
        <w:left w:val="single" w:sz="6" w:space="0" w:color="FFFFFF"/>
        <w:bottom w:val="single" w:sz="6" w:space="0" w:color="FFFFFF"/>
        <w:right w:val="single" w:sz="6" w:space="0" w:color="FFFFFF"/>
      </w:pBdr>
      <w:shd w:val="clear" w:color="auto" w:fill="EEEEEE"/>
      <w:jc w:val="left"/>
    </w:pPr>
    <w:rPr>
      <w:rFonts w:ascii="宋体" w:hAnsi="宋体"/>
      <w:kern w:val="0"/>
      <w:sz w:val="24"/>
    </w:rPr>
  </w:style>
  <w:style w:type="paragraph" w:customStyle="1" w:styleId="aaa">
    <w:name w:val="aaa"/>
    <w:basedOn w:val="Normal"/>
    <w:pPr>
      <w:keepNext/>
      <w:keepLines/>
      <w:spacing w:after="156" w:afterLines="50" w:line="640" w:lineRule="exact"/>
      <w:ind w:firstLine="602" w:firstLineChars="200"/>
      <w:outlineLvl w:val="1"/>
    </w:pPr>
    <w:rPr>
      <w:rFonts w:ascii="Arial" w:eastAsia="黑体" w:hAnsi="Arial"/>
      <w:b/>
      <w:sz w:val="30"/>
      <w:szCs w:val="20"/>
    </w:rPr>
  </w:style>
  <w:style w:type="paragraph" w:customStyle="1" w:styleId="zxz5">
    <w:name w:val="zxz5"/>
    <w:next w:val="Normal"/>
    <w:pPr>
      <w:tabs>
        <w:tab w:val="left" w:pos="0"/>
      </w:tabs>
      <w:jc w:val="center"/>
    </w:pPr>
    <w:rPr>
      <w:lang w:val="en-US" w:eastAsia="zh-CN" w:bidi="ar-SA"/>
    </w:rPr>
  </w:style>
  <w:style w:type="paragraph" w:customStyle="1" w:styleId="tableborder3">
    <w:name w:val="tableborder3"/>
    <w:basedOn w:val="Normal"/>
    <w:pPr>
      <w:widowControl/>
      <w:pBdr>
        <w:left w:val="single" w:sz="6" w:space="0" w:color="FFFFFF"/>
        <w:bottom w:val="single" w:sz="2" w:space="0" w:color="FFFFFF"/>
        <w:right w:val="single" w:sz="6" w:space="0" w:color="FFFFFF"/>
      </w:pBdr>
      <w:shd w:val="clear" w:color="auto" w:fill="EEEEEE"/>
      <w:spacing w:before="100" w:beforeAutospacing="1" w:after="100" w:afterAutospacing="1"/>
      <w:jc w:val="left"/>
    </w:pPr>
    <w:rPr>
      <w:rFonts w:ascii="宋体" w:hAnsi="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032">
    <w:name w:val="样式 宋体 左侧:  0 厘米 行距: 固定值 32 磅"/>
    <w:basedOn w:val="Normal"/>
    <w:pPr>
      <w:spacing w:line="640" w:lineRule="exact"/>
      <w:ind w:left="1" w:firstLine="420" w:firstLineChars="200"/>
    </w:pPr>
    <w:rPr>
      <w:rFonts w:ascii="宋体" w:eastAsia="仿宋_GB2312" w:hAnsi="宋体" w:cs="宋体"/>
      <w:kern w:val="0"/>
      <w:sz w:val="28"/>
      <w:szCs w:val="20"/>
    </w:rPr>
  </w:style>
  <w:style w:type="paragraph" w:customStyle="1" w:styleId="a25">
    <w:name w:val="应填表格"/>
    <w:basedOn w:val="Normal"/>
    <w:pPr>
      <w:adjustRightInd w:val="0"/>
      <w:spacing w:before="40" w:after="40"/>
      <w:jc w:val="left"/>
      <w:textAlignment w:val="baseline"/>
    </w:pPr>
    <w:rPr>
      <w:kern w:val="0"/>
      <w:sz w:val="24"/>
      <w:szCs w:val="20"/>
    </w:rPr>
  </w:style>
  <w:style w:type="paragraph" w:customStyle="1" w:styleId="098">
    <w:name w:val="样式 宋体 首行缩进:  0.98 厘米"/>
    <w:basedOn w:val="Normal"/>
    <w:pPr>
      <w:ind w:firstLine="555"/>
    </w:pPr>
    <w:rPr>
      <w:rFonts w:ascii="宋体" w:eastAsia="仿宋_GB2312" w:hAnsi="宋体" w:cs="宋体"/>
      <w:kern w:val="0"/>
      <w:sz w:val="28"/>
      <w:szCs w:val="20"/>
    </w:rPr>
  </w:style>
  <w:style w:type="paragraph" w:customStyle="1" w:styleId="CharChar1CharCharCharCharCharChar">
    <w:name w:val=" Char Char1 Char Char 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32">
    <w:name w:val="正文 32"/>
    <w:basedOn w:val="Normal"/>
    <w:pPr>
      <w:autoSpaceDE w:val="0"/>
      <w:autoSpaceDN w:val="0"/>
      <w:adjustRightInd w:val="0"/>
      <w:spacing w:line="300" w:lineRule="auto"/>
      <w:ind w:firstLine="567"/>
      <w:textAlignment w:val="baseline"/>
    </w:pPr>
    <w:rPr>
      <w:rFonts w:eastAsia="楷体_GB2312"/>
      <w:kern w:val="0"/>
      <w:sz w:val="24"/>
      <w:szCs w:val="20"/>
    </w:rPr>
  </w:style>
  <w:style w:type="paragraph" w:customStyle="1" w:styleId="11">
    <w:name w:val="样式1"/>
    <w:basedOn w:val="Heading4"/>
    <w:pPr>
      <w:spacing w:line="900" w:lineRule="exact"/>
      <w:ind w:firstLine="883"/>
      <w:jc w:val="center"/>
    </w:pPr>
    <w:rPr>
      <w:rFonts w:eastAsia="宋体"/>
      <w:b w:val="0"/>
      <w:bCs w:val="0"/>
    </w:rPr>
  </w:style>
  <w:style w:type="paragraph" w:customStyle="1" w:styleId="CharChar3">
    <w:name w:val="首行缩进 Char Char"/>
    <w:basedOn w:val="Normal"/>
    <w:pPr>
      <w:snapToGrid w:val="0"/>
      <w:spacing w:line="360" w:lineRule="auto"/>
      <w:ind w:firstLine="499"/>
    </w:pPr>
    <w:rPr>
      <w:rFonts w:ascii="宋体"/>
      <w:sz w:val="24"/>
    </w:rPr>
  </w:style>
  <w:style w:type="paragraph" w:customStyle="1" w:styleId="Char4CharCharChar">
    <w:name w:val=" Char4 Char Char Char"/>
    <w:basedOn w:val="Normal"/>
    <w:pPr>
      <w:adjustRightInd w:val="0"/>
      <w:snapToGrid w:val="0"/>
      <w:spacing w:line="360" w:lineRule="auto"/>
      <w:ind w:firstLine="200" w:firstLineChars="200"/>
    </w:pPr>
  </w:style>
  <w:style w:type="paragraph" w:customStyle="1" w:styleId="0012">
    <w:name w:val="样式 正文001 + 首行缩进:  2 字符"/>
    <w:basedOn w:val="Normal"/>
    <w:pPr>
      <w:spacing w:before="60" w:line="460" w:lineRule="atLeast"/>
      <w:ind w:firstLine="480" w:firstLineChars="200"/>
    </w:pPr>
    <w:rPr>
      <w:rFonts w:cs="宋体"/>
      <w:sz w:val="24"/>
      <w:szCs w:val="20"/>
    </w:rPr>
  </w:style>
  <w:style w:type="paragraph" w:customStyle="1" w:styleId="BT4">
    <w:name w:val="BT4"/>
    <w:basedOn w:val="Normal"/>
    <w:pPr>
      <w:spacing w:line="360" w:lineRule="auto"/>
      <w:ind w:firstLine="200" w:firstLineChars="200"/>
    </w:pPr>
    <w:rPr>
      <w:rFonts w:ascii="仿宋" w:eastAsia="仿宋" w:hAnsi="仿宋"/>
      <w:sz w:val="28"/>
      <w:szCs w:val="20"/>
    </w:rPr>
  </w:style>
  <w:style w:type="paragraph" w:customStyle="1" w:styleId="p0">
    <w:name w:val="p0"/>
    <w:basedOn w:val="Normal"/>
    <w:qFormat/>
    <w:pPr>
      <w:widowControl/>
    </w:pPr>
    <w:rPr>
      <w:kern w:val="0"/>
    </w:rPr>
  </w:style>
  <w:style w:type="paragraph" w:customStyle="1" w:styleId="CharCharChar1Char">
    <w:name w:val=" Char Char Char1 Char"/>
    <w:basedOn w:val="Normal"/>
  </w:style>
  <w:style w:type="paragraph" w:customStyle="1" w:styleId="CharCharCharCharCharCharCharCharCharChar">
    <w:name w:val=" Char Char Char Char Char Char Char Char Char Char"/>
    <w:basedOn w:val="Normal"/>
  </w:style>
  <w:style w:type="paragraph" w:customStyle="1" w:styleId="CharCharCharCharCharCharCharCharCharCharCharCharCharCharCharChar">
    <w:name w:val=" Char Char Char Char Char Char Char Char Char Char Char Char Char Char Char Char"/>
    <w:basedOn w:val="Normal"/>
    <w:rPr>
      <w:sz w:val="24"/>
    </w:rPr>
  </w:style>
  <w:style w:type="paragraph" w:customStyle="1" w:styleId="CharCharCharCharCharChar">
    <w:name w:val=" Char Char Char Char Char Char"/>
    <w:basedOn w:val="Normal"/>
    <w:pPr>
      <w:snapToGrid w:val="0"/>
      <w:spacing w:line="360" w:lineRule="auto"/>
      <w:ind w:firstLine="529" w:firstLineChars="200"/>
    </w:pPr>
    <w:rPr>
      <w:rFonts w:ascii="宋体" w:hAnsi="宋体"/>
      <w:b/>
    </w:rPr>
  </w:style>
  <w:style w:type="paragraph" w:customStyle="1" w:styleId="13">
    <w:name w:val="1"/>
    <w:basedOn w:val="Normal"/>
    <w:rPr>
      <w:sz w:val="24"/>
    </w:rPr>
  </w:style>
  <w:style w:type="paragraph" w:customStyle="1" w:styleId="a26">
    <w:name w:val="图表文字"/>
    <w:basedOn w:val="Normal"/>
    <w:pPr>
      <w:jc w:val="center"/>
    </w:pPr>
    <w:rPr>
      <w:rFonts w:ascii="仿宋_GB2312" w:eastAsia="仿宋_GB2312"/>
    </w:rPr>
  </w:style>
  <w:style w:type="paragraph" w:customStyle="1" w:styleId="22">
    <w:name w:val="表格2"/>
    <w:basedOn w:val="Normal"/>
    <w:next w:val="Normal"/>
    <w:pPr>
      <w:keepNext/>
      <w:autoSpaceDE w:val="0"/>
      <w:autoSpaceDN w:val="0"/>
      <w:adjustRightInd w:val="0"/>
      <w:spacing w:line="360" w:lineRule="auto"/>
      <w:ind w:firstLine="200" w:firstLineChars="200"/>
      <w:jc w:val="center"/>
      <w:textAlignment w:val="baseline"/>
    </w:pPr>
    <w:rPr>
      <w:rFonts w:ascii="宋体"/>
      <w:kern w:val="0"/>
      <w:position w:val="-28"/>
      <w:sz w:val="24"/>
      <w:szCs w:val="21"/>
    </w:rPr>
  </w:style>
  <w:style w:type="table" w:customStyle="1" w:styleId="24">
    <w:name w:val="样式2"/>
    <w:basedOn w:val="TableGrid"/>
    <w:qFormat/>
    <w:pPr>
      <w:spacing w:line="360" w:lineRule="auto"/>
    </w:pPr>
    <w:tblPr>
      <w:jc w:val="center"/>
      <w:tblBorders>
        <w:top w:val="single" w:sz="12" w:space="0" w:color="auto"/>
        <w:left w:val="single" w:sz="4" w:space="0" w:color="auto"/>
        <w:bottom w:val="single" w:sz="12" w:space="0" w:color="auto"/>
        <w:right w:val="single" w:sz="4" w:space="0" w:color="auto"/>
        <w:insideH w:val="single" w:sz="4" w:space="0" w:color="auto"/>
        <w:insideV w:val="single" w:sz="4" w:space="0" w:color="auto"/>
      </w:tblBorders>
    </w:tblPr>
  </w:style>
  <w:style w:type="paragraph" w:customStyle="1" w:styleId="ParaCharCharCharCharCharCharCharCharCharCharCharCharChar">
    <w:name w:val="默认段落字体 Para Char Char Char Char Char Char Char Char Char Char Char Char Char"/>
    <w:basedOn w:val="Normal"/>
  </w:style>
  <w:style w:type="paragraph" w:customStyle="1" w:styleId="-ls">
    <w:name w:val="正文-ls"/>
    <w:basedOn w:val="Normal"/>
    <w:link w:val="-lsChar"/>
    <w:pPr>
      <w:spacing w:line="360" w:lineRule="auto"/>
      <w:ind w:firstLine="200" w:firstLineChars="200"/>
    </w:pPr>
    <w:rPr>
      <w:rFonts w:hAnsi="宋体"/>
      <w:sz w:val="24"/>
      <w:szCs w:val="20"/>
    </w:rPr>
  </w:style>
  <w:style w:type="character" w:customStyle="1" w:styleId="-lsChar">
    <w:name w:val="正文-ls Char"/>
    <w:link w:val="-ls"/>
    <w:rPr>
      <w:rFonts w:hAnsi="宋体" w:cs="宋体"/>
      <w:kern w:val="2"/>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eader" Target="header18.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header" Target="header19.xml" /><Relationship Id="rId59" Type="http://schemas.openxmlformats.org/officeDocument/2006/relationships/footer" Target="footer37.xml" /><Relationship Id="rId6" Type="http://schemas.openxmlformats.org/officeDocument/2006/relationships/footer" Target="footer2.xml" /><Relationship Id="rId60" Type="http://schemas.openxmlformats.org/officeDocument/2006/relationships/footer" Target="footer38.xml" /><Relationship Id="rId61" Type="http://schemas.openxmlformats.org/officeDocument/2006/relationships/header" Target="header20.xml" /><Relationship Id="rId62" Type="http://schemas.openxmlformats.org/officeDocument/2006/relationships/footer" Target="footer39.xml" /><Relationship Id="rId63" Type="http://schemas.openxmlformats.org/officeDocument/2006/relationships/footer" Target="footer40.xml" /><Relationship Id="rId64" Type="http://schemas.openxmlformats.org/officeDocument/2006/relationships/header" Target="header21.xml" /><Relationship Id="rId65" Type="http://schemas.openxmlformats.org/officeDocument/2006/relationships/footer" Target="footer41.xml" /><Relationship Id="rId66" Type="http://schemas.openxmlformats.org/officeDocument/2006/relationships/footer" Target="footer42.xml" /><Relationship Id="rId67" Type="http://schemas.openxmlformats.org/officeDocument/2006/relationships/image" Target="media/image1.emf" /><Relationship Id="rId68" Type="http://schemas.openxmlformats.org/officeDocument/2006/relationships/oleObject" Target="embeddings/oleObject1.vsd" /><Relationship Id="rId69" Type="http://schemas.openxmlformats.org/officeDocument/2006/relationships/header" Target="header22.xml" /><Relationship Id="rId7" Type="http://schemas.openxmlformats.org/officeDocument/2006/relationships/header" Target="header2.xml" /><Relationship Id="rId70" Type="http://schemas.openxmlformats.org/officeDocument/2006/relationships/footer" Target="footer43.xml" /><Relationship Id="rId71" Type="http://schemas.openxmlformats.org/officeDocument/2006/relationships/footer" Target="footer44.xml" /><Relationship Id="rId72" Type="http://schemas.openxmlformats.org/officeDocument/2006/relationships/header" Target="header23.xml" /><Relationship Id="rId73" Type="http://schemas.openxmlformats.org/officeDocument/2006/relationships/footer" Target="footer45.xml" /><Relationship Id="rId74" Type="http://schemas.openxmlformats.org/officeDocument/2006/relationships/footer" Target="footer46.xml" /><Relationship Id="rId75" Type="http://schemas.openxmlformats.org/officeDocument/2006/relationships/header" Target="header24.xml" /><Relationship Id="rId76" Type="http://schemas.openxmlformats.org/officeDocument/2006/relationships/footer" Target="footer47.xml" /><Relationship Id="rId77" Type="http://schemas.openxmlformats.org/officeDocument/2006/relationships/footer" Target="footer48.xml" /><Relationship Id="rId78" Type="http://schemas.openxmlformats.org/officeDocument/2006/relationships/header" Target="header25.xml" /><Relationship Id="rId79" Type="http://schemas.openxmlformats.org/officeDocument/2006/relationships/footer" Target="footer49.xml" /><Relationship Id="rId8" Type="http://schemas.openxmlformats.org/officeDocument/2006/relationships/footer" Target="footer3.xml" /><Relationship Id="rId80" Type="http://schemas.openxmlformats.org/officeDocument/2006/relationships/footer" Target="footer50.xml" /><Relationship Id="rId81" Type="http://schemas.openxmlformats.org/officeDocument/2006/relationships/header" Target="header26.xml" /><Relationship Id="rId82" Type="http://schemas.openxmlformats.org/officeDocument/2006/relationships/footer" Target="footer51.xml" /><Relationship Id="rId83" Type="http://schemas.openxmlformats.org/officeDocument/2006/relationships/footer" Target="footer52.xml" /><Relationship Id="rId84" Type="http://schemas.openxmlformats.org/officeDocument/2006/relationships/header" Target="header27.xml" /><Relationship Id="rId85" Type="http://schemas.openxmlformats.org/officeDocument/2006/relationships/footer" Target="footer53.xml" /><Relationship Id="rId86" Type="http://schemas.openxmlformats.org/officeDocument/2006/relationships/footer" Target="footer54.xml" /><Relationship Id="rId87" Type="http://schemas.openxmlformats.org/officeDocument/2006/relationships/hyperlink" Target="https://d.book118.com/427012045154006041" TargetMode="External" /><Relationship Id="rId88" Type="http://schemas.openxmlformats.org/officeDocument/2006/relationships/header" Target="header28.xml" /><Relationship Id="rId89" Type="http://schemas.openxmlformats.org/officeDocument/2006/relationships/footer" Target="footer55.xml" /><Relationship Id="rId9" Type="http://schemas.openxmlformats.org/officeDocument/2006/relationships/footer" Target="footer4.xml" /><Relationship Id="rId90" Type="http://schemas.openxmlformats.org/officeDocument/2006/relationships/footer" Target="footer56.xml" /><Relationship Id="rId91" Type="http://schemas.openxmlformats.org/officeDocument/2006/relationships/theme" Target="theme/theme1.xml" /><Relationship Id="rId9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6769</Words>
  <Characters>38584</Characters>
  <Application>Microsoft Office Word</Application>
  <DocSecurity>0</DocSecurity>
  <Lines>321</Lines>
  <Paragraphs>90</Paragraphs>
  <ScaleCrop>false</ScaleCrop>
  <Company>tfs</Company>
  <LinksUpToDate>false</LinksUpToDate>
  <CharactersWithSpaces>45263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建设项目环境影响报告表</dc:title>
  <dc:creator>kevin_tao</dc:creator>
  <cp:lastModifiedBy>委员</cp:lastModifiedBy>
  <cp:revision>191</cp:revision>
  <cp:lastPrinted>2018-02-28T08:56:00Z</cp:lastPrinted>
  <dcterms:created xsi:type="dcterms:W3CDTF">2008-01-08T03:19:00Z</dcterms:created>
  <dcterms:modified xsi:type="dcterms:W3CDTF">2024-01-31T02:06:32Z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B4741221F9E74D8B98CCE75481528DAC_12</vt:lpwstr>
  </property>
  <property fmtid="{D5CDD505-2E9C-101B-9397-08002B2CF9AE}" pid="3" name="KSOProductBuildVer">
    <vt:lpwstr>2052-12.1.0.15712</vt:lpwstr>
  </property>
</Properties>
</file>