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rPr>
          <w:w w:val="95"/>
        </w:rPr>
        <w:t>安全生产资金投入保障制度</w:t>
      </w:r>
    </w:p>
    <w:p>
      <w:pPr>
        <w:pStyle w:val="BodyText"/>
        <w:rPr>
          <w:rFonts w:ascii="黑体"/>
          <w:b/>
          <w:sz w:val="87"/>
        </w:rPr>
      </w:pPr>
    </w:p>
    <w:p>
      <w:pPr>
        <w:spacing w:before="0" w:line="333" w:lineRule="auto"/>
        <w:ind w:left="1206" w:right="1082" w:firstLine="626"/>
        <w:jc w:val="both"/>
        <w:rPr>
          <w:sz w:val="42"/>
        </w:rPr>
      </w:pPr>
      <w:r>
        <w:rPr>
          <w:rFonts w:ascii="黑体" w:eastAsia="黑体" w:hint="eastAsia"/>
          <w:spacing w:val="4"/>
          <w:sz w:val="42"/>
        </w:rPr>
        <w:t xml:space="preserve">第一条 </w:t>
      </w:r>
      <w:r>
        <w:rPr>
          <w:spacing w:val="-6"/>
          <w:sz w:val="42"/>
        </w:rPr>
        <w:t>为了加强安全生产治理工作，确保公司对安全技术措施经费使</w:t>
      </w:r>
      <w:r>
        <w:rPr>
          <w:sz w:val="42"/>
        </w:rPr>
        <w:t>用准时到位。依据《中华人民共和国安全生产法》制定本制度。</w:t>
      </w:r>
    </w:p>
    <w:p>
      <w:pPr>
        <w:spacing w:before="1" w:line="336" w:lineRule="auto"/>
        <w:ind w:left="1206" w:right="1092" w:firstLine="835"/>
        <w:jc w:val="both"/>
        <w:rPr>
          <w:sz w:val="42"/>
        </w:rPr>
      </w:pPr>
      <w:r>
        <w:rPr>
          <w:rFonts w:ascii="黑体" w:eastAsia="黑体" w:hAnsi="黑体" w:hint="eastAsia"/>
          <w:spacing w:val="9"/>
          <w:sz w:val="42"/>
        </w:rPr>
        <w:t xml:space="preserve">其次条 </w:t>
      </w:r>
      <w:r>
        <w:rPr>
          <w:spacing w:val="-19"/>
          <w:sz w:val="42"/>
        </w:rPr>
        <w:t xml:space="preserve">依据有关规定，公司用于安全技术措施经费按产值的 </w:t>
      </w:r>
      <w:r>
        <w:rPr>
          <w:rFonts w:ascii="Arial Narrow" w:eastAsia="Arial Narrow" w:hAnsi="Arial Narrow"/>
          <w:sz w:val="42"/>
        </w:rPr>
        <w:t>6</w:t>
      </w:r>
      <w:r>
        <w:rPr>
          <w:sz w:val="42"/>
        </w:rPr>
        <w:t>‰比例提取，专户储存。</w:t>
      </w:r>
    </w:p>
    <w:p>
      <w:pPr>
        <w:spacing w:before="0" w:line="336" w:lineRule="auto"/>
        <w:ind w:left="3308" w:right="5958" w:hanging="1246"/>
        <w:jc w:val="both"/>
        <w:rPr>
          <w:sz w:val="42"/>
        </w:rPr>
      </w:pPr>
      <w:r>
        <w:rPr>
          <w:spacing w:val="-7"/>
          <w:sz w:val="42"/>
        </w:rPr>
        <w:t xml:space="preserve">其中：安全教育专项培训的保障资金为 </w:t>
      </w:r>
      <w:r>
        <w:rPr>
          <w:sz w:val="42"/>
        </w:rPr>
        <w:t>30%</w:t>
      </w:r>
      <w:r>
        <w:rPr>
          <w:spacing w:val="-208"/>
          <w:sz w:val="42"/>
        </w:rPr>
        <w:t xml:space="preserve"> </w:t>
      </w:r>
      <w:r>
        <w:rPr>
          <w:spacing w:val="-8"/>
          <w:sz w:val="42"/>
        </w:rPr>
        <w:t xml:space="preserve">安全劳动防护用品的保障资金为 </w:t>
      </w:r>
      <w:r>
        <w:rPr>
          <w:sz w:val="42"/>
        </w:rPr>
        <w:t>30%</w:t>
      </w:r>
      <w:r>
        <w:rPr>
          <w:spacing w:val="-208"/>
          <w:sz w:val="42"/>
        </w:rPr>
        <w:t xml:space="preserve"> </w:t>
      </w:r>
      <w:r>
        <w:rPr>
          <w:spacing w:val="-8"/>
          <w:sz w:val="42"/>
        </w:rPr>
        <w:t xml:space="preserve">安全生产技术措施的保障资金为 </w:t>
      </w:r>
      <w:r>
        <w:rPr>
          <w:sz w:val="42"/>
        </w:rPr>
        <w:t>40%</w:t>
      </w:r>
    </w:p>
    <w:p>
      <w:pPr>
        <w:spacing w:before="0" w:line="333" w:lineRule="auto"/>
        <w:ind w:left="1206" w:right="1191" w:firstLine="835"/>
        <w:jc w:val="both"/>
        <w:rPr>
          <w:sz w:val="42"/>
        </w:rPr>
      </w:pPr>
      <w:r>
        <w:rPr>
          <w:rFonts w:ascii="黑体" w:eastAsia="黑体" w:hint="eastAsia"/>
          <w:spacing w:val="11"/>
          <w:sz w:val="42"/>
        </w:rPr>
        <w:t xml:space="preserve">第三条 </w:t>
      </w:r>
      <w:r>
        <w:rPr>
          <w:sz w:val="42"/>
        </w:rPr>
        <w:t>公司对工程工程需具备安全生产条件所必需的资金投入，由工程工程的工程经理确保资金的准时到位，正确使用，并对由于安全生产所必需的资金投入缺乏导致的后果担当责任。</w:t>
      </w:r>
    </w:p>
    <w:p>
      <w:pPr>
        <w:spacing w:before="0" w:line="336" w:lineRule="auto"/>
        <w:ind w:left="1206" w:right="887" w:firstLine="838"/>
        <w:jc w:val="left"/>
        <w:rPr>
          <w:sz w:val="42"/>
        </w:rPr>
      </w:pPr>
      <w:r>
        <w:rPr>
          <w:rFonts w:ascii="黑体" w:eastAsia="黑体" w:hint="eastAsia"/>
          <w:spacing w:val="4"/>
          <w:sz w:val="42"/>
        </w:rPr>
        <w:t xml:space="preserve">第四条 </w:t>
      </w:r>
      <w:r>
        <w:rPr>
          <w:spacing w:val="-4"/>
          <w:sz w:val="42"/>
        </w:rPr>
        <w:t>安全教育专项培训的保障资金用于购置安全技术、劳动保护、</w:t>
      </w:r>
      <w:r>
        <w:rPr>
          <w:sz w:val="42"/>
        </w:rPr>
        <w:t>安全学问的参考书刊物、宣传画、标语及教育光盘等；建立与贯彻有关安全生产规程制度的措施。</w:t>
      </w:r>
    </w:p>
    <w:p>
      <w:pPr>
        <w:spacing w:before="0" w:line="529" w:lineRule="exact"/>
        <w:ind w:left="2044" w:right="0" w:firstLine="0"/>
        <w:jc w:val="left"/>
        <w:rPr>
          <w:sz w:val="42"/>
        </w:rPr>
      </w:pPr>
      <w:r>
        <w:rPr>
          <w:rFonts w:ascii="黑体" w:eastAsia="黑体" w:hint="eastAsia"/>
          <w:spacing w:val="60"/>
          <w:sz w:val="42"/>
        </w:rPr>
        <w:t xml:space="preserve">第五条 </w:t>
      </w:r>
      <w:r>
        <w:rPr>
          <w:spacing w:val="-5"/>
          <w:sz w:val="42"/>
        </w:rPr>
        <w:t>安全劳动防护用品的保障资金用于购置、治理劳动保护用品，</w:t>
      </w:r>
    </w:p>
    <w:p>
      <w:pPr>
        <w:spacing w:before="202" w:line="333" w:lineRule="auto"/>
        <w:ind w:left="1206" w:right="1213" w:firstLine="0"/>
        <w:jc w:val="both"/>
        <w:rPr>
          <w:sz w:val="42"/>
        </w:rPr>
      </w:pPr>
      <w:r>
        <w:rPr>
          <w:sz w:val="42"/>
        </w:rPr>
        <w:t>物品选购时严格依据公司制定的选购程序进展，劳保产品必需严格掌握使用年限和使用范围，对安全性能不能满足工作需要的工程部应准时向安全部提出报废或降载处理。对违反选购规定的行为，除按奖罚条例惩罚外，</w:t>
      </w:r>
      <w:r>
        <w:rPr>
          <w:spacing w:val="-208"/>
          <w:sz w:val="42"/>
        </w:rPr>
        <w:t xml:space="preserve"> </w:t>
      </w:r>
      <w:r>
        <w:rPr>
          <w:sz w:val="42"/>
        </w:rPr>
        <w:t>必需退货，造成的损失和影响的由购置者和批准人担当责任。</w:t>
      </w:r>
    </w:p>
    <w:p>
      <w:pPr>
        <w:spacing w:before="11" w:line="333" w:lineRule="auto"/>
        <w:ind w:left="1206" w:right="1191" w:firstLine="838"/>
        <w:jc w:val="both"/>
        <w:rPr>
          <w:sz w:val="42"/>
        </w:rPr>
      </w:pPr>
      <w:r>
        <w:rPr>
          <w:rFonts w:ascii="黑体" w:eastAsia="黑体" w:hint="eastAsia"/>
          <w:spacing w:val="11"/>
          <w:sz w:val="42"/>
        </w:rPr>
        <w:t xml:space="preserve">第六条 </w:t>
      </w:r>
      <w:r>
        <w:rPr>
          <w:sz w:val="42"/>
        </w:rPr>
        <w:t>加强对施工现场上使用的安全防护用具及机械设备的监视治理，要对安全劳保用品、机械设备、施工机具及配件进展定期的维护和保养或对其定期不定期的检查和抽查，觉察不合格的用具或技术指标、安全性能不能满足施工安全需要的设备等应马上停顿使用。</w:t>
      </w:r>
    </w:p>
    <w:p>
      <w:pPr>
        <w:spacing w:after="0" w:line="333" w:lineRule="auto"/>
        <w:jc w:val="both"/>
        <w:rPr>
          <w:sz w:val="42"/>
        </w:rPr>
        <w:sectPr>
          <w:footerReference w:type="default" r:id="rId4"/>
          <w:type w:val="continuous"/>
          <w:pgSz w:w="17860" w:h="25270"/>
          <w:pgMar w:top="1140" w:right="1160" w:bottom="2060" w:left="800" w:header="708" w:footer="1872"/>
          <w:pgNumType w:start="1"/>
          <w:cols w:space="708"/>
        </w:sectPr>
      </w:pPr>
    </w:p>
    <w:p>
      <w:pPr>
        <w:spacing w:before="36"/>
        <w:ind w:left="4867" w:right="0" w:firstLine="0"/>
        <w:jc w:val="left"/>
        <w:rPr>
          <w:b/>
          <w:sz w:val="29"/>
        </w:rPr>
      </w:pPr>
      <w:r>
        <w:rPr>
          <w:b/>
          <w:w w:val="95"/>
          <w:sz w:val="29"/>
        </w:rPr>
        <w:t>保证安全生产投入的治理制度</w:t>
      </w:r>
    </w:p>
    <w:p>
      <w:pPr>
        <w:pStyle w:val="BodyText"/>
        <w:rPr>
          <w:b/>
          <w:sz w:val="20"/>
        </w:rPr>
      </w:pPr>
    </w:p>
    <w:p>
      <w:pPr>
        <w:spacing w:before="193"/>
        <w:ind w:left="2285" w:right="0" w:firstLine="0"/>
        <w:jc w:val="left"/>
        <w:rPr>
          <w:b/>
          <w:sz w:val="42"/>
        </w:rPr>
      </w:pPr>
      <w:r>
        <w:rPr>
          <w:b/>
          <w:spacing w:val="4"/>
          <w:sz w:val="42"/>
        </w:rPr>
        <w:t>一、 总则</w:t>
      </w:r>
    </w:p>
    <w:p>
      <w:pPr>
        <w:spacing w:before="362" w:line="400" w:lineRule="auto"/>
        <w:ind w:left="1206" w:right="1061" w:firstLine="1007"/>
        <w:jc w:val="left"/>
        <w:rPr>
          <w:sz w:val="42"/>
        </w:rPr>
      </w:pPr>
      <w:r>
        <w:rPr>
          <w:sz w:val="42"/>
        </w:rPr>
        <w:t>为提高</w:t>
      </w:r>
      <w:r>
        <w:rPr>
          <w:color w:val="323232"/>
          <w:sz w:val="42"/>
        </w:rPr>
        <w:t>施工安全生产治理水平</w:t>
      </w:r>
      <w:r>
        <w:rPr>
          <w:sz w:val="42"/>
        </w:rPr>
        <w:t>，维护人身和财产安全，为安全生产文明施工供给资金保障，依据《建筑法》、《安全生产法》、《建设工程安全生产治理条例》等法规、文件要求，打算</w:t>
      </w:r>
      <w:r>
        <w:rPr>
          <w:color w:val="323232"/>
          <w:sz w:val="42"/>
        </w:rPr>
        <w:t>对在建工程试行安全生产措施费用单列的制度；</w:t>
      </w:r>
    </w:p>
    <w:p>
      <w:pPr>
        <w:spacing w:before="6"/>
        <w:ind w:left="2037" w:right="0" w:firstLine="0"/>
        <w:jc w:val="left"/>
        <w:rPr>
          <w:sz w:val="42"/>
        </w:rPr>
      </w:pPr>
      <w:r>
        <w:rPr>
          <w:sz w:val="42"/>
        </w:rPr>
        <w:t>二、 安全施工措施费</w:t>
      </w:r>
    </w:p>
    <w:p>
      <w:pPr>
        <w:spacing w:before="362" w:line="400" w:lineRule="auto"/>
        <w:ind w:left="1206" w:right="1254" w:firstLine="831"/>
        <w:jc w:val="left"/>
        <w:rPr>
          <w:sz w:val="42"/>
        </w:rPr>
      </w:pPr>
      <w:r>
        <w:rPr>
          <w:sz w:val="42"/>
        </w:rPr>
        <w:t>为了确保施工安全生产必要投入而单独设立的专项费用。</w:t>
      </w:r>
      <w:r>
        <w:rPr>
          <w:color w:val="323232"/>
          <w:sz w:val="42"/>
        </w:rPr>
        <w:t>安全生产措施费专用于保障工程工程安全生产，实行专款专用，不得挪作他用；</w:t>
      </w:r>
    </w:p>
    <w:p>
      <w:pPr>
        <w:spacing w:before="2" w:line="400" w:lineRule="auto"/>
        <w:ind w:left="1206" w:right="1090" w:firstLine="831"/>
        <w:jc w:val="left"/>
        <w:rPr>
          <w:sz w:val="42"/>
        </w:rPr>
      </w:pPr>
      <w:r>
        <w:rPr>
          <w:color w:val="323232"/>
          <w:sz w:val="42"/>
        </w:rPr>
        <w:t>安全生产措施费暂按工程造价的1</w:t>
      </w:r>
      <w:r>
        <w:rPr>
          <w:color w:val="323232"/>
          <w:spacing w:val="-7"/>
          <w:sz w:val="42"/>
        </w:rPr>
        <w:t>％计取列入工程本钱，统一由公司治理</w:t>
      </w:r>
      <w:r>
        <w:rPr>
          <w:color w:val="323232"/>
          <w:sz w:val="42"/>
        </w:rPr>
        <w:t>。</w:t>
      </w:r>
      <w:r>
        <w:rPr>
          <w:sz w:val="42"/>
        </w:rPr>
        <w:t>安全生产施措施费的使用必需立项，原则上由公司具体把握。</w:t>
      </w:r>
      <w:r>
        <w:rPr>
          <w:color w:val="323232"/>
          <w:sz w:val="42"/>
        </w:rPr>
        <w:t>工程工程开工初期，工程部必需</w:t>
      </w:r>
      <w:r>
        <w:rPr>
          <w:sz w:val="42"/>
        </w:rPr>
        <w:t>依据轻、重、缓、急和有用的原则</w:t>
      </w:r>
      <w:r>
        <w:rPr>
          <w:color w:val="323232"/>
          <w:sz w:val="42"/>
        </w:rPr>
        <w:t>制定出安全生产措施、方案，以及措施费的支出打算，</w:t>
      </w:r>
      <w:r>
        <w:rPr>
          <w:sz w:val="42"/>
        </w:rPr>
        <w:t>报所属承包部审核，再经公司综合治理部复审，送公司总经理审批后，由财务部安排资金支付，所列费用方可计入安全生产措施费。各种安全技术设备，由各承包部安排专业人员购置、验收、治理，用于改善施工作业环境和机械设备的安全状况等。</w:t>
      </w:r>
      <w:r>
        <w:rPr>
          <w:color w:val="323232"/>
          <w:sz w:val="42"/>
        </w:rPr>
        <w:t>安全生产措施费用</w:t>
      </w:r>
      <w:r>
        <w:rPr>
          <w:sz w:val="42"/>
        </w:rPr>
        <w:t>主要包括的范围如下：</w:t>
      </w:r>
    </w:p>
    <w:p>
      <w:pPr>
        <w:pStyle w:val="ListParagraph"/>
        <w:numPr>
          <w:ilvl w:val="0"/>
          <w:numId w:val="5"/>
        </w:numPr>
        <w:tabs>
          <w:tab w:val="left" w:pos="2467"/>
        </w:tabs>
        <w:spacing w:before="12" w:after="0" w:line="400" w:lineRule="auto"/>
        <w:ind w:left="1206" w:right="795" w:firstLine="838"/>
        <w:jc w:val="left"/>
        <w:rPr>
          <w:sz w:val="42"/>
        </w:rPr>
      </w:pPr>
      <w:r>
        <w:rPr>
          <w:sz w:val="42"/>
        </w:rPr>
        <w:t>安全资料的编印、安全施工标志的购置及宣传栏的设置〔包括报刊、宣传书籍、标语的购置〕费用；</w:t>
      </w:r>
    </w:p>
    <w:p>
      <w:pPr>
        <w:pStyle w:val="ListParagraph"/>
        <w:numPr>
          <w:ilvl w:val="0"/>
          <w:numId w:val="5"/>
        </w:numPr>
        <w:tabs>
          <w:tab w:val="left" w:pos="2467"/>
        </w:tabs>
        <w:spacing w:before="3" w:after="0" w:line="240" w:lineRule="auto"/>
        <w:ind w:left="2467" w:right="0" w:hanging="423"/>
        <w:jc w:val="left"/>
        <w:rPr>
          <w:sz w:val="42"/>
        </w:rPr>
      </w:pPr>
      <w:r>
        <w:rPr>
          <w:sz w:val="42"/>
        </w:rPr>
        <w:t>安全培训及教育费用；</w:t>
      </w:r>
    </w:p>
    <w:p>
      <w:pPr>
        <w:pStyle w:val="ListParagraph"/>
        <w:numPr>
          <w:ilvl w:val="0"/>
          <w:numId w:val="5"/>
        </w:numPr>
        <w:tabs>
          <w:tab w:val="left" w:pos="2467"/>
        </w:tabs>
        <w:spacing w:before="362" w:after="0" w:line="240" w:lineRule="auto"/>
        <w:ind w:left="2467" w:right="0" w:hanging="423"/>
        <w:jc w:val="left"/>
        <w:rPr>
          <w:sz w:val="42"/>
        </w:rPr>
      </w:pPr>
      <w:r>
        <w:rPr>
          <w:sz w:val="42"/>
        </w:rPr>
        <w:t>“三宝”、“四口”及临边防护的费用；</w:t>
      </w:r>
    </w:p>
    <w:p>
      <w:pPr>
        <w:pStyle w:val="ListParagraph"/>
        <w:numPr>
          <w:ilvl w:val="0"/>
          <w:numId w:val="5"/>
        </w:numPr>
        <w:tabs>
          <w:tab w:val="left" w:pos="2467"/>
        </w:tabs>
        <w:spacing w:before="362" w:after="0" w:line="400" w:lineRule="auto"/>
        <w:ind w:left="1206" w:right="1218" w:firstLine="838"/>
        <w:jc w:val="left"/>
        <w:rPr>
          <w:sz w:val="42"/>
        </w:rPr>
      </w:pPr>
      <w:r>
        <w:rPr>
          <w:sz w:val="42"/>
        </w:rPr>
        <w:t>施工安全用电的费用，包括：标准化电箱、电器保护装置、电源线路的敷设、外电防护措施等；</w:t>
      </w:r>
    </w:p>
    <w:p>
      <w:pPr>
        <w:spacing w:after="0" w:line="400" w:lineRule="auto"/>
        <w:jc w:val="left"/>
        <w:rPr>
          <w:sz w:val="42"/>
        </w:rPr>
      </w:pPr>
      <w:r>
        <w:rPr>
          <w:sz w:val="42"/>
        </w:rPr>
        <w:br/>
      </w:r>
      <w:r>
        <w:rPr>
          <w:sz w:val="42"/>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https://d.book118.com/427042055041006025</w:t>
        </w:r>
      </w:hyperlink>
    </w:p>
    <w:p>
      <w:pPr>
        <w:spacing w:after="0" w:line="400" w:lineRule="auto"/>
        <w:jc w:val="left"/>
        <w:rPr>
          <w:sz w:val="42"/>
        </w:rPr>
      </w:pPr>
    </w:p>
    <w:sectPr>
      <w:footerReference w:type="default" r:id="rId6"/>
      <w:pgSz w:w="17860" w:h="25270"/>
      <w:pgMar w:top="1680" w:right="1160" w:bottom="2060" w:left="800" w:header="0" w:footer="1872"/>
      <w:pgNumType w:start="2"/>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Narrow">
    <w:altName w:val="Arial Narrow"/>
    <w:charset w:val="00"/>
    <w:family w:val="swiss"/>
    <w:pitch w:val="variable"/>
    <w:sig w:usb0="00000000" w:usb1="00000000" w:usb2="00000000" w:usb3="00000000" w:csb0="00000001" w:csb1="00000000"/>
  </w:font>
  <w:font w:name="Arial">
    <w:altName w:val="Arial"/>
    <w:charset w:val="00"/>
    <w:family w:val="swiss"/>
    <w:pitch w:val="variable"/>
    <w:sig w:usb0="00000000" w:usb1="00000000" w:usb2="00000000" w:usb3="00000000" w:csb0="00000001" w:csb1="00000000"/>
  </w:font>
  <w:font w:name="黑体">
    <w:altName w:val="黑体"/>
    <w:charset w:val="86"/>
    <w:family w:val="modern"/>
    <w:pitch w:val="fixed"/>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51.05pt;height:20.2pt;margin-top:1154.74pt;margin-left:415.21pt;mso-position-horizontal-relative:page;mso-position-vertical-relative:page;position:absolute;z-index:-251658240" filled="f" stroked="f">
          <v:textbox inset="0,0,0,0">
            <w:txbxContent>
              <w:p>
                <w:pPr>
                  <w:spacing w:before="41"/>
                  <w:ind w:left="60" w:right="0" w:firstLine="0"/>
                  <w:jc w:val="left"/>
                  <w:rPr>
                    <w:rFonts w:ascii="Arial Narrow"/>
                    <w:sz w:val="31"/>
                  </w:rPr>
                </w:pPr>
                <w:r>
                  <w:fldChar w:fldCharType="begin"/>
                </w:r>
                <w:r>
                  <w:rPr>
                    <w:rFonts w:ascii="Arial Narrow"/>
                    <w:w w:val="115"/>
                    <w:sz w:val="31"/>
                  </w:rPr>
                  <w:instrText xml:space="preserve">  </w:instrText>
                </w:r>
                <w:r>
                  <w:fldChar w:fldCharType="separate"/>
                </w:r>
                <w:r>
                  <w:t>27</w:t>
                </w:r>
                <w:r>
                  <w:fldChar w:fldCharType="end"/>
                </w:r>
                <w:r>
                  <w:rPr>
                    <w:rFonts w:ascii="Arial Narrow"/>
                    <w:spacing w:val="-6"/>
                    <w:w w:val="115"/>
                    <w:sz w:val="31"/>
                  </w:rPr>
                  <w:t xml:space="preserve"> </w:t>
                </w:r>
                <w:r>
                  <w:rPr>
                    <w:rFonts w:ascii="Arial Narrow"/>
                    <w:w w:val="115"/>
                    <w:sz w:val="31"/>
                  </w:rPr>
                  <w:t>/</w:t>
                </w:r>
                <w:r>
                  <w:rPr>
                    <w:rFonts w:ascii="Arial Narrow"/>
                    <w:spacing w:val="-6"/>
                    <w:w w:val="115"/>
                    <w:sz w:val="31"/>
                  </w:rPr>
                  <w:t xml:space="preserve"> </w:t>
                </w:r>
                <w:r>
                  <w:rPr>
                    <w:rFonts w:ascii="Arial Narrow"/>
                    <w:w w:val="115"/>
                    <w:sz w:val="31"/>
                  </w:rPr>
                  <w:t>30</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51.05pt;height:20.2pt;margin-top:1154.74pt;margin-left:415.21pt;mso-position-horizontal-relative:page;mso-position-vertical-relative:page;position:absolute;z-index:-251657216" filled="f" stroked="f">
          <v:textbox inset="0,0,0,0">
            <w:txbxContent>
              <w:p>
                <w:pPr>
                  <w:spacing w:before="41"/>
                  <w:ind w:left="60" w:right="0" w:firstLine="0"/>
                  <w:jc w:val="left"/>
                  <w:rPr>
                    <w:rFonts w:ascii="Arial Narrow"/>
                    <w:sz w:val="31"/>
                  </w:rPr>
                </w:pPr>
                <w:r>
                  <w:fldChar w:fldCharType="begin"/>
                </w:r>
                <w:r>
                  <w:rPr>
                    <w:rFonts w:ascii="Arial Narrow"/>
                    <w:w w:val="115"/>
                    <w:sz w:val="31"/>
                  </w:rPr>
                  <w:instrText xml:space="preserve">  </w:instrText>
                </w:r>
                <w:r>
                  <w:fldChar w:fldCharType="separate"/>
                </w:r>
                <w:r>
                  <w:t>27</w:t>
                </w:r>
                <w:r>
                  <w:fldChar w:fldCharType="end"/>
                </w:r>
                <w:r>
                  <w:rPr>
                    <w:rFonts w:ascii="Arial Narrow"/>
                    <w:spacing w:val="-6"/>
                    <w:w w:val="115"/>
                    <w:sz w:val="31"/>
                  </w:rPr>
                  <w:t xml:space="preserve"> </w:t>
                </w:r>
                <w:r>
                  <w:rPr>
                    <w:rFonts w:ascii="Arial Narrow"/>
                    <w:w w:val="115"/>
                    <w:sz w:val="31"/>
                  </w:rPr>
                  <w:t>/</w:t>
                </w:r>
                <w:r>
                  <w:rPr>
                    <w:rFonts w:ascii="Arial Narrow"/>
                    <w:spacing w:val="-6"/>
                    <w:w w:val="115"/>
                    <w:sz w:val="31"/>
                  </w:rPr>
                  <w:t xml:space="preserve"> </w:t>
                </w:r>
                <w:r>
                  <w:rPr>
                    <w:rFonts w:ascii="Arial Narrow"/>
                    <w:w w:val="115"/>
                    <w:sz w:val="31"/>
                  </w:rPr>
                  <w:t>30</w:t>
                </w:r>
              </w:p>
            </w:txbxContent>
          </v:textbox>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C841"/>
    <w:multiLevelType w:val="hybridMultilevel"/>
    <w:tmpl w:val="00000000"/>
    <w:lvl w:ilvl="0">
      <w:start w:val="11"/>
      <w:numFmt w:val="decimal"/>
      <w:lvlText w:val="（%1）"/>
      <w:lvlJc w:val="left"/>
      <w:pPr>
        <w:ind w:left="2825" w:hanging="1999"/>
        <w:jc w:val="left"/>
      </w:pPr>
      <w:rPr>
        <w:rFonts w:ascii="宋体" w:eastAsia="宋体" w:hAnsi="宋体" w:cs="宋体" w:hint="default"/>
        <w:w w:val="100"/>
        <w:sz w:val="36"/>
        <w:szCs w:val="36"/>
      </w:rPr>
    </w:lvl>
    <w:lvl w:ilvl="1">
      <w:start w:val="4"/>
      <w:numFmt w:val="decimal"/>
      <w:lvlText w:val="（%2）"/>
      <w:lvlJc w:val="left"/>
      <w:pPr>
        <w:ind w:left="1728" w:hanging="678"/>
        <w:jc w:val="left"/>
      </w:pPr>
      <w:rPr>
        <w:rFonts w:ascii="宋体" w:eastAsia="宋体" w:hAnsi="宋体" w:cs="宋体" w:hint="default"/>
        <w:w w:val="100"/>
        <w:sz w:val="25"/>
        <w:szCs w:val="25"/>
      </w:rPr>
    </w:lvl>
    <w:lvl w:ilvl="2">
      <w:start w:val="0"/>
      <w:numFmt w:val="bullet"/>
      <w:lvlText w:val="•"/>
      <w:lvlJc w:val="left"/>
      <w:pPr>
        <w:ind w:left="4273" w:hanging="678"/>
      </w:pPr>
      <w:rPr>
        <w:rFonts w:hint="default"/>
      </w:rPr>
    </w:lvl>
    <w:lvl w:ilvl="3">
      <w:start w:val="0"/>
      <w:numFmt w:val="bullet"/>
      <w:lvlText w:val="•"/>
      <w:lvlJc w:val="left"/>
      <w:pPr>
        <w:ind w:left="5726" w:hanging="678"/>
      </w:pPr>
      <w:rPr>
        <w:rFonts w:hint="default"/>
      </w:rPr>
    </w:lvl>
    <w:lvl w:ilvl="4">
      <w:start w:val="0"/>
      <w:numFmt w:val="bullet"/>
      <w:lvlText w:val="•"/>
      <w:lvlJc w:val="left"/>
      <w:pPr>
        <w:ind w:left="7179" w:hanging="678"/>
      </w:pPr>
      <w:rPr>
        <w:rFonts w:hint="default"/>
      </w:rPr>
    </w:lvl>
    <w:lvl w:ilvl="5">
      <w:start w:val="0"/>
      <w:numFmt w:val="bullet"/>
      <w:lvlText w:val="•"/>
      <w:lvlJc w:val="left"/>
      <w:pPr>
        <w:ind w:left="8633" w:hanging="678"/>
      </w:pPr>
      <w:rPr>
        <w:rFonts w:hint="default"/>
      </w:rPr>
    </w:lvl>
    <w:lvl w:ilvl="6">
      <w:start w:val="0"/>
      <w:numFmt w:val="bullet"/>
      <w:lvlText w:val="•"/>
      <w:lvlJc w:val="left"/>
      <w:pPr>
        <w:ind w:left="10086" w:hanging="678"/>
      </w:pPr>
      <w:rPr>
        <w:rFonts w:hint="default"/>
      </w:rPr>
    </w:lvl>
    <w:lvl w:ilvl="7">
      <w:start w:val="0"/>
      <w:numFmt w:val="bullet"/>
      <w:lvlText w:val="•"/>
      <w:lvlJc w:val="left"/>
      <w:pPr>
        <w:ind w:left="11539" w:hanging="678"/>
      </w:pPr>
      <w:rPr>
        <w:rFonts w:hint="default"/>
      </w:rPr>
    </w:lvl>
    <w:lvl w:ilvl="8">
      <w:start w:val="0"/>
      <w:numFmt w:val="bullet"/>
      <w:lvlText w:val="•"/>
      <w:lvlJc w:val="left"/>
      <w:pPr>
        <w:ind w:left="12993" w:hanging="678"/>
      </w:pPr>
      <w:rPr>
        <w:rFonts w:hint="default"/>
      </w:rPr>
    </w:lvl>
  </w:abstractNum>
  <w:abstractNum w:abstractNumId="1">
    <w:nsid w:val="375E937D"/>
    <w:multiLevelType w:val="hybridMultilevel"/>
    <w:tmpl w:val="00000000"/>
    <w:lvl w:ilvl="0">
      <w:start w:val="2"/>
      <w:numFmt w:val="decimal"/>
      <w:lvlText w:val="（%1）"/>
      <w:lvlJc w:val="left"/>
      <w:pPr>
        <w:ind w:left="2890" w:hanging="2103"/>
        <w:jc w:val="right"/>
      </w:pPr>
      <w:rPr>
        <w:rFonts w:ascii="宋体" w:eastAsia="宋体" w:hAnsi="宋体" w:cs="宋体" w:hint="default"/>
        <w:w w:val="100"/>
        <w:sz w:val="36"/>
        <w:szCs w:val="36"/>
      </w:rPr>
    </w:lvl>
    <w:lvl w:ilvl="1">
      <w:start w:val="0"/>
      <w:numFmt w:val="bullet"/>
      <w:lvlText w:val="•"/>
      <w:lvlJc w:val="left"/>
      <w:pPr>
        <w:ind w:left="3065" w:hanging="2103"/>
      </w:pPr>
      <w:rPr>
        <w:rFonts w:hint="default"/>
      </w:rPr>
    </w:lvl>
    <w:lvl w:ilvl="2">
      <w:start w:val="0"/>
      <w:numFmt w:val="bullet"/>
      <w:lvlText w:val="•"/>
      <w:lvlJc w:val="left"/>
      <w:pPr>
        <w:ind w:left="3230" w:hanging="2103"/>
      </w:pPr>
      <w:rPr>
        <w:rFonts w:hint="default"/>
      </w:rPr>
    </w:lvl>
    <w:lvl w:ilvl="3">
      <w:start w:val="0"/>
      <w:numFmt w:val="bullet"/>
      <w:lvlText w:val="•"/>
      <w:lvlJc w:val="left"/>
      <w:pPr>
        <w:ind w:left="3395" w:hanging="2103"/>
      </w:pPr>
      <w:rPr>
        <w:rFonts w:hint="default"/>
      </w:rPr>
    </w:lvl>
    <w:lvl w:ilvl="4">
      <w:start w:val="0"/>
      <w:numFmt w:val="bullet"/>
      <w:lvlText w:val="•"/>
      <w:lvlJc w:val="left"/>
      <w:pPr>
        <w:ind w:left="3560" w:hanging="2103"/>
      </w:pPr>
      <w:rPr>
        <w:rFonts w:hint="default"/>
      </w:rPr>
    </w:lvl>
    <w:lvl w:ilvl="5">
      <w:start w:val="0"/>
      <w:numFmt w:val="bullet"/>
      <w:lvlText w:val="•"/>
      <w:lvlJc w:val="left"/>
      <w:pPr>
        <w:ind w:left="3725" w:hanging="2103"/>
      </w:pPr>
      <w:rPr>
        <w:rFonts w:hint="default"/>
      </w:rPr>
    </w:lvl>
    <w:lvl w:ilvl="6">
      <w:start w:val="0"/>
      <w:numFmt w:val="bullet"/>
      <w:lvlText w:val="•"/>
      <w:lvlJc w:val="left"/>
      <w:pPr>
        <w:ind w:left="3890" w:hanging="2103"/>
      </w:pPr>
      <w:rPr>
        <w:rFonts w:hint="default"/>
      </w:rPr>
    </w:lvl>
    <w:lvl w:ilvl="7">
      <w:start w:val="0"/>
      <w:numFmt w:val="bullet"/>
      <w:lvlText w:val="•"/>
      <w:lvlJc w:val="left"/>
      <w:pPr>
        <w:ind w:left="4055" w:hanging="2103"/>
      </w:pPr>
      <w:rPr>
        <w:rFonts w:hint="default"/>
      </w:rPr>
    </w:lvl>
    <w:lvl w:ilvl="8">
      <w:start w:val="0"/>
      <w:numFmt w:val="bullet"/>
      <w:lvlText w:val="•"/>
      <w:lvlJc w:val="left"/>
      <w:pPr>
        <w:ind w:left="4220" w:hanging="2103"/>
      </w:pPr>
      <w:rPr>
        <w:rFonts w:hint="default"/>
      </w:rPr>
    </w:lvl>
  </w:abstractNum>
  <w:abstractNum w:abstractNumId="2">
    <w:nsid w:val="587DB2BC"/>
    <w:multiLevelType w:val="hybridMultilevel"/>
    <w:tmpl w:val="00000000"/>
    <w:lvl w:ilvl="0">
      <w:start w:val="1"/>
      <w:numFmt w:val="decimal"/>
      <w:lvlText w:val="%1."/>
      <w:lvlJc w:val="left"/>
      <w:pPr>
        <w:ind w:left="1206" w:hanging="423"/>
        <w:jc w:val="left"/>
      </w:pPr>
      <w:rPr>
        <w:rFonts w:ascii="宋体" w:eastAsia="宋体" w:hAnsi="宋体" w:cs="宋体" w:hint="default"/>
        <w:spacing w:val="-1"/>
        <w:w w:val="100"/>
        <w:sz w:val="40"/>
        <w:szCs w:val="40"/>
      </w:rPr>
    </w:lvl>
    <w:lvl w:ilvl="1">
      <w:start w:val="0"/>
      <w:numFmt w:val="bullet"/>
      <w:lvlText w:val="•"/>
      <w:lvlJc w:val="left"/>
      <w:pPr>
        <w:ind w:left="2669" w:hanging="423"/>
      </w:pPr>
      <w:rPr>
        <w:rFonts w:hint="default"/>
      </w:rPr>
    </w:lvl>
    <w:lvl w:ilvl="2">
      <w:start w:val="0"/>
      <w:numFmt w:val="bullet"/>
      <w:lvlText w:val="•"/>
      <w:lvlJc w:val="left"/>
      <w:pPr>
        <w:ind w:left="4139" w:hanging="423"/>
      </w:pPr>
      <w:rPr>
        <w:rFonts w:hint="default"/>
      </w:rPr>
    </w:lvl>
    <w:lvl w:ilvl="3">
      <w:start w:val="0"/>
      <w:numFmt w:val="bullet"/>
      <w:lvlText w:val="•"/>
      <w:lvlJc w:val="left"/>
      <w:pPr>
        <w:ind w:left="5609" w:hanging="423"/>
      </w:pPr>
      <w:rPr>
        <w:rFonts w:hint="default"/>
      </w:rPr>
    </w:lvl>
    <w:lvl w:ilvl="4">
      <w:start w:val="0"/>
      <w:numFmt w:val="bullet"/>
      <w:lvlText w:val="•"/>
      <w:lvlJc w:val="left"/>
      <w:pPr>
        <w:ind w:left="7079" w:hanging="423"/>
      </w:pPr>
      <w:rPr>
        <w:rFonts w:hint="default"/>
      </w:rPr>
    </w:lvl>
    <w:lvl w:ilvl="5">
      <w:start w:val="0"/>
      <w:numFmt w:val="bullet"/>
      <w:lvlText w:val="•"/>
      <w:lvlJc w:val="left"/>
      <w:pPr>
        <w:ind w:left="8549" w:hanging="423"/>
      </w:pPr>
      <w:rPr>
        <w:rFonts w:hint="default"/>
      </w:rPr>
    </w:lvl>
    <w:lvl w:ilvl="6">
      <w:start w:val="0"/>
      <w:numFmt w:val="bullet"/>
      <w:lvlText w:val="•"/>
      <w:lvlJc w:val="left"/>
      <w:pPr>
        <w:ind w:left="10019" w:hanging="423"/>
      </w:pPr>
      <w:rPr>
        <w:rFonts w:hint="default"/>
      </w:rPr>
    </w:lvl>
    <w:lvl w:ilvl="7">
      <w:start w:val="0"/>
      <w:numFmt w:val="bullet"/>
      <w:lvlText w:val="•"/>
      <w:lvlJc w:val="left"/>
      <w:pPr>
        <w:ind w:left="11489" w:hanging="423"/>
      </w:pPr>
      <w:rPr>
        <w:rFonts w:hint="default"/>
      </w:rPr>
    </w:lvl>
    <w:lvl w:ilvl="8">
      <w:start w:val="0"/>
      <w:numFmt w:val="bullet"/>
      <w:lvlText w:val="•"/>
      <w:lvlJc w:val="left"/>
      <w:pPr>
        <w:ind w:left="12959" w:hanging="423"/>
      </w:pPr>
      <w:rPr>
        <w:rFonts w:hint="default"/>
      </w:rPr>
    </w:lvl>
  </w:abstractNum>
  <w:abstractNum w:abstractNumId="3">
    <w:nsid w:val="79617495"/>
    <w:multiLevelType w:val="hybridMultilevel"/>
    <w:tmpl w:val="00000000"/>
    <w:lvl w:ilvl="0">
      <w:start w:val="1"/>
      <w:numFmt w:val="decimal"/>
      <w:lvlText w:val="%1."/>
      <w:lvlJc w:val="left"/>
      <w:pPr>
        <w:ind w:left="1206" w:hanging="423"/>
        <w:jc w:val="left"/>
      </w:pPr>
      <w:rPr>
        <w:rFonts w:ascii="宋体" w:eastAsia="宋体" w:hAnsi="宋体" w:cs="宋体" w:hint="default"/>
        <w:spacing w:val="-1"/>
        <w:w w:val="100"/>
        <w:sz w:val="40"/>
        <w:szCs w:val="40"/>
      </w:rPr>
    </w:lvl>
    <w:lvl w:ilvl="1">
      <w:start w:val="0"/>
      <w:numFmt w:val="bullet"/>
      <w:lvlText w:val="•"/>
      <w:lvlJc w:val="left"/>
      <w:pPr>
        <w:ind w:left="2669" w:hanging="423"/>
      </w:pPr>
      <w:rPr>
        <w:rFonts w:hint="default"/>
      </w:rPr>
    </w:lvl>
    <w:lvl w:ilvl="2">
      <w:start w:val="0"/>
      <w:numFmt w:val="bullet"/>
      <w:lvlText w:val="•"/>
      <w:lvlJc w:val="left"/>
      <w:pPr>
        <w:ind w:left="4139" w:hanging="423"/>
      </w:pPr>
      <w:rPr>
        <w:rFonts w:hint="default"/>
      </w:rPr>
    </w:lvl>
    <w:lvl w:ilvl="3">
      <w:start w:val="0"/>
      <w:numFmt w:val="bullet"/>
      <w:lvlText w:val="•"/>
      <w:lvlJc w:val="left"/>
      <w:pPr>
        <w:ind w:left="5609" w:hanging="423"/>
      </w:pPr>
      <w:rPr>
        <w:rFonts w:hint="default"/>
      </w:rPr>
    </w:lvl>
    <w:lvl w:ilvl="4">
      <w:start w:val="0"/>
      <w:numFmt w:val="bullet"/>
      <w:lvlText w:val="•"/>
      <w:lvlJc w:val="left"/>
      <w:pPr>
        <w:ind w:left="7079" w:hanging="423"/>
      </w:pPr>
      <w:rPr>
        <w:rFonts w:hint="default"/>
      </w:rPr>
    </w:lvl>
    <w:lvl w:ilvl="5">
      <w:start w:val="0"/>
      <w:numFmt w:val="bullet"/>
      <w:lvlText w:val="•"/>
      <w:lvlJc w:val="left"/>
      <w:pPr>
        <w:ind w:left="8549" w:hanging="423"/>
      </w:pPr>
      <w:rPr>
        <w:rFonts w:hint="default"/>
      </w:rPr>
    </w:lvl>
    <w:lvl w:ilvl="6">
      <w:start w:val="0"/>
      <w:numFmt w:val="bullet"/>
      <w:lvlText w:val="•"/>
      <w:lvlJc w:val="left"/>
      <w:pPr>
        <w:ind w:left="10019" w:hanging="423"/>
      </w:pPr>
      <w:rPr>
        <w:rFonts w:hint="default"/>
      </w:rPr>
    </w:lvl>
    <w:lvl w:ilvl="7">
      <w:start w:val="0"/>
      <w:numFmt w:val="bullet"/>
      <w:lvlText w:val="•"/>
      <w:lvlJc w:val="left"/>
      <w:pPr>
        <w:ind w:left="11489" w:hanging="423"/>
      </w:pPr>
      <w:rPr>
        <w:rFonts w:hint="default"/>
      </w:rPr>
    </w:lvl>
    <w:lvl w:ilvl="8">
      <w:start w:val="0"/>
      <w:numFmt w:val="bullet"/>
      <w:lvlText w:val="•"/>
      <w:lvlJc w:val="left"/>
      <w:pPr>
        <w:ind w:left="12959" w:hanging="423"/>
      </w:pPr>
      <w:rPr>
        <w:rFonts w:hint="default"/>
      </w:rPr>
    </w:lvl>
  </w:abstractNum>
  <w:abstractNum w:abstractNumId="4">
    <w:nsid w:val="7B65ADE3"/>
    <w:multiLevelType w:val="hybridMultilevel"/>
    <w:tmpl w:val="00000000"/>
    <w:lvl w:ilvl="0">
      <w:start w:val="1"/>
      <w:numFmt w:val="decimal"/>
      <w:lvlText w:val="（%1）"/>
      <w:lvlJc w:val="left"/>
      <w:pPr>
        <w:ind w:left="1206" w:hanging="901"/>
        <w:jc w:val="left"/>
      </w:pPr>
      <w:rPr>
        <w:rFonts w:ascii="宋体" w:eastAsia="宋体" w:hAnsi="宋体" w:cs="宋体" w:hint="default"/>
        <w:w w:val="100"/>
        <w:sz w:val="34"/>
        <w:szCs w:val="34"/>
      </w:rPr>
    </w:lvl>
    <w:lvl w:ilvl="1">
      <w:start w:val="0"/>
      <w:numFmt w:val="bullet"/>
      <w:lvlText w:val="•"/>
      <w:lvlJc w:val="left"/>
      <w:pPr>
        <w:ind w:left="2669" w:hanging="901"/>
      </w:pPr>
      <w:rPr>
        <w:rFonts w:hint="default"/>
      </w:rPr>
    </w:lvl>
    <w:lvl w:ilvl="2">
      <w:start w:val="0"/>
      <w:numFmt w:val="bullet"/>
      <w:lvlText w:val="•"/>
      <w:lvlJc w:val="left"/>
      <w:pPr>
        <w:ind w:left="4139" w:hanging="901"/>
      </w:pPr>
      <w:rPr>
        <w:rFonts w:hint="default"/>
      </w:rPr>
    </w:lvl>
    <w:lvl w:ilvl="3">
      <w:start w:val="0"/>
      <w:numFmt w:val="bullet"/>
      <w:lvlText w:val="•"/>
      <w:lvlJc w:val="left"/>
      <w:pPr>
        <w:ind w:left="5609" w:hanging="901"/>
      </w:pPr>
      <w:rPr>
        <w:rFonts w:hint="default"/>
      </w:rPr>
    </w:lvl>
    <w:lvl w:ilvl="4">
      <w:start w:val="0"/>
      <w:numFmt w:val="bullet"/>
      <w:lvlText w:val="•"/>
      <w:lvlJc w:val="left"/>
      <w:pPr>
        <w:ind w:left="7079" w:hanging="901"/>
      </w:pPr>
      <w:rPr>
        <w:rFonts w:hint="default"/>
      </w:rPr>
    </w:lvl>
    <w:lvl w:ilvl="5">
      <w:start w:val="0"/>
      <w:numFmt w:val="bullet"/>
      <w:lvlText w:val="•"/>
      <w:lvlJc w:val="left"/>
      <w:pPr>
        <w:ind w:left="8549" w:hanging="901"/>
      </w:pPr>
      <w:rPr>
        <w:rFonts w:hint="default"/>
      </w:rPr>
    </w:lvl>
    <w:lvl w:ilvl="6">
      <w:start w:val="0"/>
      <w:numFmt w:val="bullet"/>
      <w:lvlText w:val="•"/>
      <w:lvlJc w:val="left"/>
      <w:pPr>
        <w:ind w:left="10019" w:hanging="901"/>
      </w:pPr>
      <w:rPr>
        <w:rFonts w:hint="default"/>
      </w:rPr>
    </w:lvl>
    <w:lvl w:ilvl="7">
      <w:start w:val="0"/>
      <w:numFmt w:val="bullet"/>
      <w:lvlText w:val="•"/>
      <w:lvlJc w:val="left"/>
      <w:pPr>
        <w:ind w:left="11489" w:hanging="901"/>
      </w:pPr>
      <w:rPr>
        <w:rFonts w:hint="default"/>
      </w:rPr>
    </w:lvl>
    <w:lvl w:ilvl="8">
      <w:start w:val="0"/>
      <w:numFmt w:val="bullet"/>
      <w:lvlText w:val="•"/>
      <w:lvlJc w:val="left"/>
      <w:pPr>
        <w:ind w:left="12959" w:hanging="901"/>
      </w:pPr>
      <w:rPr>
        <w:rFont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character" w:default="1" w:styleId="DefaultParagraphFont">
    <w:name w:val="Default Paragraph Font"/>
    <w:uiPriority w:val="1"/>
    <w:semiHidden/>
    <w:unhideWhenUsed/>
  </w:style>
  <w:style w:type="table" w:default="1" w:styleId="TableNormal">
    <w:name w:val="Normal Table"/>
    <w:uiPriority w:val="2"/>
    <w:semiHidden/>
    <w:unhideWhenUsed/>
    <w:qFormat/>
    <w:tblPr>
      <w:tblInd w:w="0" w:type="dxa"/>
      <w:tblCellMar>
        <w:top w:w="0" w:type="dxa"/>
        <w:left w:w="0" w:type="dxa"/>
        <w:bottom w:w="0" w:type="dxa"/>
        <w:right w:w="0"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宋体" w:eastAsia="宋体" w:hAnsi="宋体" w:cs="宋体"/>
      <w:sz w:val="36"/>
      <w:szCs w:val="36"/>
    </w:rPr>
  </w:style>
  <w:style w:type="paragraph" w:styleId="Title">
    <w:name w:val="Title"/>
    <w:basedOn w:val="Normal"/>
    <w:uiPriority w:val="1"/>
    <w:qFormat/>
    <w:pPr>
      <w:spacing w:line="826" w:lineRule="exact"/>
      <w:ind w:left="55"/>
      <w:jc w:val="center"/>
    </w:pPr>
    <w:rPr>
      <w:rFonts w:ascii="黑体" w:eastAsia="黑体" w:hAnsi="黑体" w:cs="黑体"/>
      <w:b/>
      <w:bCs/>
      <w:sz w:val="66"/>
      <w:szCs w:val="66"/>
    </w:rPr>
  </w:style>
  <w:style w:type="paragraph" w:styleId="ListParagraph">
    <w:name w:val="List Paragraph"/>
    <w:basedOn w:val="Normal"/>
    <w:uiPriority w:val="1"/>
    <w:qFormat/>
    <w:pPr>
      <w:ind w:left="2467" w:hanging="423"/>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2704205504100602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2023-10-13T11:23:08Z</dcterms:created>
  <dcterms:modified xsi:type="dcterms:W3CDTF">2023-10-13T11:23:08Z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2023-02-11T00:00:00Z</vt:filetime>
  </property>
  <property fmtid="{D5CDD505-2E9C-101B-9397-08002B2CF9AE}" pid="3" name="LastSaved">
    <vt:filetime>2023-10-13T00:00:00Z</vt:filetime>
  </property>
</Properties>
</file>