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8240" behindDoc="1" locked="0" layoutInCell="1" allowOverlap="1">
            <wp:simplePos x="0" y="0"/>
            <wp:positionH relativeFrom="page">
              <wp:posOffset>952</wp:posOffset>
            </wp:positionH>
            <wp:positionV relativeFrom="page">
              <wp:posOffset>0</wp:posOffset>
            </wp:positionV>
            <wp:extent cx="11339576" cy="1584807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11339576" cy="15848076"/>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7"/>
        </w:rPr>
      </w:pPr>
    </w:p>
    <w:p>
      <w:pPr>
        <w:spacing w:before="0" w:line="1808" w:lineRule="exact"/>
        <w:ind w:left="157" w:right="0" w:firstLine="0"/>
        <w:jc w:val="left"/>
        <w:rPr>
          <w:b/>
          <w:sz w:val="108"/>
        </w:rPr>
      </w:pPr>
      <w:r>
        <w:rPr>
          <w:b/>
          <w:sz w:val="108"/>
        </w:rPr>
        <w:t>（招标投标</w:t>
      </w:r>
      <w:r>
        <w:rPr>
          <w:b/>
          <w:spacing w:val="-494"/>
          <w:sz w:val="108"/>
        </w:rPr>
        <w:t>）</w:t>
      </w:r>
      <w:r>
        <w:rPr>
          <w:b/>
          <w:sz w:val="108"/>
        </w:rPr>
        <w:t>大型雕塑标书</w:t>
      </w:r>
    </w:p>
    <w:p>
      <w:pPr>
        <w:spacing w:after="0" w:line="1808" w:lineRule="exact"/>
        <w:jc w:val="left"/>
        <w:rPr>
          <w:sz w:val="108"/>
        </w:rPr>
        <w:sectPr>
          <w:type w:val="continuous"/>
          <w:pgSz w:w="17860" w:h="25260"/>
          <w:pgMar w:top="2420" w:right="0" w:bottom="280" w:left="2540" w:header="708" w:footer="708"/>
          <w:cols w:space="708"/>
        </w:sectPr>
      </w:pPr>
    </w:p>
    <w:p>
      <w:pPr>
        <w:pStyle w:val="BodyText"/>
        <w:rPr>
          <w:b/>
          <w:sz w:val="20"/>
        </w:rPr>
      </w:pPr>
      <w:r>
        <w:drawing>
          <wp:anchor distT="0" distB="0" distL="0" distR="0" simplePos="0" relativeHeight="251659264" behindDoc="1" locked="0" layoutInCell="1" allowOverlap="1">
            <wp:simplePos x="0" y="0"/>
            <wp:positionH relativeFrom="page">
              <wp:posOffset>952</wp:posOffset>
            </wp:positionH>
            <wp:positionV relativeFrom="page">
              <wp:posOffset>0</wp:posOffset>
            </wp:positionV>
            <wp:extent cx="11339576" cy="15848076"/>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pic:cNvPicPr/>
                  </pic:nvPicPr>
                  <pic:blipFill>
                    <a:blip xmlns:r="http://schemas.openxmlformats.org/officeDocument/2006/relationships" r:embed="rId4" cstate="print"/>
                    <a:stretch>
                      <a:fillRect/>
                    </a:stretch>
                  </pic:blipFill>
                  <pic:spPr>
                    <a:xfrm>
                      <a:off x="0" y="0"/>
                      <a:ext cx="11339576" cy="15848076"/>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spacing w:before="14"/>
        <w:rPr>
          <w:b/>
          <w:sz w:val="15"/>
        </w:rPr>
      </w:pPr>
    </w:p>
    <w:p>
      <w:pPr>
        <w:spacing w:before="0" w:line="1809" w:lineRule="exact"/>
        <w:ind w:left="157" w:right="0" w:firstLine="0"/>
        <w:jc w:val="left"/>
        <w:rPr>
          <w:b/>
          <w:sz w:val="108"/>
        </w:rPr>
      </w:pPr>
      <w:r>
        <w:rPr>
          <w:b/>
          <w:sz w:val="108"/>
        </w:rPr>
        <w:t>（招标投标</w:t>
      </w:r>
      <w:r>
        <w:rPr>
          <w:b/>
          <w:spacing w:val="-494"/>
          <w:sz w:val="108"/>
        </w:rPr>
        <w:t>）</w:t>
      </w:r>
      <w:r>
        <w:rPr>
          <w:b/>
          <w:sz w:val="108"/>
        </w:rPr>
        <w:t>大型雕塑标书</w:t>
      </w:r>
    </w:p>
    <w:p>
      <w:pPr>
        <w:spacing w:after="0" w:line="1809" w:lineRule="exact"/>
        <w:jc w:val="left"/>
        <w:rPr>
          <w:sz w:val="108"/>
        </w:rPr>
        <w:sectPr>
          <w:pgSz w:w="17860" w:h="25260"/>
          <w:pgMar w:top="2420" w:right="0" w:bottom="280" w:left="2540" w:header="708" w:footer="708"/>
          <w:pgNumType w:start="2"/>
          <w:cols w:space="708"/>
        </w:sectPr>
      </w:pPr>
    </w:p>
    <w:p>
      <w:pPr>
        <w:pStyle w:val="Heading1"/>
      </w:pPr>
      <w:r>
        <w:t>XXXXXXXX 雕塑项目</w:t>
      </w:r>
    </w:p>
    <w:p>
      <w:pPr>
        <w:pStyle w:val="Title"/>
      </w:pPr>
      <w:r>
        <w:t>招标文件</w:t>
      </w:r>
    </w:p>
    <w:p>
      <w:pPr>
        <w:pStyle w:val="Heading3"/>
        <w:spacing w:before="1310" w:line="225" w:lineRule="auto"/>
        <w:ind w:right="12460"/>
        <w:jc w:val="both"/>
      </w:pPr>
      <w:r>
        <w:t>项目编号： 项目名称： 代理机构：</w:t>
      </w:r>
    </w:p>
    <w:p>
      <w:pPr>
        <w:spacing w:before="0" w:line="955" w:lineRule="exact"/>
        <w:ind w:left="2317" w:right="0" w:firstLine="0"/>
        <w:jc w:val="left"/>
        <w:rPr>
          <w:sz w:val="54"/>
        </w:rPr>
      </w:pPr>
      <w:r>
        <w:rPr>
          <w:sz w:val="54"/>
        </w:rPr>
        <w:t>日期：年月</w:t>
      </w:r>
    </w:p>
    <w:p>
      <w:pPr>
        <w:pStyle w:val="BodyText"/>
        <w:spacing w:before="7"/>
        <w:rPr>
          <w:sz w:val="7"/>
        </w:rPr>
      </w:pPr>
    </w:p>
    <w:p>
      <w:pPr>
        <w:pStyle w:val="BodyText"/>
        <w:spacing w:line="813" w:lineRule="exact"/>
        <w:ind w:left="157"/>
      </w:pPr>
      <w:r>
        <w:t>目录</w:t>
      </w:r>
    </w:p>
    <w:p>
      <w:pPr>
        <w:pStyle w:val="BodyText"/>
        <w:spacing w:before="106" w:line="271" w:lineRule="auto"/>
        <w:ind w:left="157" w:right="11110"/>
      </w:pPr>
      <w:r>
        <w:t>第一部分投标邀请函第二部分投标人需知</w:t>
      </w:r>
    </w:p>
    <w:p>
      <w:pPr>
        <w:pStyle w:val="BodyText"/>
        <w:spacing w:line="271" w:lineRule="auto"/>
        <w:ind w:left="157" w:right="9760"/>
      </w:pPr>
      <w:r>
        <w:t xml:space="preserve">第三部分项目说明及要求 </w:t>
      </w:r>
      <w:r>
        <w:rPr>
          <w:spacing w:val="-2"/>
        </w:rPr>
        <w:t>第四部分政府采购投标文件</w:t>
      </w:r>
      <w:r>
        <w:t>第五部分政府采购合同书</w:t>
      </w:r>
    </w:p>
    <w:p>
      <w:pPr>
        <w:spacing w:before="0" w:line="813" w:lineRule="exact"/>
        <w:ind w:left="157" w:right="0" w:firstLine="0"/>
        <w:jc w:val="left"/>
        <w:rPr>
          <w:b/>
          <w:sz w:val="54"/>
        </w:rPr>
      </w:pPr>
      <w:r>
        <w:rPr>
          <w:b/>
          <w:sz w:val="54"/>
        </w:rPr>
        <w:t>第一部分投标邀请函</w:t>
      </w:r>
    </w:p>
    <w:p>
      <w:pPr>
        <w:pStyle w:val="BodyText"/>
        <w:spacing w:before="117" w:line="271" w:lineRule="auto"/>
        <w:ind w:left="157" w:right="3010" w:firstLine="2699"/>
        <w:jc w:val="both"/>
      </w:pPr>
      <w:r>
        <w:t>招标代理有限公司受金乡县羊山古镇国际军事旅游渡假区管委会的委托就金乡县羊山景区刘邓大型雕塑项目拟以公开招标方式进行采购，欢迎前来洽谈。</w:t>
      </w:r>
    </w:p>
    <w:p>
      <w:pPr>
        <w:pStyle w:val="BodyText"/>
        <w:spacing w:line="271" w:lineRule="auto"/>
        <w:ind w:left="157" w:right="12010"/>
      </w:pPr>
      <w:r>
        <w:t xml:space="preserve">一、招标人： </w:t>
      </w:r>
      <w:r>
        <w:rPr>
          <w:spacing w:val="-3"/>
        </w:rPr>
        <w:t>二、标书编号：</w:t>
      </w:r>
    </w:p>
    <w:p>
      <w:pPr>
        <w:spacing w:after="0" w:line="271" w:lineRule="auto"/>
        <w:sectPr>
          <w:pgSz w:w="17860" w:h="25260"/>
          <w:pgMar w:top="1880" w:right="0" w:bottom="280" w:left="2540" w:header="708" w:footer="708"/>
          <w:pgNumType w:start="3"/>
          <w:cols w:space="708"/>
        </w:sectPr>
      </w:pPr>
    </w:p>
    <w:p>
      <w:pPr>
        <w:pStyle w:val="BodyText"/>
        <w:spacing w:line="791" w:lineRule="exact"/>
        <w:ind w:left="157"/>
      </w:pPr>
      <w:r>
        <w:t>三、招标项目：</w:t>
      </w:r>
    </w:p>
    <w:p>
      <w:pPr>
        <w:pStyle w:val="BodyText"/>
        <w:spacing w:before="106"/>
        <w:ind w:left="157"/>
      </w:pPr>
      <w:r>
        <w:t>四、投标人资格要求：</w:t>
      </w:r>
    </w:p>
    <w:p>
      <w:pPr>
        <w:pStyle w:val="BodyText"/>
        <w:spacing w:before="107"/>
        <w:ind w:left="1056"/>
      </w:pPr>
      <w:r>
        <w:t>1、在中国境内注册并具有独立法人资格的合法企业；</w:t>
      </w:r>
    </w:p>
    <w:p>
      <w:pPr>
        <w:pStyle w:val="BodyText"/>
        <w:spacing w:before="106"/>
        <w:ind w:left="1056"/>
      </w:pPr>
      <w:r>
        <w:t>2、具有雕塑二级资格证、大型雕塑加工资质；</w:t>
      </w:r>
    </w:p>
    <w:p>
      <w:pPr>
        <w:pStyle w:val="BodyText"/>
        <w:spacing w:before="107"/>
        <w:ind w:left="1056"/>
      </w:pPr>
      <w:r>
        <w:t>3、具有履行合同所必须的设备和专业技术能力；</w:t>
      </w:r>
    </w:p>
    <w:p>
      <w:pPr>
        <w:pStyle w:val="BodyText"/>
        <w:spacing w:before="106"/>
        <w:ind w:left="1056"/>
      </w:pPr>
      <w:r>
        <w:t>4、近三年内有类似项目业绩；</w:t>
      </w:r>
    </w:p>
    <w:p>
      <w:pPr>
        <w:pStyle w:val="BodyText"/>
        <w:spacing w:before="108" w:line="271" w:lineRule="auto"/>
        <w:ind w:left="157" w:right="2744" w:firstLine="899"/>
      </w:pPr>
      <w:r>
        <w:t>5、参加本次政府采购活动前三年内，在经营活动中没有重大违法违规记录。</w:t>
      </w:r>
    </w:p>
    <w:p>
      <w:pPr>
        <w:pStyle w:val="BodyText"/>
        <w:spacing w:line="271" w:lineRule="auto"/>
        <w:ind w:left="157" w:right="2691" w:firstLine="899"/>
      </w:pPr>
      <w:r>
        <w:t>6.具有一次性整体制作高 8 米，宽 18 米，厚 4——5 米左右的泥塑的符合制作泥塑条件的车间或工作室。</w:t>
      </w:r>
    </w:p>
    <w:p>
      <w:pPr>
        <w:pStyle w:val="BodyText"/>
        <w:spacing w:line="271" w:lineRule="auto"/>
        <w:ind w:left="157" w:right="8843"/>
      </w:pPr>
      <w:r>
        <w:t>五、购买招标文件时必须携带： 1、营业执照副本；</w:t>
      </w:r>
    </w:p>
    <w:p>
      <w:pPr>
        <w:pStyle w:val="BodyText"/>
        <w:spacing w:line="271" w:lineRule="auto"/>
        <w:ind w:left="157" w:right="4997"/>
      </w:pPr>
      <w:r>
        <w:t>2、法定代表人授权委托书和委托代理人身份证明。六、招标文件发售：</w:t>
      </w:r>
    </w:p>
    <w:p>
      <w:pPr>
        <w:pStyle w:val="BodyText"/>
        <w:spacing w:line="271" w:lineRule="auto"/>
        <w:ind w:left="157" w:right="3010"/>
      </w:pPr>
      <w:r>
        <w:t>通过资格初步审查的投标人可以在规定时间内购买招标文件。地点：</w:t>
      </w:r>
    </w:p>
    <w:p>
      <w:pPr>
        <w:pStyle w:val="BodyText"/>
        <w:spacing w:line="271" w:lineRule="auto"/>
        <w:ind w:left="157" w:right="8669"/>
      </w:pPr>
      <w:r>
        <w:t>标书费：元/份，标书售出不退。联系人：</w:t>
      </w:r>
    </w:p>
    <w:p>
      <w:pPr>
        <w:pStyle w:val="BodyText"/>
        <w:spacing w:line="828" w:lineRule="exact"/>
        <w:ind w:left="157"/>
      </w:pPr>
      <w:r>
        <w:t>电话：手机：</w:t>
      </w:r>
    </w:p>
    <w:p>
      <w:pPr>
        <w:pStyle w:val="BodyText"/>
        <w:spacing w:before="94" w:line="271" w:lineRule="auto"/>
        <w:ind w:left="157" w:right="2693"/>
      </w:pPr>
      <w:r>
        <w:rPr>
          <w:spacing w:val="-13"/>
        </w:rPr>
        <w:t>八、投递投标文件及开标时间地点：</w:t>
      </w:r>
      <w:r>
        <w:rPr>
          <w:spacing w:val="-27"/>
        </w:rPr>
        <w:t>2010</w:t>
      </w:r>
      <w:r>
        <w:rPr>
          <w:spacing w:val="-8"/>
        </w:rPr>
        <w:t xml:space="preserve"> 年月日上午 </w:t>
      </w:r>
      <w:r>
        <w:t>8:30-9:00 投递标书，9:00</w:t>
      </w:r>
      <w:r>
        <w:rPr>
          <w:spacing w:val="-5"/>
        </w:rPr>
        <w:t xml:space="preserve"> 正式开标。</w:t>
      </w:r>
    </w:p>
    <w:p>
      <w:pPr>
        <w:pStyle w:val="Heading4"/>
        <w:spacing w:before="0" w:line="827" w:lineRule="exact"/>
      </w:pPr>
      <w:r>
        <w:t>第二部分投标人须知</w:t>
      </w:r>
    </w:p>
    <w:p>
      <w:pPr>
        <w:spacing w:after="0" w:line="827" w:lineRule="exact"/>
        <w:sectPr>
          <w:pgSz w:w="17860" w:h="25260"/>
          <w:pgMar w:top="1760" w:right="0" w:bottom="280" w:left="2540" w:header="708" w:footer="708"/>
          <w:pgNumType w:start="4"/>
          <w:cols w:space="708"/>
        </w:sectPr>
      </w:pPr>
    </w:p>
    <w:p>
      <w:pPr>
        <w:pStyle w:val="BodyText"/>
        <w:spacing w:line="791" w:lineRule="exact"/>
        <w:ind w:left="157"/>
      </w:pPr>
      <w:r>
        <w:t>投标人须知前附表</w:t>
      </w:r>
    </w:p>
    <w:p>
      <w:pPr>
        <w:tabs>
          <w:tab w:val="left" w:pos="1398"/>
        </w:tabs>
        <w:spacing w:before="180"/>
        <w:ind w:left="157" w:right="0" w:firstLine="0"/>
        <w:jc w:val="left"/>
        <w:rPr>
          <w:sz w:val="42"/>
        </w:rPr>
      </w:pPr>
      <w:r>
        <w:drawing>
          <wp:anchor distT="0" distB="0" distL="0" distR="0" simplePos="0" relativeHeight="251660288" behindDoc="1" locked="0" layoutInCell="1" allowOverlap="1">
            <wp:simplePos x="0" y="0"/>
            <wp:positionH relativeFrom="page">
              <wp:posOffset>1600200</wp:posOffset>
            </wp:positionH>
            <wp:positionV relativeFrom="paragraph">
              <wp:posOffset>134446</wp:posOffset>
            </wp:positionV>
            <wp:extent cx="8886825" cy="12365354"/>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5" cstate="print"/>
                    <a:stretch>
                      <a:fillRect/>
                    </a:stretch>
                  </pic:blipFill>
                  <pic:spPr>
                    <a:xfrm>
                      <a:off x="0" y="0"/>
                      <a:ext cx="8886825" cy="12365354"/>
                    </a:xfrm>
                    <a:prstGeom prst="rect">
                      <a:avLst/>
                    </a:prstGeom>
                  </pic:spPr>
                </pic:pic>
              </a:graphicData>
            </a:graphic>
          </wp:anchor>
        </w:drawing>
      </w:r>
      <w:r>
        <w:rPr>
          <w:sz w:val="42"/>
        </w:rPr>
        <w:t>序号</w:t>
        <w:tab/>
        <w:t>内容</w:t>
      </w:r>
    </w:p>
    <w:p>
      <w:pPr>
        <w:pStyle w:val="BodyText"/>
        <w:rPr>
          <w:sz w:val="10"/>
        </w:rPr>
      </w:pPr>
    </w:p>
    <w:p>
      <w:pPr>
        <w:pStyle w:val="ListParagraph"/>
        <w:numPr>
          <w:ilvl w:val="0"/>
          <w:numId w:val="16"/>
        </w:numPr>
        <w:tabs>
          <w:tab w:val="left" w:pos="1398"/>
          <w:tab w:val="left" w:pos="1399"/>
        </w:tabs>
        <w:spacing w:before="0" w:after="0" w:line="766" w:lineRule="exact"/>
        <w:ind w:left="1399" w:right="0" w:hanging="1242"/>
        <w:jc w:val="left"/>
        <w:rPr>
          <w:sz w:val="42"/>
        </w:rPr>
      </w:pPr>
      <w:r>
        <w:rPr>
          <w:sz w:val="42"/>
        </w:rPr>
        <w:t>项目名称：</w:t>
      </w:r>
    </w:p>
    <w:p>
      <w:pPr>
        <w:pStyle w:val="ListParagraph"/>
        <w:numPr>
          <w:ilvl w:val="0"/>
          <w:numId w:val="16"/>
        </w:numPr>
        <w:tabs>
          <w:tab w:val="left" w:pos="1398"/>
          <w:tab w:val="left" w:pos="1399"/>
        </w:tabs>
        <w:spacing w:before="226" w:after="0" w:line="240" w:lineRule="auto"/>
        <w:ind w:left="1399" w:right="0" w:hanging="1242"/>
        <w:jc w:val="left"/>
        <w:rPr>
          <w:sz w:val="42"/>
        </w:rPr>
      </w:pPr>
      <w:r>
        <w:rPr>
          <w:sz w:val="42"/>
        </w:rPr>
        <w:t>招标人：</w:t>
      </w:r>
    </w:p>
    <w:p>
      <w:pPr>
        <w:pStyle w:val="ListParagraph"/>
        <w:numPr>
          <w:ilvl w:val="0"/>
          <w:numId w:val="16"/>
        </w:numPr>
        <w:tabs>
          <w:tab w:val="left" w:pos="1398"/>
          <w:tab w:val="left" w:pos="1399"/>
        </w:tabs>
        <w:spacing w:before="177" w:after="0" w:line="240" w:lineRule="auto"/>
        <w:ind w:left="1399" w:right="0" w:hanging="1242"/>
        <w:jc w:val="left"/>
        <w:rPr>
          <w:sz w:val="42"/>
        </w:rPr>
      </w:pPr>
      <w:r>
        <w:rPr>
          <w:sz w:val="42"/>
        </w:rPr>
        <w:t>项目内容：</w:t>
      </w:r>
    </w:p>
    <w:p>
      <w:pPr>
        <w:spacing w:before="176"/>
        <w:ind w:left="1398" w:right="0" w:firstLine="0"/>
        <w:jc w:val="left"/>
        <w:rPr>
          <w:sz w:val="42"/>
        </w:rPr>
      </w:pPr>
      <w:r>
        <w:rPr>
          <w:sz w:val="42"/>
        </w:rPr>
        <w:t>投标保证金金额：元。投标保证金在投标有效期截止日后三十天内</w:t>
      </w:r>
    </w:p>
    <w:p>
      <w:pPr>
        <w:spacing w:before="7" w:line="930" w:lineRule="atLeast"/>
        <w:ind w:left="1398" w:right="1551" w:firstLine="0"/>
        <w:jc w:val="left"/>
        <w:rPr>
          <w:sz w:val="42"/>
        </w:rPr>
      </w:pPr>
      <w:r>
        <w:rPr>
          <w:sz w:val="42"/>
        </w:rPr>
        <w:t>保持有效。未中标的投标人的投标保证金将在公布中标结果后无息</w:t>
      </w:r>
      <w:r>
        <w:rPr>
          <w:spacing w:val="-15"/>
          <w:sz w:val="42"/>
        </w:rPr>
        <w:t xml:space="preserve">退还，中标人的投标保证金将在中标通知书发出，办理有关手续后 </w:t>
      </w:r>
      <w:r>
        <w:rPr>
          <w:spacing w:val="-16"/>
          <w:sz w:val="42"/>
        </w:rPr>
        <w:t>7</w:t>
      </w:r>
    </w:p>
    <w:p>
      <w:pPr>
        <w:spacing w:before="0" w:line="321" w:lineRule="exact"/>
        <w:ind w:left="157" w:right="0" w:firstLine="0"/>
        <w:jc w:val="left"/>
        <w:rPr>
          <w:sz w:val="42"/>
        </w:rPr>
      </w:pPr>
      <w:r>
        <w:rPr>
          <w:w w:val="100"/>
          <w:sz w:val="42"/>
        </w:rPr>
        <w:t>4</w:t>
      </w:r>
    </w:p>
    <w:p>
      <w:pPr>
        <w:spacing w:before="0" w:line="621" w:lineRule="exact"/>
        <w:ind w:left="1398" w:right="0" w:firstLine="0"/>
        <w:jc w:val="left"/>
        <w:rPr>
          <w:sz w:val="42"/>
        </w:rPr>
      </w:pPr>
      <w:r>
        <w:rPr>
          <w:sz w:val="42"/>
        </w:rPr>
        <w:t>日内无息退还。该项目本次招标代理服务费依据国家计委计价格</w:t>
      </w:r>
    </w:p>
    <w:p>
      <w:pPr>
        <w:spacing w:before="161" w:line="290" w:lineRule="auto"/>
        <w:ind w:left="1398" w:right="1536" w:firstLine="0"/>
        <w:jc w:val="left"/>
        <w:rPr>
          <w:sz w:val="42"/>
        </w:rPr>
      </w:pPr>
      <w:r>
        <w:rPr>
          <w:sz w:val="42"/>
        </w:rPr>
        <w:t>[2002]1980</w:t>
      </w:r>
      <w:r>
        <w:rPr>
          <w:spacing w:val="-10"/>
          <w:sz w:val="42"/>
        </w:rPr>
        <w:t xml:space="preserve"> 号及鲁价费函</w:t>
      </w:r>
      <w:r>
        <w:rPr>
          <w:sz w:val="42"/>
        </w:rPr>
        <w:t>[2003]135</w:t>
      </w:r>
      <w:r>
        <w:rPr>
          <w:spacing w:val="-8"/>
          <w:sz w:val="42"/>
        </w:rPr>
        <w:t xml:space="preserve"> 号文之规定从中标人的投标保证金中扣除。</w:t>
      </w:r>
    </w:p>
    <w:p>
      <w:pPr>
        <w:pStyle w:val="ListParagraph"/>
        <w:numPr>
          <w:ilvl w:val="0"/>
          <w:numId w:val="15"/>
        </w:numPr>
        <w:tabs>
          <w:tab w:val="left" w:pos="1398"/>
          <w:tab w:val="left" w:pos="1399"/>
        </w:tabs>
        <w:spacing w:before="13" w:after="0" w:line="240" w:lineRule="auto"/>
        <w:ind w:left="1399" w:right="0" w:hanging="1242"/>
        <w:jc w:val="left"/>
        <w:rPr>
          <w:sz w:val="42"/>
        </w:rPr>
      </w:pPr>
      <w:r>
        <w:rPr>
          <w:spacing w:val="-3"/>
          <w:sz w:val="42"/>
        </w:rPr>
        <w:t xml:space="preserve">投标有效期：开标后 </w:t>
      </w:r>
      <w:r>
        <w:rPr>
          <w:sz w:val="42"/>
        </w:rPr>
        <w:t>10</w:t>
      </w:r>
      <w:r>
        <w:rPr>
          <w:spacing w:val="-4"/>
          <w:sz w:val="42"/>
        </w:rPr>
        <w:t xml:space="preserve"> 个工作日</w:t>
      </w:r>
    </w:p>
    <w:p>
      <w:pPr>
        <w:pStyle w:val="ListParagraph"/>
        <w:numPr>
          <w:ilvl w:val="0"/>
          <w:numId w:val="15"/>
        </w:numPr>
        <w:tabs>
          <w:tab w:val="left" w:pos="1398"/>
          <w:tab w:val="left" w:pos="1399"/>
        </w:tabs>
        <w:spacing w:before="194" w:after="0" w:line="240" w:lineRule="auto"/>
        <w:ind w:left="1399" w:right="0" w:hanging="1242"/>
        <w:jc w:val="left"/>
        <w:rPr>
          <w:sz w:val="42"/>
        </w:rPr>
      </w:pPr>
      <w:r>
        <w:rPr>
          <w:sz w:val="42"/>
        </w:rPr>
        <w:t>投标文件份数：正本一份、副本三份</w:t>
      </w:r>
    </w:p>
    <w:p>
      <w:pPr>
        <w:spacing w:before="176" w:line="621" w:lineRule="exact"/>
        <w:ind w:left="1398" w:right="0" w:firstLine="0"/>
        <w:jc w:val="left"/>
        <w:rPr>
          <w:sz w:val="42"/>
        </w:rPr>
      </w:pPr>
      <w:r>
        <w:rPr>
          <w:sz w:val="42"/>
        </w:rPr>
        <w:t>《唱标一览表》应单独封装在一个信封内，与投标文件分别密封，</w:t>
      </w:r>
    </w:p>
    <w:p>
      <w:pPr>
        <w:spacing w:before="0" w:line="468" w:lineRule="exact"/>
        <w:ind w:left="157" w:right="0" w:firstLine="0"/>
        <w:jc w:val="left"/>
        <w:rPr>
          <w:sz w:val="42"/>
        </w:rPr>
      </w:pPr>
      <w:r>
        <w:rPr>
          <w:w w:val="100"/>
          <w:sz w:val="42"/>
        </w:rPr>
        <w:t>7</w:t>
      </w:r>
    </w:p>
    <w:p>
      <w:pPr>
        <w:spacing w:before="0" w:line="621" w:lineRule="exact"/>
        <w:ind w:left="1398" w:right="0" w:firstLine="0"/>
        <w:jc w:val="left"/>
        <w:rPr>
          <w:sz w:val="42"/>
        </w:rPr>
      </w:pPr>
      <w:r>
        <w:rPr>
          <w:sz w:val="42"/>
        </w:rPr>
        <w:t>投标时递交招标人。</w:t>
      </w:r>
    </w:p>
    <w:p>
      <w:pPr>
        <w:spacing w:before="176" w:line="290" w:lineRule="auto"/>
        <w:ind w:left="1398" w:right="1536" w:firstLine="0"/>
        <w:jc w:val="left"/>
        <w:rPr>
          <w:sz w:val="42"/>
        </w:rPr>
      </w:pPr>
      <w:r>
        <w:rPr>
          <w:spacing w:val="-8"/>
          <w:sz w:val="42"/>
        </w:rPr>
        <w:t xml:space="preserve">付款方式：签署合同后预付工程总造价 </w:t>
      </w:r>
      <w:r>
        <w:rPr>
          <w:spacing w:val="-21"/>
          <w:sz w:val="42"/>
        </w:rPr>
        <w:t>5</w:t>
      </w:r>
      <w:r>
        <w:rPr>
          <w:spacing w:val="-8"/>
          <w:sz w:val="42"/>
        </w:rPr>
        <w:t>%；等比例泥稿完成后验收</w:t>
      </w:r>
      <w:r>
        <w:rPr>
          <w:spacing w:val="2"/>
          <w:sz w:val="42"/>
        </w:rPr>
        <w:t xml:space="preserve">合格并经刘邓子女同意，付工程总造价的 </w:t>
      </w:r>
      <w:r>
        <w:rPr>
          <w:sz w:val="42"/>
        </w:rPr>
        <w:t>20%；石雕加工完成后装</w:t>
      </w:r>
    </w:p>
    <w:p>
      <w:pPr>
        <w:pStyle w:val="ListParagraph"/>
        <w:numPr>
          <w:ilvl w:val="0"/>
          <w:numId w:val="14"/>
        </w:numPr>
        <w:tabs>
          <w:tab w:val="left" w:pos="1399"/>
        </w:tabs>
        <w:spacing w:before="0" w:after="0" w:line="290" w:lineRule="auto"/>
        <w:ind w:left="1398" w:right="1544" w:hanging="1242"/>
        <w:jc w:val="both"/>
        <w:rPr>
          <w:sz w:val="42"/>
        </w:rPr>
      </w:pPr>
      <w:r>
        <w:rPr>
          <w:spacing w:val="1"/>
          <w:sz w:val="42"/>
        </w:rPr>
        <w:t xml:space="preserve">车托运前验收合格并经刘邓子女同意，付工程总造价的 </w:t>
      </w:r>
      <w:r>
        <w:rPr>
          <w:sz w:val="42"/>
        </w:rPr>
        <w:t>20%</w:t>
      </w:r>
      <w:r>
        <w:rPr>
          <w:spacing w:val="-4"/>
          <w:sz w:val="42"/>
        </w:rPr>
        <w:t>；石雕</w:t>
      </w:r>
      <w:r>
        <w:rPr>
          <w:spacing w:val="2"/>
          <w:sz w:val="42"/>
        </w:rPr>
        <w:t>安装完成后验收合格，付工程总造价款的</w:t>
      </w:r>
      <w:r>
        <w:rPr>
          <w:sz w:val="42"/>
        </w:rPr>
        <w:t>45%</w:t>
      </w:r>
      <w:r>
        <w:rPr>
          <w:spacing w:val="20"/>
          <w:sz w:val="42"/>
        </w:rPr>
        <w:t>；剩余</w:t>
      </w:r>
      <w:r>
        <w:rPr>
          <w:sz w:val="42"/>
        </w:rPr>
        <w:t>10%</w:t>
      </w:r>
      <w:r>
        <w:rPr>
          <w:spacing w:val="-4"/>
          <w:sz w:val="42"/>
        </w:rPr>
        <w:t>工程款项</w:t>
      </w:r>
      <w:r>
        <w:rPr>
          <w:sz w:val="42"/>
        </w:rPr>
        <w:t>在一年质保期满，雕塑经审查没有任何质量问题后全部付清。</w:t>
      </w:r>
    </w:p>
    <w:p>
      <w:pPr>
        <w:pStyle w:val="ListParagraph"/>
        <w:numPr>
          <w:ilvl w:val="0"/>
          <w:numId w:val="14"/>
        </w:numPr>
        <w:tabs>
          <w:tab w:val="left" w:pos="1398"/>
          <w:tab w:val="left" w:pos="1399"/>
        </w:tabs>
        <w:spacing w:before="12" w:after="0" w:line="240" w:lineRule="auto"/>
        <w:ind w:left="1399" w:right="0" w:hanging="1242"/>
        <w:jc w:val="left"/>
        <w:rPr>
          <w:sz w:val="42"/>
        </w:rPr>
      </w:pPr>
      <w:r>
        <w:rPr>
          <w:sz w:val="42"/>
        </w:rPr>
        <w:t>工程造价最高限价万，含制作安装等一切费用。</w:t>
      </w:r>
    </w:p>
    <w:p>
      <w:pPr>
        <w:spacing w:after="0" w:line="240" w:lineRule="auto"/>
        <w:jc w:val="left"/>
        <w:rPr>
          <w:sz w:val="42"/>
        </w:rPr>
        <w:sectPr>
          <w:pgSz w:w="17860" w:h="25260"/>
          <w:pgMar w:top="1760" w:right="0" w:bottom="280" w:left="2540" w:header="708" w:footer="708"/>
          <w:pgNumType w:start="5"/>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1"/>
        </w:rPr>
      </w:pPr>
    </w:p>
    <w:p>
      <w:pPr>
        <w:pStyle w:val="BodyText"/>
        <w:spacing w:line="813" w:lineRule="exact"/>
        <w:ind w:left="157"/>
      </w:pPr>
      <w:r>
        <w:pict>
          <v:group id="_x0000_s1025" style="width:699.75pt;height:191.95pt;margin-top:-184.88pt;margin-left:126pt;mso-position-horizontal-relative:page;position:absolute;z-index:-251655168" coordorigin="2520,-3698" coordsize="13995,3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995;height:3839;left:2520;position:absolute;top:-3698" stroked="f">
              <v:imagedata r:id="rId6" o:title=""/>
            </v:shape>
            <v:shapetype id="_x0000_t202" coordsize="21600,21600" o:spt="202" path="m,l,21600r21600,l21600,xe">
              <v:stroke joinstyle="miter"/>
              <v:path gradientshapeok="t" o:connecttype="rect"/>
            </v:shapetype>
            <v:shape id="_x0000_s1027" type="#_x0000_t202" style="width:514;height:2443;left:2697;position:absolute;top:-3154" filled="f" stroked="f">
              <v:textbox inset="0,0,0,0">
                <w:txbxContent>
                  <w:p>
                    <w:pPr>
                      <w:spacing w:before="0" w:line="666" w:lineRule="exact"/>
                      <w:ind w:left="0" w:right="0" w:firstLine="0"/>
                      <w:jc w:val="left"/>
                      <w:rPr>
                        <w:sz w:val="42"/>
                      </w:rPr>
                    </w:pPr>
                    <w:r>
                      <w:rPr>
                        <w:sz w:val="42"/>
                      </w:rPr>
                      <w:t>10</w:t>
                    </w:r>
                  </w:p>
                  <w:p>
                    <w:pPr>
                      <w:spacing w:before="6" w:line="240" w:lineRule="auto"/>
                      <w:rPr>
                        <w:sz w:val="60"/>
                      </w:rPr>
                    </w:pPr>
                  </w:p>
                  <w:p>
                    <w:pPr>
                      <w:spacing w:before="0" w:line="665" w:lineRule="exact"/>
                      <w:ind w:left="0" w:right="0" w:firstLine="0"/>
                      <w:jc w:val="left"/>
                      <w:rPr>
                        <w:sz w:val="42"/>
                      </w:rPr>
                    </w:pPr>
                    <w:r>
                      <w:rPr>
                        <w:sz w:val="42"/>
                      </w:rPr>
                      <w:t>11</w:t>
                    </w:r>
                  </w:p>
                </w:txbxContent>
              </v:textbox>
            </v:shape>
            <v:shape id="_x0000_s1028" type="#_x0000_t202" style="width:12391;height:3379;left:3939;position:absolute;top:-3622" filled="f" stroked="f">
              <v:textbox inset="0,0,0,0">
                <w:txbxContent>
                  <w:p>
                    <w:pPr>
                      <w:spacing w:before="0" w:line="666" w:lineRule="exact"/>
                      <w:ind w:left="0" w:right="0" w:firstLine="0"/>
                      <w:jc w:val="left"/>
                      <w:rPr>
                        <w:sz w:val="42"/>
                      </w:rPr>
                    </w:pPr>
                    <w:r>
                      <w:rPr>
                        <w:sz w:val="42"/>
                      </w:rPr>
                      <w:t>投标费用：无论投标过程中的方法和结果如何，投标人自行承担所</w:t>
                    </w:r>
                  </w:p>
                  <w:p>
                    <w:pPr>
                      <w:spacing w:before="162"/>
                      <w:ind w:left="0" w:right="0" w:firstLine="0"/>
                      <w:jc w:val="left"/>
                      <w:rPr>
                        <w:sz w:val="42"/>
                      </w:rPr>
                    </w:pPr>
                    <w:r>
                      <w:rPr>
                        <w:sz w:val="42"/>
                      </w:rPr>
                      <w:t>有与参加投标有关的费用。</w:t>
                    </w:r>
                  </w:p>
                  <w:p>
                    <w:pPr>
                      <w:spacing w:before="20" w:line="930" w:lineRule="atLeast"/>
                      <w:ind w:left="0" w:right="18" w:firstLine="0"/>
                      <w:jc w:val="left"/>
                      <w:rPr>
                        <w:sz w:val="42"/>
                      </w:rPr>
                    </w:pPr>
                    <w:r>
                      <w:rPr>
                        <w:sz w:val="42"/>
                      </w:rPr>
                      <w:t>参加投标时须携带营业执照副本原件（</w:t>
                    </w:r>
                    <w:r>
                      <w:rPr>
                        <w:spacing w:val="-3"/>
                        <w:sz w:val="42"/>
                      </w:rPr>
                      <w:t xml:space="preserve">经 </w:t>
                    </w:r>
                    <w:r>
                      <w:rPr>
                        <w:sz w:val="42"/>
                      </w:rPr>
                      <w:t>2008</w:t>
                    </w:r>
                    <w:r>
                      <w:rPr>
                        <w:spacing w:val="3"/>
                        <w:sz w:val="42"/>
                      </w:rPr>
                      <w:t xml:space="preserve"> 年年检</w:t>
                    </w:r>
                    <w:r>
                      <w:rPr>
                        <w:spacing w:val="-217"/>
                        <w:sz w:val="42"/>
                      </w:rPr>
                      <w:t>）</w:t>
                    </w:r>
                    <w:r>
                      <w:rPr>
                        <w:spacing w:val="-3"/>
                        <w:sz w:val="42"/>
                      </w:rPr>
                      <w:t>、法人代表</w:t>
                    </w:r>
                    <w:r>
                      <w:rPr>
                        <w:w w:val="100"/>
                        <w:sz w:val="42"/>
                      </w:rPr>
                      <w:t>证或法人授权委托书（加盖公章</w:t>
                    </w:r>
                    <w:r>
                      <w:rPr>
                        <w:spacing w:val="-228"/>
                        <w:w w:val="100"/>
                        <w:sz w:val="42"/>
                      </w:rPr>
                      <w:t>）</w:t>
                    </w:r>
                    <w:r>
                      <w:rPr>
                        <w:w w:val="100"/>
                        <w:sz w:val="42"/>
                      </w:rPr>
                      <w:t>，授权委托人身份证。</w:t>
                    </w:r>
                  </w:p>
                </w:txbxContent>
              </v:textbox>
            </v:shape>
          </v:group>
        </w:pict>
      </w:r>
      <w:r>
        <w:t>一、适用范围</w:t>
      </w:r>
    </w:p>
    <w:p>
      <w:pPr>
        <w:pStyle w:val="BodyText"/>
        <w:spacing w:before="106" w:line="271" w:lineRule="auto"/>
        <w:ind w:left="157" w:right="5260"/>
      </w:pPr>
      <w:r>
        <w:t>本招标文件仅适用于本次招标书中所叙述的项目。二、定义</w:t>
      </w:r>
    </w:p>
    <w:p>
      <w:pPr>
        <w:pStyle w:val="BodyText"/>
        <w:spacing w:line="828" w:lineRule="exact"/>
        <w:ind w:left="157"/>
      </w:pPr>
      <w:r>
        <w:t>1、“招标人”系指</w:t>
      </w:r>
    </w:p>
    <w:p>
      <w:pPr>
        <w:pStyle w:val="BodyText"/>
        <w:spacing w:before="107"/>
        <w:ind w:left="157"/>
      </w:pPr>
      <w:r>
        <w:t>2、“投标人”系指购买招标文件并向招标人提交投标文件的企业。</w:t>
      </w:r>
    </w:p>
    <w:p>
      <w:pPr>
        <w:pStyle w:val="BodyText"/>
        <w:spacing w:before="106" w:line="271" w:lineRule="auto"/>
        <w:ind w:left="157" w:right="2690"/>
        <w:jc w:val="both"/>
      </w:pPr>
      <w:r>
        <w:t>3</w:t>
      </w:r>
      <w:r>
        <w:rPr>
          <w:spacing w:val="-22"/>
        </w:rPr>
        <w:t>、“中标人”系指由评标委员会对入围投标人综合评估后，评选</w:t>
      </w:r>
      <w:r>
        <w:rPr>
          <w:spacing w:val="-9"/>
        </w:rPr>
        <w:t>出的对招标文件做出实质性响应、综合竞争实力最优、有能力承</w:t>
      </w:r>
      <w:r>
        <w:t>揽本工程的投标人。</w:t>
      </w:r>
    </w:p>
    <w:p>
      <w:pPr>
        <w:pStyle w:val="BodyText"/>
        <w:spacing w:line="271" w:lineRule="auto"/>
        <w:ind w:left="157" w:right="11560"/>
      </w:pPr>
      <w:r>
        <w:t>三、招标文件组成1、邀请函；</w:t>
      </w:r>
    </w:p>
    <w:p>
      <w:pPr>
        <w:pStyle w:val="BodyText"/>
        <w:spacing w:line="827" w:lineRule="exact"/>
        <w:ind w:left="157"/>
      </w:pPr>
      <w:r>
        <w:t>2、投标人须知；</w:t>
      </w:r>
    </w:p>
    <w:p>
      <w:pPr>
        <w:pStyle w:val="BodyText"/>
        <w:spacing w:before="104"/>
        <w:ind w:left="157"/>
      </w:pPr>
      <w:r>
        <w:t>3、开标、评标、定标；</w:t>
      </w:r>
    </w:p>
    <w:p>
      <w:pPr>
        <w:pStyle w:val="BodyText"/>
        <w:spacing w:before="106"/>
        <w:ind w:left="157"/>
      </w:pPr>
      <w:r>
        <w:t>4、授予合同；</w:t>
      </w:r>
    </w:p>
    <w:p>
      <w:pPr>
        <w:pStyle w:val="BodyText"/>
        <w:spacing w:before="108"/>
        <w:ind w:left="157"/>
      </w:pPr>
      <w:r>
        <w:t>5、工程技术要求；</w:t>
      </w:r>
    </w:p>
    <w:p>
      <w:pPr>
        <w:pStyle w:val="BodyText"/>
        <w:spacing w:before="106"/>
        <w:ind w:left="157"/>
      </w:pPr>
      <w:r>
        <w:t>6、附件。</w:t>
      </w:r>
    </w:p>
    <w:p>
      <w:pPr>
        <w:pStyle w:val="BodyText"/>
        <w:spacing w:before="107"/>
        <w:ind w:left="157"/>
      </w:pPr>
      <w:r>
        <w:t>四、投标文件的编写</w:t>
      </w:r>
    </w:p>
    <w:p>
      <w:pPr>
        <w:pStyle w:val="BodyText"/>
        <w:spacing w:before="106" w:line="271" w:lineRule="auto"/>
        <w:ind w:left="157" w:right="2470"/>
      </w:pPr>
      <w:r>
        <w:rPr>
          <w:spacing w:val="-8"/>
        </w:rPr>
        <w:t>投标人应仔细阅读招标文件的所有内容，并按招标文件的要求提</w:t>
      </w:r>
      <w:r>
        <w:rPr>
          <w:spacing w:val="-22"/>
        </w:rPr>
        <w:t>供投标文件，保证所提供的全部资料的真实性、准确性及完整性，</w:t>
      </w:r>
    </w:p>
    <w:p>
      <w:pPr>
        <w:spacing w:after="0" w:line="271" w:lineRule="auto"/>
        <w:sectPr>
          <w:pgSz w:w="17860" w:h="25260"/>
          <w:pgMar w:top="1820" w:right="0" w:bottom="280" w:left="2540" w:header="708" w:footer="708"/>
          <w:pgNumType w:start="6"/>
          <w:cols w:space="708"/>
        </w:sectPr>
      </w:pPr>
    </w:p>
    <w:p>
      <w:pPr>
        <w:pStyle w:val="BodyText"/>
        <w:spacing w:line="791" w:lineRule="exact"/>
        <w:ind w:left="157"/>
      </w:pPr>
      <w:r>
        <w:t>以使其投标对招标文件做出实质性响应。否则，其投标有可能被</w:t>
      </w:r>
    </w:p>
    <w:p>
      <w:pPr>
        <w:pStyle w:val="BodyText"/>
        <w:spacing w:before="106"/>
        <w:ind w:left="157"/>
      </w:pPr>
      <w:r>
        <w:t>拒绝。</w:t>
      </w:r>
    </w:p>
    <w:p>
      <w:pPr>
        <w:pStyle w:val="BodyText"/>
        <w:spacing w:before="107"/>
        <w:ind w:left="157"/>
      </w:pPr>
      <w:r>
        <w:t>（一</w:t>
      </w:r>
      <w:r>
        <w:rPr>
          <w:spacing w:val="-227"/>
        </w:rPr>
        <w:t>）</w:t>
      </w:r>
      <w:r>
        <w:t>、投标文件的组成与装订</w:t>
      </w:r>
    </w:p>
    <w:p>
      <w:pPr>
        <w:pStyle w:val="BodyText"/>
        <w:spacing w:before="106" w:line="271" w:lineRule="auto"/>
        <w:ind w:left="157" w:right="2560"/>
        <w:jc w:val="both"/>
      </w:pPr>
      <w:r>
        <w:t>投标人应按招标文件的要求编写投标文件，提交包括证明其有资格进行投标和有能力履行合同的文件。投标文件包括以下内容： 1、资格、资质证明文件及雕塑小稿和设计说明。</w:t>
      </w:r>
    </w:p>
    <w:p>
      <w:pPr>
        <w:pStyle w:val="ListParagraph"/>
        <w:numPr>
          <w:ilvl w:val="0"/>
          <w:numId w:val="13"/>
        </w:numPr>
        <w:tabs>
          <w:tab w:val="left" w:pos="1321"/>
        </w:tabs>
        <w:spacing w:before="0" w:after="0" w:line="827" w:lineRule="exact"/>
        <w:ind w:left="1320" w:right="0" w:hanging="1164"/>
        <w:jc w:val="left"/>
        <w:rPr>
          <w:sz w:val="45"/>
        </w:rPr>
      </w:pPr>
      <w:r>
        <w:rPr>
          <w:sz w:val="45"/>
        </w:rPr>
        <w:t>法定代表人或其授权人签署的投标函；</w:t>
      </w:r>
    </w:p>
    <w:p>
      <w:pPr>
        <w:pStyle w:val="ListParagraph"/>
        <w:numPr>
          <w:ilvl w:val="0"/>
          <w:numId w:val="13"/>
        </w:numPr>
        <w:tabs>
          <w:tab w:val="left" w:pos="1321"/>
        </w:tabs>
        <w:spacing w:before="107" w:after="0" w:line="240" w:lineRule="auto"/>
        <w:ind w:left="1320" w:right="0" w:hanging="1164"/>
        <w:jc w:val="left"/>
        <w:rPr>
          <w:sz w:val="45"/>
        </w:rPr>
      </w:pPr>
      <w:r>
        <w:rPr>
          <w:sz w:val="45"/>
        </w:rPr>
        <w:t>企业简介；</w:t>
      </w:r>
    </w:p>
    <w:p>
      <w:pPr>
        <w:pStyle w:val="ListParagraph"/>
        <w:numPr>
          <w:ilvl w:val="0"/>
          <w:numId w:val="13"/>
        </w:numPr>
        <w:tabs>
          <w:tab w:val="left" w:pos="1321"/>
        </w:tabs>
        <w:spacing w:before="106" w:after="0" w:line="240" w:lineRule="auto"/>
        <w:ind w:left="1320" w:right="0" w:hanging="1164"/>
        <w:jc w:val="left"/>
        <w:rPr>
          <w:sz w:val="45"/>
        </w:rPr>
      </w:pPr>
      <w:r>
        <w:rPr>
          <w:sz w:val="45"/>
        </w:rPr>
        <w:t>营业执照副本、税务登记证副本复印件加盖公章；</w:t>
      </w:r>
    </w:p>
    <w:p>
      <w:pPr>
        <w:pStyle w:val="ListParagraph"/>
        <w:numPr>
          <w:ilvl w:val="0"/>
          <w:numId w:val="13"/>
        </w:numPr>
        <w:tabs>
          <w:tab w:val="left" w:pos="1321"/>
        </w:tabs>
        <w:spacing w:before="107" w:after="0" w:line="271" w:lineRule="auto"/>
        <w:ind w:left="157" w:right="3537" w:firstLine="0"/>
        <w:jc w:val="left"/>
        <w:rPr>
          <w:sz w:val="45"/>
        </w:rPr>
      </w:pPr>
      <w:r>
        <w:rPr>
          <w:spacing w:val="-1"/>
          <w:sz w:val="45"/>
        </w:rPr>
        <w:t xml:space="preserve">法定代表人授权委托书及授权代理人的身份证复印件; </w:t>
      </w:r>
      <w:r>
        <w:rPr>
          <w:sz w:val="45"/>
        </w:rPr>
        <w:t>(5)雕塑二级资质及相关资质证明</w:t>
      </w:r>
    </w:p>
    <w:p>
      <w:pPr>
        <w:pStyle w:val="ListParagraph"/>
        <w:numPr>
          <w:ilvl w:val="0"/>
          <w:numId w:val="12"/>
        </w:numPr>
        <w:tabs>
          <w:tab w:val="left" w:pos="1321"/>
        </w:tabs>
        <w:spacing w:before="0" w:after="0" w:line="827" w:lineRule="exact"/>
        <w:ind w:left="1320" w:right="0" w:hanging="1164"/>
        <w:jc w:val="left"/>
        <w:rPr>
          <w:sz w:val="45"/>
        </w:rPr>
      </w:pPr>
      <w:r>
        <w:rPr>
          <w:sz w:val="45"/>
        </w:rPr>
        <w:t>制作泥塑的场所照片。</w:t>
      </w:r>
    </w:p>
    <w:p>
      <w:pPr>
        <w:pStyle w:val="ListParagraph"/>
        <w:numPr>
          <w:ilvl w:val="0"/>
          <w:numId w:val="12"/>
        </w:numPr>
        <w:tabs>
          <w:tab w:val="left" w:pos="1328"/>
        </w:tabs>
        <w:spacing w:before="107" w:after="0" w:line="271" w:lineRule="auto"/>
        <w:ind w:left="157" w:right="2740" w:firstLine="0"/>
        <w:jc w:val="left"/>
        <w:rPr>
          <w:sz w:val="45"/>
        </w:rPr>
      </w:pPr>
      <w:r>
        <w:rPr>
          <w:spacing w:val="-1"/>
          <w:sz w:val="45"/>
        </w:rPr>
        <w:t>根据甲方提供的概念线描稿制作的雕塑原大十五分之一尺</w:t>
      </w:r>
      <w:r>
        <w:rPr>
          <w:sz w:val="45"/>
        </w:rPr>
        <w:t>寸的玻璃钢材料着色雕塑小稿。</w:t>
      </w:r>
    </w:p>
    <w:p>
      <w:pPr>
        <w:pStyle w:val="ListParagraph"/>
        <w:numPr>
          <w:ilvl w:val="0"/>
          <w:numId w:val="12"/>
        </w:numPr>
        <w:tabs>
          <w:tab w:val="left" w:pos="1321"/>
        </w:tabs>
        <w:spacing w:before="0" w:after="0" w:line="827" w:lineRule="exact"/>
        <w:ind w:left="1320" w:right="0" w:hanging="1164"/>
        <w:jc w:val="left"/>
        <w:rPr>
          <w:sz w:val="45"/>
        </w:rPr>
      </w:pPr>
      <w:r>
        <w:rPr>
          <w:sz w:val="45"/>
        </w:rPr>
        <w:t>雕塑拟采用花岗岩石材样品。</w:t>
      </w:r>
    </w:p>
    <w:p>
      <w:pPr>
        <w:pStyle w:val="ListParagraph"/>
        <w:numPr>
          <w:ilvl w:val="0"/>
          <w:numId w:val="12"/>
        </w:numPr>
        <w:tabs>
          <w:tab w:val="left" w:pos="1321"/>
        </w:tabs>
        <w:spacing w:before="106" w:after="0" w:line="271" w:lineRule="auto"/>
        <w:ind w:left="157" w:right="10847" w:firstLine="0"/>
        <w:jc w:val="left"/>
        <w:rPr>
          <w:sz w:val="45"/>
        </w:rPr>
      </w:pPr>
      <w:r>
        <w:rPr>
          <w:spacing w:val="-3"/>
          <w:sz w:val="45"/>
        </w:rPr>
        <w:t>雕塑设计说明。</w:t>
      </w:r>
      <w:r>
        <w:rPr>
          <w:sz w:val="45"/>
        </w:rPr>
        <w:t>2、报价文件</w:t>
      </w:r>
    </w:p>
    <w:p>
      <w:pPr>
        <w:pStyle w:val="ListParagraph"/>
        <w:numPr>
          <w:ilvl w:val="0"/>
          <w:numId w:val="11"/>
        </w:numPr>
        <w:tabs>
          <w:tab w:val="left" w:pos="1321"/>
        </w:tabs>
        <w:spacing w:before="0" w:after="0" w:line="828" w:lineRule="exact"/>
        <w:ind w:left="1320" w:right="0" w:hanging="1164"/>
        <w:jc w:val="left"/>
        <w:rPr>
          <w:sz w:val="45"/>
        </w:rPr>
      </w:pPr>
      <w:r>
        <w:rPr>
          <w:sz w:val="45"/>
        </w:rPr>
        <w:t>报价唱标一览表</w:t>
      </w:r>
    </w:p>
    <w:p>
      <w:pPr>
        <w:pStyle w:val="ListParagraph"/>
        <w:numPr>
          <w:ilvl w:val="0"/>
          <w:numId w:val="11"/>
        </w:numPr>
        <w:tabs>
          <w:tab w:val="left" w:pos="1321"/>
        </w:tabs>
        <w:spacing w:before="107" w:after="0" w:line="240" w:lineRule="auto"/>
        <w:ind w:left="1320" w:right="0" w:hanging="1164"/>
        <w:jc w:val="left"/>
        <w:rPr>
          <w:sz w:val="45"/>
        </w:rPr>
      </w:pPr>
      <w:r>
        <w:rPr>
          <w:sz w:val="45"/>
        </w:rPr>
        <w:t>质量保修书</w:t>
      </w:r>
    </w:p>
    <w:p>
      <w:pPr>
        <w:pStyle w:val="ListParagraph"/>
        <w:numPr>
          <w:ilvl w:val="0"/>
          <w:numId w:val="11"/>
        </w:numPr>
        <w:tabs>
          <w:tab w:val="left" w:pos="1321"/>
        </w:tabs>
        <w:spacing w:before="106" w:after="0" w:line="271" w:lineRule="auto"/>
        <w:ind w:left="157" w:right="9947" w:firstLine="0"/>
        <w:jc w:val="left"/>
        <w:rPr>
          <w:sz w:val="45"/>
        </w:rPr>
      </w:pPr>
      <w:r>
        <w:rPr>
          <w:spacing w:val="-2"/>
          <w:sz w:val="45"/>
        </w:rPr>
        <w:t>其他优惠条件承诺书</w:t>
      </w:r>
      <w:r>
        <w:rPr>
          <w:sz w:val="45"/>
        </w:rPr>
        <w:t>3、商务文件</w:t>
      </w:r>
    </w:p>
    <w:p>
      <w:pPr>
        <w:pStyle w:val="BodyText"/>
        <w:spacing w:line="827" w:lineRule="exact"/>
        <w:ind w:left="157"/>
      </w:pPr>
      <w:r>
        <w:rPr>
          <w:spacing w:val="-1"/>
        </w:rPr>
        <w:t>（</w:t>
      </w:r>
      <w:r>
        <w:rPr>
          <w:spacing w:val="-2"/>
        </w:rPr>
        <w:t>1</w:t>
      </w:r>
      <w:r>
        <w:t>）</w:t>
      </w:r>
      <w:r>
        <w:rPr>
          <w:spacing w:val="-1"/>
        </w:rPr>
        <w:t>200</w:t>
      </w:r>
      <w:r>
        <w:t>7</w:t>
      </w:r>
      <w:r>
        <w:rPr>
          <w:spacing w:val="-5"/>
        </w:rPr>
        <w:t xml:space="preserve"> 年至今经营业绩一览表</w:t>
      </w:r>
      <w:r>
        <w:t>（须提供合同原件</w:t>
      </w:r>
      <w:r>
        <w:rPr>
          <w:spacing w:val="-220"/>
        </w:rPr>
        <w:t>）</w:t>
      </w:r>
      <w:r>
        <w:t>；</w:t>
      </w:r>
    </w:p>
    <w:p>
      <w:pPr>
        <w:spacing w:after="0" w:line="827" w:lineRule="exact"/>
        <w:sectPr>
          <w:pgSz w:w="17860" w:h="25260"/>
          <w:pgMar w:top="1760" w:right="0" w:bottom="280" w:left="2540" w:header="708" w:footer="708"/>
          <w:pgNumType w:start="7"/>
          <w:cols w:space="708"/>
        </w:sectPr>
      </w:pPr>
    </w:p>
    <w:p>
      <w:pPr>
        <w:pStyle w:val="BodyText"/>
        <w:spacing w:line="791" w:lineRule="exact"/>
        <w:ind w:left="157"/>
      </w:pPr>
      <w:r>
        <w:t>（2）投标人认为需要加以说明的其它内容。</w:t>
      </w:r>
    </w:p>
    <w:p>
      <w:pPr>
        <w:pStyle w:val="BodyText"/>
        <w:spacing w:before="106"/>
        <w:ind w:left="157"/>
      </w:pPr>
      <w:r>
        <w:t>4、投标文件的装订</w:t>
      </w:r>
    </w:p>
    <w:p>
      <w:pPr>
        <w:pStyle w:val="BodyText"/>
        <w:spacing w:before="107" w:line="271" w:lineRule="auto"/>
        <w:ind w:left="157" w:right="2466"/>
      </w:pPr>
      <w:r>
        <w:t>投标人必须将投标文件中的有关文件按上述顺序排列装订成册， 并在首页按照本“招标文件目录”的格式编制“投标文件目录</w:t>
      </w:r>
      <w:r>
        <w:rPr>
          <w:spacing w:val="-188"/>
        </w:rPr>
        <w:t>”。</w:t>
      </w:r>
    </w:p>
    <w:p>
      <w:pPr>
        <w:pStyle w:val="BodyText"/>
        <w:spacing w:line="827" w:lineRule="exact"/>
        <w:ind w:left="157"/>
      </w:pPr>
      <w:r>
        <w:t>（二）投标语言及计量单位</w:t>
      </w:r>
    </w:p>
    <w:p>
      <w:pPr>
        <w:pStyle w:val="BodyText"/>
        <w:spacing w:before="106" w:line="271" w:lineRule="auto"/>
        <w:ind w:left="157" w:right="2466"/>
      </w:pPr>
      <w:r>
        <w:t>1</w:t>
      </w:r>
      <w:r>
        <w:rPr>
          <w:spacing w:val="-15"/>
        </w:rPr>
        <w:t xml:space="preserve">、投标文件及投标人和招标人就招投标交换的文件和来往信函， </w:t>
      </w:r>
      <w:r>
        <w:t>使用中文。</w:t>
      </w:r>
    </w:p>
    <w:p>
      <w:pPr>
        <w:pStyle w:val="BodyText"/>
        <w:spacing w:line="271" w:lineRule="auto"/>
        <w:ind w:left="157" w:right="2745"/>
      </w:pPr>
      <w:r>
        <w:t>2、除在招标文件的技术规格中另有规定外，投标文件中所使用的计量单位应使用中华人民共和国法定计量单位。</w:t>
      </w:r>
    </w:p>
    <w:p>
      <w:pPr>
        <w:pStyle w:val="BodyText"/>
        <w:spacing w:line="827" w:lineRule="exact"/>
        <w:ind w:left="157"/>
      </w:pPr>
      <w:r>
        <w:t>（三）投标文件的密封和标记</w:t>
      </w:r>
    </w:p>
    <w:p>
      <w:pPr>
        <w:pStyle w:val="BodyText"/>
        <w:spacing w:before="105" w:line="271" w:lineRule="auto"/>
        <w:ind w:left="157" w:right="2745"/>
      </w:pPr>
      <w:r>
        <w:t>1、投标人应将投标文件用档案袋密封，并在封口处加盖投标人单位公章，在档案袋和投标文件封面明显处注明：</w:t>
      </w:r>
    </w:p>
    <w:p>
      <w:pPr>
        <w:pStyle w:val="ListParagraph"/>
        <w:numPr>
          <w:ilvl w:val="0"/>
          <w:numId w:val="10"/>
        </w:numPr>
        <w:tabs>
          <w:tab w:val="left" w:pos="1321"/>
        </w:tabs>
        <w:spacing w:before="0" w:after="0" w:line="827" w:lineRule="exact"/>
        <w:ind w:left="1320" w:right="0" w:hanging="1164"/>
        <w:jc w:val="left"/>
        <w:rPr>
          <w:sz w:val="45"/>
        </w:rPr>
      </w:pPr>
      <w:r>
        <w:rPr>
          <w:sz w:val="45"/>
        </w:rPr>
        <w:t>项目编号、项目名称；</w:t>
      </w:r>
    </w:p>
    <w:p>
      <w:pPr>
        <w:pStyle w:val="ListParagraph"/>
        <w:numPr>
          <w:ilvl w:val="0"/>
          <w:numId w:val="10"/>
        </w:numPr>
        <w:tabs>
          <w:tab w:val="left" w:pos="1321"/>
        </w:tabs>
        <w:spacing w:before="107" w:after="0" w:line="240" w:lineRule="auto"/>
        <w:ind w:left="1320" w:right="0" w:hanging="1164"/>
        <w:jc w:val="left"/>
        <w:rPr>
          <w:sz w:val="45"/>
        </w:rPr>
      </w:pPr>
      <w:r>
        <w:rPr>
          <w:sz w:val="45"/>
        </w:rPr>
        <w:t>投标人名称（加盖公章</w:t>
      </w:r>
      <w:r>
        <w:rPr>
          <w:spacing w:val="-227"/>
          <w:sz w:val="45"/>
        </w:rPr>
        <w:t>）</w:t>
      </w:r>
      <w:r>
        <w:rPr>
          <w:sz w:val="45"/>
        </w:rPr>
        <w:t>、地址、电话、传真；</w:t>
      </w:r>
    </w:p>
    <w:p>
      <w:pPr>
        <w:pStyle w:val="ListParagraph"/>
        <w:numPr>
          <w:ilvl w:val="0"/>
          <w:numId w:val="10"/>
        </w:numPr>
        <w:tabs>
          <w:tab w:val="left" w:pos="1321"/>
        </w:tabs>
        <w:spacing w:before="106" w:after="0" w:line="271" w:lineRule="auto"/>
        <w:ind w:left="157" w:right="2469" w:firstLine="0"/>
        <w:jc w:val="both"/>
        <w:rPr>
          <w:sz w:val="45"/>
        </w:rPr>
      </w:pPr>
      <w:r>
        <w:rPr>
          <w:spacing w:val="-16"/>
          <w:sz w:val="45"/>
        </w:rPr>
        <w:t xml:space="preserve">每一密封档案袋上注明“于年月日上午 </w:t>
      </w:r>
      <w:r>
        <w:rPr>
          <w:sz w:val="45"/>
        </w:rPr>
        <w:t>9:00</w:t>
      </w:r>
      <w:r>
        <w:rPr>
          <w:spacing w:val="-5"/>
          <w:sz w:val="45"/>
        </w:rPr>
        <w:t xml:space="preserve"> 之前不准启封</w:t>
      </w:r>
      <w:r>
        <w:rPr>
          <w:spacing w:val="-4"/>
          <w:sz w:val="45"/>
        </w:rPr>
        <w:t>”的字样。</w:t>
      </w:r>
    </w:p>
    <w:p>
      <w:pPr>
        <w:pStyle w:val="BodyText"/>
        <w:spacing w:line="271" w:lineRule="auto"/>
        <w:ind w:left="157" w:right="2691"/>
        <w:jc w:val="both"/>
      </w:pPr>
      <w:r>
        <w:t xml:space="preserve">2、为方便开标、唱标，请投标人另外准备一份“唱标一览表” </w:t>
      </w:r>
      <w:r>
        <w:rPr>
          <w:spacing w:val="-10"/>
        </w:rPr>
        <w:t>单独密封在一个信封内，与投标文件同时提交。在信封密封处加</w:t>
      </w:r>
      <w:r>
        <w:rPr>
          <w:spacing w:val="-8"/>
        </w:rPr>
        <w:t>盖投标单位公章并在封面上注明“唱标一览表”、项目编号、项目名称、投标人名称。</w:t>
      </w:r>
    </w:p>
    <w:p>
      <w:pPr>
        <w:pStyle w:val="BodyText"/>
        <w:spacing w:line="825" w:lineRule="exact"/>
        <w:ind w:left="157"/>
      </w:pPr>
      <w:r>
        <w:t>（四）开标</w:t>
      </w:r>
    </w:p>
    <w:p>
      <w:pPr>
        <w:pStyle w:val="BodyText"/>
        <w:spacing w:before="104"/>
        <w:ind w:left="157"/>
      </w:pPr>
      <w:r>
        <w:t>开标时间和地点：2010 年月日上午 9:00 在金乡县建设工程交易</w:t>
      </w:r>
    </w:p>
    <w:p>
      <w:pPr>
        <w:spacing w:after="0"/>
        <w:sectPr>
          <w:pgSz w:w="17860" w:h="25260"/>
          <w:pgMar w:top="1760" w:right="0" w:bottom="280" w:left="2540" w:header="708" w:footer="708"/>
          <w:pgNumType w:start="8"/>
          <w:cols w:space="708"/>
        </w:sectPr>
      </w:pPr>
    </w:p>
    <w:p>
      <w:pPr>
        <w:pStyle w:val="BodyText"/>
        <w:spacing w:line="791" w:lineRule="exact"/>
        <w:ind w:left="157"/>
      </w:pPr>
      <w:r>
        <w:t>中心正式开标，逾期不予受理。</w:t>
      </w:r>
    </w:p>
    <w:p>
      <w:pPr>
        <w:pStyle w:val="BodyText"/>
        <w:spacing w:before="106"/>
        <w:ind w:left="157"/>
      </w:pPr>
      <w:r>
        <w:t>（五）投标文件和雕塑小稿的递交</w:t>
      </w:r>
    </w:p>
    <w:p>
      <w:pPr>
        <w:pStyle w:val="BodyText"/>
        <w:spacing w:before="107" w:line="271" w:lineRule="auto"/>
        <w:ind w:left="157" w:right="2560"/>
        <w:jc w:val="both"/>
      </w:pPr>
      <w:r>
        <w:t>1、投标人代表必须在投标截止时间前将投标文件和雕塑小稿送</w:t>
      </w:r>
      <w:r>
        <w:rPr>
          <w:spacing w:val="-1"/>
        </w:rPr>
        <w:t xml:space="preserve">达指定地点。如因招标文件的修改提前或推迟投标截止日期的， </w:t>
      </w:r>
      <w:r>
        <w:t>则按招标人通知规定的时间递交。</w:t>
      </w:r>
    </w:p>
    <w:p>
      <w:pPr>
        <w:pStyle w:val="BodyText"/>
        <w:spacing w:line="271" w:lineRule="auto"/>
        <w:ind w:left="157" w:right="2745"/>
      </w:pPr>
      <w:r>
        <w:t>2、对投标人提交的投标文件不予以退还。不采用的小稿自行取回。</w:t>
      </w:r>
    </w:p>
    <w:p>
      <w:pPr>
        <w:pStyle w:val="BodyText"/>
        <w:spacing w:line="828" w:lineRule="exact"/>
        <w:ind w:left="157"/>
      </w:pPr>
      <w:r>
        <w:t>（六）迟交的投标文件</w:t>
      </w:r>
    </w:p>
    <w:p>
      <w:pPr>
        <w:pStyle w:val="BodyText"/>
        <w:spacing w:before="102"/>
        <w:ind w:left="157"/>
      </w:pPr>
      <w:r>
        <w:t>招标人将拒绝接收在投标截止时间后送达的投标文件。</w:t>
      </w:r>
    </w:p>
    <w:p>
      <w:pPr>
        <w:pStyle w:val="BodyText"/>
        <w:spacing w:before="107"/>
        <w:ind w:left="157"/>
      </w:pPr>
      <w:r>
        <w:t>（七）投标文件的修改、补充和撤回</w:t>
      </w:r>
    </w:p>
    <w:p>
      <w:pPr>
        <w:pStyle w:val="BodyText"/>
        <w:spacing w:before="106" w:line="271" w:lineRule="auto"/>
        <w:ind w:left="157" w:right="2470"/>
      </w:pPr>
      <w:r>
        <w:t>1、投标人在招标文件要求提交投标文件的截止时间前，可以补</w:t>
      </w:r>
      <w:r>
        <w:rPr>
          <w:spacing w:val="-20"/>
        </w:rPr>
        <w:t>充、修改或者撤回已提交的投标文件，并以书面形式通知招标人。</w:t>
      </w:r>
      <w:r>
        <w:rPr>
          <w:spacing w:val="-12"/>
        </w:rPr>
        <w:t>补充、修改的内容作为投标文件的组成部分。任何补充或修改的</w:t>
      </w:r>
      <w:r>
        <w:rPr>
          <w:spacing w:val="-18"/>
        </w:rPr>
        <w:t>内容必须由投标人的法定代表人或其授权人签字。经法定代表人或其授权人正式签署的修改和补充文件组成投标文件的一部分， 份数和密封要求同投标文件一致；</w:t>
      </w:r>
    </w:p>
    <w:p>
      <w:pPr>
        <w:pStyle w:val="BodyText"/>
        <w:spacing w:line="822" w:lineRule="exact"/>
        <w:ind w:left="157"/>
      </w:pPr>
      <w:r>
        <w:t>2、开标后不允许对投标文件做实质性修改和补充；</w:t>
      </w:r>
    </w:p>
    <w:p>
      <w:pPr>
        <w:pStyle w:val="BodyText"/>
        <w:spacing w:before="108"/>
        <w:ind w:left="157"/>
      </w:pPr>
      <w:r>
        <w:t>3、开标后在投标有效期内不得撤回投标。</w:t>
      </w:r>
    </w:p>
    <w:p>
      <w:pPr>
        <w:pStyle w:val="BodyText"/>
        <w:spacing w:before="106"/>
        <w:ind w:left="157"/>
      </w:pPr>
      <w:r>
        <w:t>（八）投标报价要求</w:t>
      </w:r>
    </w:p>
    <w:p>
      <w:pPr>
        <w:pStyle w:val="BodyText"/>
        <w:spacing w:before="107"/>
        <w:ind w:left="157"/>
      </w:pPr>
      <w:r>
        <w:t>1、“唱标一览表”不允许涂抹、修改；</w:t>
      </w:r>
    </w:p>
    <w:p>
      <w:pPr>
        <w:pStyle w:val="BodyText"/>
        <w:spacing w:before="106"/>
        <w:ind w:left="157"/>
      </w:pPr>
      <w:r>
        <w:t>2、“唱标一览表”中相应内容的报价必须计算正确；</w:t>
      </w:r>
    </w:p>
    <w:p>
      <w:pPr>
        <w:pStyle w:val="BodyText"/>
        <w:spacing w:before="107"/>
        <w:ind w:left="157"/>
      </w:pPr>
      <w:r>
        <w:t>3、投标人应提供分项单价；</w:t>
      </w:r>
    </w:p>
    <w:p>
      <w:pPr>
        <w:spacing w:after="0"/>
        <w:sectPr>
          <w:pgSz w:w="17860" w:h="25260"/>
          <w:pgMar w:top="1760" w:right="0" w:bottom="280" w:left="2540" w:header="708" w:footer="708"/>
          <w:pgNumType w:start="9"/>
          <w:cols w:space="708"/>
        </w:sectPr>
      </w:pPr>
    </w:p>
    <w:p>
      <w:pPr>
        <w:pStyle w:val="BodyText"/>
        <w:spacing w:before="5"/>
        <w:ind w:left="157"/>
        <w:rPr>
          <w:rFonts w:ascii="幼圆" w:eastAsia="幼圆" w:hint="eastAsia"/>
        </w:rPr>
      </w:pPr>
      <w:r>
        <w:rPr>
          <w:rFonts w:ascii="幼圆" w:eastAsia="幼圆" w:hint="eastAsia"/>
          <w:spacing w:val="37"/>
        </w:rPr>
        <w:t>4</w:t>
      </w:r>
      <w:r>
        <w:rPr>
          <w:rFonts w:ascii="幼圆" w:eastAsia="幼圆" w:hint="eastAsia"/>
          <w:spacing w:val="-14"/>
        </w:rPr>
        <w:t>、如果大写的金额和小写的金额不一致时，以大写的金额为准；</w:t>
      </w:r>
    </w:p>
    <w:p>
      <w:pPr>
        <w:pStyle w:val="BodyText"/>
        <w:spacing w:before="359" w:line="388" w:lineRule="auto"/>
        <w:ind w:left="157" w:right="2745"/>
        <w:rPr>
          <w:rFonts w:ascii="幼圆" w:eastAsia="幼圆" w:hint="eastAsia"/>
        </w:rPr>
      </w:pPr>
      <w:r>
        <w:rPr>
          <w:rFonts w:ascii="幼圆" w:eastAsia="幼圆" w:hint="eastAsia"/>
        </w:rPr>
        <w:t>5</w:t>
      </w:r>
      <w:r>
        <w:rPr>
          <w:rFonts w:ascii="幼圆" w:eastAsia="幼圆" w:hint="eastAsia"/>
          <w:spacing w:val="-16"/>
        </w:rPr>
        <w:t xml:space="preserve"> 、投标人免费提供的项目，应先填写该项目的实际价格，并注</w:t>
      </w:r>
      <w:r>
        <w:rPr>
          <w:rFonts w:ascii="幼圆" w:eastAsia="幼圆" w:hint="eastAsia"/>
        </w:rPr>
        <w:t>明免费。此项不计入总价或合计价；</w:t>
      </w:r>
    </w:p>
    <w:p>
      <w:pPr>
        <w:pStyle w:val="BodyText"/>
        <w:spacing w:before="4"/>
        <w:ind w:left="157"/>
        <w:rPr>
          <w:rFonts w:ascii="幼圆" w:eastAsia="幼圆" w:hint="eastAsia"/>
        </w:rPr>
      </w:pPr>
      <w:r>
        <w:rPr>
          <w:rFonts w:ascii="幼圆" w:eastAsia="幼圆" w:hint="eastAsia"/>
        </w:rPr>
        <w:t>五、合格的投标人</w:t>
      </w:r>
    </w:p>
    <w:p>
      <w:pPr>
        <w:pStyle w:val="BodyText"/>
        <w:spacing w:before="359"/>
        <w:ind w:left="157"/>
        <w:rPr>
          <w:rFonts w:ascii="幼圆" w:eastAsia="幼圆" w:hint="eastAsia"/>
        </w:rPr>
      </w:pPr>
      <w:r>
        <w:rPr>
          <w:rFonts w:ascii="幼圆" w:eastAsia="幼圆" w:hint="eastAsia"/>
        </w:rPr>
        <w:t>符合以下条件的企业，均为合格的投标人：</w:t>
      </w:r>
    </w:p>
    <w:p>
      <w:pPr>
        <w:pStyle w:val="BodyText"/>
        <w:spacing w:before="360" w:line="391" w:lineRule="auto"/>
        <w:ind w:left="157" w:right="2745"/>
        <w:rPr>
          <w:rFonts w:ascii="幼圆" w:eastAsia="幼圆" w:hint="eastAsia"/>
        </w:rPr>
      </w:pPr>
      <w:r>
        <w:rPr>
          <w:rFonts w:ascii="幼圆" w:eastAsia="幼圆" w:hint="eastAsia"/>
        </w:rPr>
        <w:t>1</w:t>
      </w:r>
      <w:r>
        <w:rPr>
          <w:rFonts w:ascii="幼圆" w:eastAsia="幼圆" w:hint="eastAsia"/>
          <w:spacing w:val="-16"/>
        </w:rPr>
        <w:t xml:space="preserve"> 、在中国境内注册，具有独立法人资格，并符合本招标文件要</w:t>
      </w:r>
      <w:r>
        <w:rPr>
          <w:rFonts w:ascii="幼圆" w:eastAsia="幼圆" w:hint="eastAsia"/>
        </w:rPr>
        <w:t>求的企业；</w:t>
      </w:r>
    </w:p>
    <w:p>
      <w:pPr>
        <w:pStyle w:val="BodyText"/>
        <w:spacing w:line="570" w:lineRule="exact"/>
        <w:ind w:left="157"/>
        <w:rPr>
          <w:rFonts w:ascii="幼圆" w:eastAsia="幼圆" w:hint="eastAsia"/>
        </w:rPr>
      </w:pPr>
      <w:r>
        <w:rPr>
          <w:rFonts w:ascii="幼圆" w:eastAsia="幼圆" w:hint="eastAsia"/>
        </w:rPr>
        <w:t>2、提供的资格资质文件均真实有效；</w:t>
      </w:r>
    </w:p>
    <w:p>
      <w:pPr>
        <w:pStyle w:val="BodyText"/>
        <w:spacing w:before="359"/>
        <w:ind w:left="157"/>
        <w:rPr>
          <w:rFonts w:ascii="幼圆" w:eastAsia="幼圆" w:hint="eastAsia"/>
        </w:rPr>
      </w:pPr>
      <w:r>
        <w:rPr>
          <w:rFonts w:ascii="幼圆" w:eastAsia="幼圆" w:hint="eastAsia"/>
        </w:rPr>
        <w:t>3、购买招标文件并登记备案；</w:t>
      </w:r>
    </w:p>
    <w:p>
      <w:pPr>
        <w:pStyle w:val="BodyText"/>
        <w:spacing w:before="360"/>
        <w:ind w:left="157"/>
        <w:rPr>
          <w:rFonts w:ascii="幼圆" w:eastAsia="幼圆" w:hint="eastAsia"/>
        </w:rPr>
      </w:pPr>
      <w:r>
        <w:rPr>
          <w:rFonts w:ascii="幼圆" w:eastAsia="幼圆" w:hint="eastAsia"/>
          <w:spacing w:val="37"/>
        </w:rPr>
        <w:t>4</w:t>
      </w:r>
      <w:r>
        <w:rPr>
          <w:rFonts w:ascii="幼圆" w:eastAsia="幼圆" w:hint="eastAsia"/>
          <w:spacing w:val="-14"/>
        </w:rPr>
        <w:t>、在以往的政府采购活动中没有违法、违规、违纪和违约行为；</w:t>
      </w:r>
    </w:p>
    <w:p>
      <w:pPr>
        <w:pStyle w:val="BodyText"/>
        <w:spacing w:before="359" w:line="388" w:lineRule="auto"/>
        <w:ind w:left="157" w:right="2712"/>
        <w:rPr>
          <w:rFonts w:ascii="幼圆" w:eastAsia="幼圆" w:hint="eastAsia"/>
        </w:rPr>
      </w:pPr>
      <w:r>
        <w:rPr>
          <w:rFonts w:ascii="幼圆" w:eastAsia="幼圆" w:hint="eastAsia"/>
        </w:rPr>
        <w:t>5</w:t>
      </w:r>
      <w:r>
        <w:rPr>
          <w:rFonts w:ascii="幼圆" w:eastAsia="幼圆" w:hint="eastAsia"/>
          <w:spacing w:val="-27"/>
        </w:rPr>
        <w:t xml:space="preserve"> 、遵守《中华人民共和国招标投标法》、《中华人民共和国政府</w:t>
      </w:r>
      <w:r>
        <w:rPr>
          <w:rFonts w:ascii="幼圆" w:eastAsia="幼圆" w:hint="eastAsia"/>
        </w:rPr>
        <w:t>采购法》及其他有关的中国法律、法规和规定；</w:t>
      </w:r>
    </w:p>
    <w:p>
      <w:pPr>
        <w:pStyle w:val="BodyText"/>
        <w:spacing w:before="5"/>
        <w:ind w:left="157"/>
        <w:rPr>
          <w:rFonts w:ascii="幼圆" w:eastAsia="幼圆" w:hint="eastAsia"/>
        </w:rPr>
      </w:pPr>
      <w:r>
        <w:rPr>
          <w:rFonts w:ascii="幼圆" w:eastAsia="幼圆" w:hint="eastAsia"/>
        </w:rPr>
        <w:t>6、本项目不接受联合体投标。</w:t>
      </w:r>
    </w:p>
    <w:p>
      <w:pPr>
        <w:pStyle w:val="BodyText"/>
        <w:spacing w:before="359"/>
        <w:ind w:left="157"/>
        <w:rPr>
          <w:rFonts w:ascii="幼圆" w:eastAsia="幼圆" w:hint="eastAsia"/>
        </w:rPr>
      </w:pPr>
      <w:r>
        <w:rPr>
          <w:rFonts w:ascii="幼圆" w:eastAsia="幼圆" w:hint="eastAsia"/>
        </w:rPr>
        <w:t>六、接受和拒绝任何或所有投标的权力</w:t>
      </w:r>
    </w:p>
    <w:p>
      <w:pPr>
        <w:pStyle w:val="BodyText"/>
        <w:spacing w:before="359" w:line="388" w:lineRule="auto"/>
        <w:ind w:left="157" w:right="2693"/>
        <w:rPr>
          <w:rFonts w:ascii="幼圆" w:eastAsia="幼圆" w:hint="eastAsia"/>
        </w:rPr>
      </w:pPr>
      <w:r>
        <w:rPr>
          <w:rFonts w:ascii="幼圆" w:eastAsia="幼圆" w:hint="eastAsia"/>
          <w:spacing w:val="-13"/>
        </w:rPr>
        <w:t>为维护国家利益，招标人在授予合同之前可依法做出选择或拒绝</w:t>
      </w:r>
      <w:r>
        <w:rPr>
          <w:rFonts w:ascii="幼圆" w:eastAsia="幼圆" w:hint="eastAsia"/>
        </w:rPr>
        <w:t>任何或全部投标的决定。</w:t>
      </w:r>
    </w:p>
    <w:p>
      <w:pPr>
        <w:pStyle w:val="BodyText"/>
        <w:spacing w:before="4"/>
        <w:ind w:left="157"/>
        <w:rPr>
          <w:rFonts w:ascii="幼圆" w:eastAsia="幼圆" w:hint="eastAsia"/>
        </w:rPr>
      </w:pPr>
      <w:r>
        <w:rPr>
          <w:rFonts w:ascii="幼圆" w:eastAsia="幼圆" w:hint="eastAsia"/>
        </w:rPr>
        <w:t>七、投标有效期</w:t>
      </w:r>
    </w:p>
    <w:p>
      <w:pPr>
        <w:pStyle w:val="BodyText"/>
        <w:spacing w:before="361" w:line="388" w:lineRule="auto"/>
        <w:ind w:left="157" w:right="2691"/>
        <w:jc w:val="both"/>
        <w:rPr>
          <w:rFonts w:ascii="幼圆" w:eastAsia="幼圆" w:hint="eastAsia"/>
        </w:rPr>
      </w:pPr>
      <w:r>
        <w:rPr>
          <w:rFonts w:ascii="幼圆" w:eastAsia="幼圆" w:hint="eastAsia"/>
        </w:rPr>
        <w:t>1</w:t>
      </w:r>
      <w:r>
        <w:rPr>
          <w:rFonts w:ascii="幼圆" w:eastAsia="幼圆" w:hint="eastAsia"/>
          <w:spacing w:val="-15"/>
        </w:rPr>
        <w:t xml:space="preserve"> 、从开标之日起，投标有效期为十个工作日。投标文件的有效</w:t>
      </w:r>
      <w:r>
        <w:rPr>
          <w:rFonts w:ascii="幼圆" w:eastAsia="幼圆" w:hint="eastAsia"/>
          <w:spacing w:val="-19"/>
        </w:rPr>
        <w:t>期比本须知规定的有效期短的，将被视为非响应投标，招标人有</w:t>
      </w:r>
      <w:r>
        <w:rPr>
          <w:rFonts w:ascii="幼圆" w:eastAsia="幼圆" w:hint="eastAsia"/>
        </w:rPr>
        <w:t>权拒绝。</w:t>
      </w:r>
    </w:p>
    <w:p>
      <w:pPr>
        <w:pStyle w:val="BodyText"/>
        <w:spacing w:before="6" w:line="388" w:lineRule="auto"/>
        <w:ind w:left="157" w:right="2693"/>
        <w:rPr>
          <w:rFonts w:ascii="幼圆" w:eastAsia="幼圆" w:hint="eastAsia"/>
        </w:rPr>
      </w:pPr>
      <w:r>
        <w:rPr>
          <w:rFonts w:ascii="幼圆" w:eastAsia="幼圆" w:hint="eastAsia"/>
        </w:rPr>
        <w:t>2</w:t>
      </w:r>
      <w:r>
        <w:rPr>
          <w:rFonts w:ascii="幼圆" w:eastAsia="幼圆" w:hint="eastAsia"/>
          <w:spacing w:val="-15"/>
        </w:rPr>
        <w:t xml:space="preserve"> 、特殊情况下，在投标有效期满之前，招标人可以以书面形式</w:t>
      </w:r>
      <w:r>
        <w:rPr>
          <w:rFonts w:ascii="幼圆" w:eastAsia="幼圆" w:hint="eastAsia"/>
          <w:spacing w:val="-19"/>
        </w:rPr>
        <w:t>要求投标人同意延长有效期。投标人可以以书面形式拒绝或接受</w:t>
      </w:r>
    </w:p>
    <w:p>
      <w:pPr>
        <w:spacing w:after="0" w:line="388" w:lineRule="auto"/>
        <w:rPr>
          <w:rFonts w:ascii="幼圆" w:eastAsia="幼圆" w:hint="eastAsia"/>
        </w:rPr>
        <w:sectPr>
          <w:pgSz w:w="17860" w:h="25260"/>
          <w:pgMar w:top="1860" w:right="0" w:bottom="280" w:left="2540" w:header="708" w:footer="708"/>
          <w:pgNumType w:start="10"/>
          <w:cols w:space="708"/>
        </w:sectPr>
      </w:pPr>
    </w:p>
    <w:p>
      <w:pPr>
        <w:pStyle w:val="BodyText"/>
        <w:spacing w:line="791" w:lineRule="exact"/>
        <w:ind w:left="157"/>
      </w:pPr>
      <w:r>
        <w:t>上述要求。拒绝延长投标有效期的投标人有权收回投标保证金；</w:t>
      </w:r>
    </w:p>
    <w:p>
      <w:pPr>
        <w:pStyle w:val="BodyText"/>
        <w:spacing w:before="106" w:line="271" w:lineRule="auto"/>
        <w:ind w:left="157" w:right="2691"/>
      </w:pPr>
      <w:r>
        <w:t>同意延长投标有效期的投标人应当相应延长其投标保证金的有</w:t>
      </w:r>
      <w:r>
        <w:rPr>
          <w:spacing w:val="-13"/>
        </w:rPr>
        <w:t>效期，但不得修改投标文件的实质性内容。无论投标过程中的方</w:t>
      </w:r>
      <w:r>
        <w:t>法和结果如何，投标人自行承担所有与参加投标有关的费用。八、无效投标与废标</w:t>
      </w:r>
    </w:p>
    <w:p>
      <w:pPr>
        <w:pStyle w:val="BodyText"/>
        <w:spacing w:line="271" w:lineRule="auto"/>
        <w:ind w:left="157" w:right="4343"/>
      </w:pPr>
      <w:r>
        <w:t>（一）投标人有下列情况之一，其投标视为无效投标： 1、投标人未按规定提交投标保证金；</w:t>
      </w:r>
    </w:p>
    <w:p>
      <w:pPr>
        <w:pStyle w:val="BodyText"/>
        <w:spacing w:line="828" w:lineRule="exact"/>
        <w:ind w:left="157"/>
      </w:pPr>
      <w:r>
        <w:t>2、投标人提供的投标文件不完整；</w:t>
      </w:r>
    </w:p>
    <w:p>
      <w:pPr>
        <w:pStyle w:val="BodyText"/>
        <w:spacing w:before="101"/>
        <w:ind w:left="157"/>
      </w:pPr>
      <w:r>
        <w:t>3、投标文件未按招标文件的规定签署；</w:t>
      </w:r>
    </w:p>
    <w:p>
      <w:pPr>
        <w:pStyle w:val="BodyText"/>
        <w:spacing w:before="107"/>
        <w:ind w:left="157"/>
      </w:pPr>
      <w:r>
        <w:t>4、未按规定报价；</w:t>
      </w:r>
    </w:p>
    <w:p>
      <w:pPr>
        <w:pStyle w:val="BodyText"/>
        <w:spacing w:before="106"/>
        <w:ind w:left="157"/>
      </w:pPr>
      <w:r>
        <w:t>5、投标人对招标文件的要求未做出实质性响应；</w:t>
      </w:r>
    </w:p>
    <w:p>
      <w:pPr>
        <w:pStyle w:val="BodyText"/>
        <w:spacing w:before="107"/>
        <w:ind w:left="157"/>
      </w:pPr>
      <w:r>
        <w:t>6、投标人不参加开标仪式及谈判事宜；</w:t>
      </w:r>
    </w:p>
    <w:p>
      <w:pPr>
        <w:pStyle w:val="BodyText"/>
        <w:spacing w:before="107"/>
        <w:ind w:left="157"/>
      </w:pPr>
      <w:r>
        <w:t>7、法律、法规规定的其他情况。</w:t>
      </w:r>
    </w:p>
    <w:p>
      <w:pPr>
        <w:pStyle w:val="BodyText"/>
        <w:spacing w:before="107" w:line="271" w:lineRule="auto"/>
        <w:ind w:left="157" w:right="2560"/>
        <w:jc w:val="both"/>
      </w:pPr>
      <w:r>
        <w:t>（二）</w:t>
      </w:r>
      <w:r>
        <w:rPr>
          <w:spacing w:val="-1"/>
        </w:rPr>
        <w:t>投标人有下列情况之一，其投标不但被视为废标，而且招</w:t>
      </w:r>
      <w:r>
        <w:rPr>
          <w:spacing w:val="-19"/>
        </w:rPr>
        <w:t>标人将严格依照《中华人民共和国招标投标法》</w:t>
      </w:r>
      <w:r>
        <w:rPr>
          <w:spacing w:val="-38"/>
        </w:rPr>
        <w:t>、《中华人民共和国政府采购法》及有关法律、法规及规章的规定行使其权利。投</w:t>
      </w:r>
      <w:r>
        <w:rPr>
          <w:spacing w:val="-9"/>
        </w:rPr>
        <w:t>标人给招标人造成损失的，招标人有索赔的权利；给招标人造成损失的，应予以赔偿。</w:t>
      </w:r>
    </w:p>
    <w:p>
      <w:pPr>
        <w:pStyle w:val="BodyText"/>
        <w:spacing w:line="824" w:lineRule="exact"/>
        <w:ind w:left="157"/>
      </w:pPr>
      <w:r>
        <w:t>1、投标人在投标有效期内撤回投标；</w:t>
      </w:r>
    </w:p>
    <w:p>
      <w:pPr>
        <w:pStyle w:val="BodyText"/>
        <w:spacing w:before="106"/>
        <w:ind w:left="157"/>
      </w:pPr>
      <w:r>
        <w:t>2、在整个评标过程中，投标人有企图影响招标结果的任何活动；</w:t>
      </w:r>
    </w:p>
    <w:p>
      <w:pPr>
        <w:pStyle w:val="BodyText"/>
        <w:spacing w:before="107"/>
        <w:ind w:left="157"/>
      </w:pPr>
      <w:r>
        <w:t>3、投标人串通投标；</w:t>
      </w:r>
    </w:p>
    <w:p>
      <w:pPr>
        <w:pStyle w:val="BodyText"/>
        <w:spacing w:before="106"/>
        <w:ind w:left="157"/>
      </w:pPr>
      <w:r>
        <w:t>4、投标人向招标人提供不正当利益；</w:t>
      </w:r>
    </w:p>
    <w:p>
      <w:pPr>
        <w:spacing w:after="0"/>
        <w:sectPr>
          <w:pgSz w:w="17860" w:h="25260"/>
          <w:pgMar w:top="1760" w:right="0" w:bottom="280" w:left="2540" w:header="708" w:footer="708"/>
          <w:pgNumType w:start="11"/>
          <w:cols w:space="708"/>
        </w:sectPr>
      </w:pPr>
    </w:p>
    <w:p>
      <w:pPr>
        <w:pStyle w:val="BodyText"/>
        <w:spacing w:line="791" w:lineRule="exact"/>
        <w:ind w:left="157"/>
      </w:pPr>
      <w:r>
        <w:t>5、中标人不按规定的要求签订合同；</w:t>
      </w:r>
    </w:p>
    <w:p>
      <w:pPr>
        <w:pStyle w:val="BodyText"/>
        <w:spacing w:before="106" w:line="271" w:lineRule="auto"/>
        <w:ind w:left="157" w:right="8597"/>
      </w:pPr>
      <w:r>
        <w:t>6、法律、法规规定的其他情况。九、解释权</w:t>
      </w:r>
    </w:p>
    <w:p>
      <w:pPr>
        <w:pStyle w:val="BodyText"/>
        <w:spacing w:line="271" w:lineRule="auto"/>
        <w:ind w:left="157" w:right="2745"/>
      </w:pPr>
      <w:r>
        <w:t>1、本次招标的最终解释权为招标人，当对一个问题有多种解释时以招标人的书面解释为准。</w:t>
      </w:r>
    </w:p>
    <w:p>
      <w:pPr>
        <w:pStyle w:val="BodyText"/>
        <w:spacing w:line="271" w:lineRule="auto"/>
        <w:ind w:left="157" w:right="2745"/>
      </w:pPr>
      <w:r>
        <w:t>2、招标文件未做须知明示，而又有相关法律、法规规定的，招标人对此所做解释以相关的法律、法规的规定为依据。</w:t>
      </w:r>
    </w:p>
    <w:p>
      <w:pPr>
        <w:spacing w:after="0" w:line="271" w:lineRule="auto"/>
        <w:sectPr>
          <w:pgSz w:w="17860" w:h="25260"/>
          <w:pgMar w:top="1760" w:right="0" w:bottom="280" w:left="2540" w:header="708" w:footer="708"/>
          <w:pgNumType w:start="12"/>
          <w:cols w:space="708"/>
        </w:sectPr>
      </w:pPr>
    </w:p>
    <w:p>
      <w:pPr>
        <w:pStyle w:val="BodyText"/>
        <w:spacing w:before="8"/>
        <w:rPr>
          <w:sz w:val="5"/>
        </w:rPr>
      </w:pPr>
    </w:p>
    <w:p>
      <w:pPr>
        <w:pStyle w:val="Heading2"/>
        <w:spacing w:line="954" w:lineRule="exact"/>
      </w:pPr>
      <w:r>
        <w:t>第三部分项目说明及要求</w:t>
      </w:r>
    </w:p>
    <w:p>
      <w:pPr>
        <w:pStyle w:val="Heading4"/>
        <w:spacing w:before="118"/>
      </w:pPr>
      <w:r>
        <w:t>工期要求：</w:t>
      </w:r>
    </w:p>
    <w:p>
      <w:pPr>
        <w:pStyle w:val="BodyText"/>
        <w:spacing w:before="107"/>
        <w:ind w:left="833"/>
      </w:pPr>
      <w:r>
        <w:t>年月日前完工</w:t>
      </w:r>
    </w:p>
    <w:p>
      <w:pPr>
        <w:pStyle w:val="Heading4"/>
        <w:spacing w:before="106"/>
      </w:pPr>
      <w:r>
        <w:t>项目要求：</w:t>
      </w:r>
    </w:p>
    <w:p>
      <w:pPr>
        <w:spacing w:before="107"/>
        <w:ind w:left="157" w:right="0" w:firstLine="0"/>
        <w:jc w:val="left"/>
        <w:rPr>
          <w:b/>
          <w:sz w:val="45"/>
        </w:rPr>
      </w:pPr>
      <w:r>
        <w:rPr>
          <w:b/>
          <w:spacing w:val="-1"/>
          <w:sz w:val="45"/>
        </w:rPr>
        <w:t>1</w:t>
      </w:r>
      <w:r>
        <w:rPr>
          <w:b/>
          <w:sz w:val="45"/>
        </w:rPr>
        <w:t>、雕塑设计要求</w:t>
      </w:r>
    </w:p>
    <w:p>
      <w:pPr>
        <w:pStyle w:val="Heading4"/>
      </w:pPr>
      <w:r>
        <w:rPr>
          <w:spacing w:val="-1"/>
        </w:rPr>
        <w:t>2</w:t>
      </w:r>
      <w:r>
        <w:t>、雕塑摆放位置</w:t>
      </w:r>
    </w:p>
    <w:p>
      <w:pPr>
        <w:spacing w:before="107"/>
        <w:ind w:left="157" w:right="0" w:firstLine="0"/>
        <w:jc w:val="left"/>
        <w:rPr>
          <w:b/>
          <w:sz w:val="45"/>
        </w:rPr>
      </w:pPr>
      <w:r>
        <w:rPr>
          <w:b/>
          <w:sz w:val="45"/>
        </w:rPr>
        <w:t>3、雕塑的泥塑及石雕加工安装施工要求</w:t>
      </w:r>
    </w:p>
    <w:p>
      <w:pPr>
        <w:pStyle w:val="ListParagraph"/>
        <w:numPr>
          <w:ilvl w:val="1"/>
          <w:numId w:val="17"/>
        </w:numPr>
        <w:tabs>
          <w:tab w:val="left" w:pos="1399"/>
        </w:tabs>
        <w:spacing w:before="166" w:after="0" w:line="240" w:lineRule="auto"/>
        <w:ind w:left="1399" w:right="0" w:hanging="703"/>
        <w:jc w:val="left"/>
        <w:rPr>
          <w:sz w:val="42"/>
        </w:rPr>
      </w:pPr>
      <w:r>
        <w:rPr>
          <w:sz w:val="42"/>
        </w:rPr>
        <w:t>雕塑规格大小</w:t>
      </w:r>
    </w:p>
    <w:p>
      <w:pPr>
        <w:pStyle w:val="ListParagraph"/>
        <w:numPr>
          <w:ilvl w:val="1"/>
          <w:numId w:val="17"/>
        </w:numPr>
        <w:tabs>
          <w:tab w:val="left" w:pos="1399"/>
        </w:tabs>
        <w:spacing w:before="162" w:after="0" w:line="290" w:lineRule="auto"/>
        <w:ind w:left="696" w:right="2684" w:firstLine="0"/>
        <w:jc w:val="left"/>
        <w:rPr>
          <w:sz w:val="42"/>
        </w:rPr>
      </w:pPr>
      <w:r>
        <w:rPr>
          <w:spacing w:val="-8"/>
          <w:sz w:val="42"/>
        </w:rPr>
        <w:t>要求一次性整体制作原大尺寸的泥塑造型备审，审查通过后方</w:t>
      </w:r>
      <w:r>
        <w:rPr>
          <w:sz w:val="42"/>
        </w:rPr>
        <w:t>能依之加工石雕。</w:t>
      </w:r>
    </w:p>
    <w:p>
      <w:pPr>
        <w:pStyle w:val="ListParagraph"/>
        <w:numPr>
          <w:ilvl w:val="1"/>
          <w:numId w:val="17"/>
        </w:numPr>
        <w:tabs>
          <w:tab w:val="left" w:pos="1399"/>
        </w:tabs>
        <w:spacing w:before="0" w:after="0" w:line="773" w:lineRule="exact"/>
        <w:ind w:left="1399" w:right="0" w:hanging="703"/>
        <w:jc w:val="left"/>
        <w:rPr>
          <w:sz w:val="42"/>
        </w:rPr>
      </w:pPr>
      <w:r>
        <w:rPr>
          <w:sz w:val="42"/>
        </w:rPr>
        <w:t>雕塑艺术处理要求</w:t>
      </w:r>
    </w:p>
    <w:p>
      <w:pPr>
        <w:spacing w:before="162" w:line="290" w:lineRule="auto"/>
        <w:ind w:left="696" w:right="2667" w:firstLine="838"/>
        <w:jc w:val="both"/>
        <w:rPr>
          <w:sz w:val="42"/>
        </w:rPr>
      </w:pPr>
      <w:r>
        <w:rPr>
          <w:spacing w:val="-3"/>
          <w:w w:val="100"/>
          <w:sz w:val="42"/>
        </w:rPr>
        <w:t>泥塑稿件设计时可参照附件</w:t>
      </w:r>
      <w:r>
        <w:rPr>
          <w:b/>
          <w:w w:val="100"/>
          <w:sz w:val="42"/>
        </w:rPr>
        <w:t>（设计概念图</w:t>
      </w:r>
      <w:r>
        <w:rPr>
          <w:b/>
          <w:spacing w:val="-216"/>
          <w:w w:val="100"/>
          <w:sz w:val="42"/>
        </w:rPr>
        <w:t>）</w:t>
      </w:r>
      <w:r>
        <w:rPr>
          <w:b/>
          <w:spacing w:val="-18"/>
          <w:w w:val="100"/>
          <w:sz w:val="42"/>
        </w:rPr>
        <w:t>，</w:t>
      </w:r>
      <w:r>
        <w:rPr>
          <w:w w:val="100"/>
          <w:sz w:val="42"/>
        </w:rPr>
        <w:t>部分人物（</w:t>
      </w:r>
      <w:r>
        <w:rPr>
          <w:spacing w:val="-8"/>
          <w:w w:val="100"/>
          <w:sz w:val="42"/>
        </w:rPr>
        <w:t>必要</w:t>
      </w:r>
      <w:r>
        <w:rPr>
          <w:sz w:val="42"/>
        </w:rPr>
        <w:t>时可增加人物）动作及空间做出微调。使之既符合人物身份、战场气氛，又符合雕塑造型的构图及空间要求。</w:t>
      </w:r>
    </w:p>
    <w:p>
      <w:pPr>
        <w:pStyle w:val="ListParagraph"/>
        <w:numPr>
          <w:ilvl w:val="1"/>
          <w:numId w:val="17"/>
        </w:numPr>
        <w:tabs>
          <w:tab w:val="left" w:pos="1399"/>
        </w:tabs>
        <w:spacing w:before="0" w:after="0" w:line="772" w:lineRule="exact"/>
        <w:ind w:left="1399" w:right="0" w:hanging="703"/>
        <w:jc w:val="both"/>
        <w:rPr>
          <w:sz w:val="42"/>
        </w:rPr>
      </w:pPr>
      <w:r>
        <w:rPr>
          <w:sz w:val="42"/>
        </w:rPr>
        <w:t>雕塑整体采用偏暖色花岗岩。</w:t>
      </w:r>
    </w:p>
    <w:p>
      <w:pPr>
        <w:pStyle w:val="ListParagraph"/>
        <w:numPr>
          <w:ilvl w:val="1"/>
          <w:numId w:val="17"/>
        </w:numPr>
        <w:tabs>
          <w:tab w:val="left" w:pos="1407"/>
        </w:tabs>
        <w:spacing w:before="162" w:after="0" w:line="290" w:lineRule="auto"/>
        <w:ind w:left="696" w:right="2671" w:firstLine="0"/>
        <w:jc w:val="both"/>
        <w:rPr>
          <w:sz w:val="42"/>
        </w:rPr>
      </w:pPr>
      <w:r>
        <w:rPr>
          <w:spacing w:val="-1"/>
          <w:sz w:val="42"/>
        </w:rPr>
        <w:t xml:space="preserve">石雕外表要求用不少于 </w:t>
      </w:r>
      <w:r>
        <w:rPr>
          <w:sz w:val="42"/>
        </w:rPr>
        <w:t>50</w:t>
      </w:r>
      <w:r>
        <w:rPr>
          <w:spacing w:val="-1"/>
          <w:sz w:val="42"/>
        </w:rPr>
        <w:t xml:space="preserve"> 厘米厚的花岗岩雕刻，中间部分做</w:t>
      </w:r>
      <w:r>
        <w:rPr>
          <w:sz w:val="42"/>
        </w:rPr>
        <w:t>中空混凝土支架处理。石材块与块之间色泽要一致。石雕加工要使用点线仪。石雕安装要横线水平，石块间衔接合理，根据需要可金属铆接或胶粘。形体要忠实泥塑造型不走样。</w:t>
      </w:r>
    </w:p>
    <w:p>
      <w:pPr>
        <w:spacing w:before="0" w:line="290" w:lineRule="auto"/>
        <w:ind w:left="696" w:right="2618" w:firstLine="838"/>
        <w:jc w:val="left"/>
        <w:rPr>
          <w:sz w:val="42"/>
        </w:rPr>
      </w:pPr>
      <w:r>
        <w:rPr>
          <w:sz w:val="42"/>
        </w:rPr>
        <w:t>内部混凝土厚度以石雕的体量为参造。施工标准应符合国家标准</w:t>
      </w:r>
      <w:r>
        <w:rPr>
          <w:b/>
          <w:sz w:val="42"/>
        </w:rPr>
        <w:t>《混凝土结构设计规范》GB50010，</w:t>
      </w:r>
      <w:r>
        <w:rPr>
          <w:sz w:val="42"/>
        </w:rPr>
        <w:t>混凝土结构的耐久性应</w:t>
      </w:r>
    </w:p>
    <w:p>
      <w:pPr>
        <w:spacing w:after="0" w:line="290" w:lineRule="auto"/>
        <w:jc w:val="left"/>
        <w:rPr>
          <w:sz w:val="42"/>
        </w:rPr>
        <w:sectPr>
          <w:pgSz w:w="17860" w:h="25260"/>
          <w:pgMar w:top="2420" w:right="0" w:bottom="280" w:left="2540" w:header="708" w:footer="708"/>
          <w:pgNumType w:start="13"/>
          <w:cols w:space="708"/>
        </w:sectPr>
      </w:pPr>
    </w:p>
    <w:p>
      <w:pPr>
        <w:spacing w:before="0" w:line="754" w:lineRule="exact"/>
        <w:ind w:left="696" w:right="0" w:firstLine="0"/>
        <w:jc w:val="both"/>
        <w:rPr>
          <w:sz w:val="42"/>
        </w:rPr>
      </w:pPr>
      <w:r>
        <w:rPr>
          <w:sz w:val="42"/>
        </w:rPr>
        <w:t>根据环境类别和设计使用年限进行设计，设计使用年限为 100 年</w:t>
      </w:r>
    </w:p>
    <w:p>
      <w:pPr>
        <w:spacing w:before="162" w:line="290" w:lineRule="auto"/>
        <w:ind w:left="696" w:right="2828" w:firstLine="0"/>
        <w:jc w:val="both"/>
        <w:rPr>
          <w:sz w:val="42"/>
        </w:rPr>
      </w:pPr>
      <w:r>
        <w:rPr>
          <w:sz w:val="42"/>
        </w:rPr>
        <w:t>的混凝土结构，混凝土抗冻等级及有抗渗要求的混凝土的抗渗等级应符合有关标准的要求；结构构件正截面的裂缝控制等级为一级，严格要求不出现裂缝的构件按荷载效应标准组合计算时，构件受拉边缘混凝土不应产生拉应力。</w:t>
      </w:r>
    </w:p>
    <w:p>
      <w:pPr>
        <w:pStyle w:val="ListParagraph"/>
        <w:numPr>
          <w:ilvl w:val="1"/>
          <w:numId w:val="9"/>
        </w:numPr>
        <w:tabs>
          <w:tab w:val="left" w:pos="1399"/>
        </w:tabs>
        <w:spacing w:before="0" w:after="0" w:line="290" w:lineRule="auto"/>
        <w:ind w:left="696" w:right="2667" w:firstLine="0"/>
        <w:jc w:val="both"/>
        <w:rPr>
          <w:sz w:val="42"/>
        </w:rPr>
      </w:pPr>
      <w:r>
        <w:rPr>
          <w:spacing w:val="-12"/>
          <w:sz w:val="42"/>
        </w:rPr>
        <w:t>底座基底应作承重处理。基底承承载能力极限状态根据雕塑正</w:t>
      </w:r>
      <w:r>
        <w:rPr>
          <w:sz w:val="42"/>
        </w:rPr>
        <w:t>截面承载能力极限状态计算，承载能力极限状态的荷载效应组合</w:t>
      </w:r>
      <w:r>
        <w:rPr>
          <w:spacing w:val="-9"/>
          <w:sz w:val="42"/>
        </w:rPr>
        <w:t>的设计值按现行国家标准</w:t>
      </w:r>
      <w:r>
        <w:rPr>
          <w:b/>
          <w:spacing w:val="-10"/>
          <w:sz w:val="42"/>
        </w:rPr>
        <w:t>《建筑结构荷载规范》</w:t>
      </w:r>
      <w:r>
        <w:rPr>
          <w:b/>
          <w:sz w:val="42"/>
        </w:rPr>
        <w:t>GB50009</w:t>
      </w:r>
      <w:r>
        <w:rPr>
          <w:b/>
          <w:spacing w:val="-7"/>
          <w:sz w:val="42"/>
        </w:rPr>
        <w:t xml:space="preserve"> </w:t>
      </w:r>
      <w:r>
        <w:rPr>
          <w:sz w:val="42"/>
        </w:rPr>
        <w:t>和现行</w:t>
      </w:r>
      <w:r>
        <w:rPr>
          <w:spacing w:val="-14"/>
          <w:sz w:val="42"/>
        </w:rPr>
        <w:t>国家标准</w:t>
      </w:r>
      <w:r>
        <w:rPr>
          <w:b/>
          <w:spacing w:val="-7"/>
          <w:sz w:val="42"/>
        </w:rPr>
        <w:t>《建筑抗震设计规范》</w:t>
      </w:r>
      <w:r>
        <w:rPr>
          <w:b/>
          <w:sz w:val="42"/>
        </w:rPr>
        <w:t>GB50011</w:t>
      </w:r>
      <w:r>
        <w:rPr>
          <w:b/>
          <w:spacing w:val="-6"/>
          <w:sz w:val="42"/>
        </w:rPr>
        <w:t xml:space="preserve"> </w:t>
      </w:r>
      <w:r>
        <w:rPr>
          <w:spacing w:val="-8"/>
          <w:sz w:val="42"/>
        </w:rPr>
        <w:t>的规定进行计算。上述技术规格及要求中所发生的一切费用均包含在报价价格中。</w:t>
      </w:r>
    </w:p>
    <w:p>
      <w:pPr>
        <w:pStyle w:val="Heading4"/>
        <w:spacing w:before="0" w:line="767" w:lineRule="exact"/>
      </w:pPr>
      <w:r>
        <w:t>4、项目价格</w:t>
      </w:r>
    </w:p>
    <w:p>
      <w:pPr>
        <w:spacing w:before="162" w:line="290" w:lineRule="auto"/>
        <w:ind w:left="696" w:right="2714" w:firstLine="0"/>
        <w:jc w:val="both"/>
        <w:rPr>
          <w:sz w:val="42"/>
        </w:rPr>
      </w:pPr>
      <w:r>
        <w:rPr>
          <w:sz w:val="42"/>
        </w:rPr>
        <w:t>包括原大泥塑造型制作费，玻璃钢翻制模型费，石材费，工艺加工费，运输费,安装费，税金，利润等费用。采用工程量清单招标的，应当提供工程量清单；报价方应根据招标文件的技术要求条款，在报价文件中详细说明所提供货物的技术规格和参数。</w:t>
      </w:r>
    </w:p>
    <w:p>
      <w:pPr>
        <w:pStyle w:val="Heading4"/>
        <w:spacing w:before="0" w:line="768" w:lineRule="exact"/>
        <w:rPr>
          <w:b w:val="0"/>
        </w:rPr>
      </w:pPr>
      <w:r>
        <w:t>5、工程主体质量要确保优良</w:t>
      </w:r>
      <w:r>
        <w:rPr>
          <w:b w:val="0"/>
        </w:rPr>
        <w:t>。</w:t>
      </w:r>
    </w:p>
    <w:p>
      <w:pPr>
        <w:spacing w:before="107" w:line="794" w:lineRule="exact"/>
        <w:ind w:left="157" w:right="0" w:firstLine="0"/>
        <w:jc w:val="left"/>
        <w:rPr>
          <w:b/>
          <w:sz w:val="45"/>
        </w:rPr>
      </w:pPr>
      <w:r>
        <w:rPr>
          <w:b/>
          <w:sz w:val="45"/>
        </w:rPr>
        <w:t>6、超过限价为废标。</w:t>
      </w:r>
    </w:p>
    <w:p>
      <w:pPr>
        <w:pStyle w:val="Heading2"/>
        <w:spacing w:line="960" w:lineRule="exact"/>
      </w:pPr>
      <w:r>
        <w:t>第四部分开标、评标、定标</w:t>
      </w:r>
    </w:p>
    <w:p>
      <w:pPr>
        <w:pStyle w:val="BodyText"/>
        <w:spacing w:before="118"/>
        <w:ind w:left="157"/>
      </w:pPr>
      <w:r>
        <w:t>一、开标</w:t>
      </w:r>
    </w:p>
    <w:p>
      <w:pPr>
        <w:pStyle w:val="BodyText"/>
        <w:spacing w:before="107"/>
        <w:ind w:left="157"/>
      </w:pPr>
      <w:r>
        <w:t>1、开标地点：金乡县建设工程交易中心。</w:t>
      </w:r>
    </w:p>
    <w:p>
      <w:pPr>
        <w:pStyle w:val="BodyText"/>
        <w:spacing w:before="107"/>
        <w:ind w:left="157"/>
      </w:pPr>
      <w:r>
        <w:t>2、开标时间：2010</w:t>
      </w:r>
      <w:r>
        <w:rPr>
          <w:spacing w:val="-8"/>
        </w:rPr>
        <w:t xml:space="preserve"> 年月日上午 </w:t>
      </w:r>
      <w:r>
        <w:t>9:00（北京时间</w:t>
      </w:r>
      <w:r>
        <w:rPr>
          <w:spacing w:val="-227"/>
        </w:rPr>
        <w:t>）</w:t>
      </w:r>
      <w:r>
        <w:t>。</w:t>
      </w:r>
    </w:p>
    <w:p>
      <w:pPr>
        <w:pStyle w:val="BodyText"/>
        <w:spacing w:before="106"/>
        <w:ind w:left="157"/>
      </w:pPr>
      <w:r>
        <w:t>3、开标由采购代理机构主持，邀请所有投标人参加。</w:t>
      </w:r>
    </w:p>
    <w:p>
      <w:pPr>
        <w:spacing w:after="0"/>
        <w:sectPr>
          <w:pgSz w:w="17860" w:h="25260"/>
          <w:pgMar w:top="1800" w:right="0" w:bottom="280" w:left="2540" w:header="708" w:footer="708"/>
          <w:pgNumType w:start="14"/>
          <w:cols w:space="708"/>
        </w:sectPr>
      </w:pPr>
    </w:p>
    <w:p>
      <w:pPr>
        <w:pStyle w:val="BodyText"/>
        <w:spacing w:line="791" w:lineRule="exact"/>
        <w:ind w:left="157"/>
      </w:pPr>
      <w:r>
        <w:t>4、资格审查与检查投标文件密封情况。</w:t>
      </w:r>
    </w:p>
    <w:p>
      <w:pPr>
        <w:pStyle w:val="BodyText"/>
        <w:spacing w:before="106" w:line="271" w:lineRule="auto"/>
        <w:ind w:left="157" w:right="2745"/>
      </w:pPr>
      <w:r>
        <w:t>5、唱标：经投标人确认后，由工作人员当众拆封，唱标员统一宣读“唱标一览表”等内容。</w:t>
      </w:r>
    </w:p>
    <w:p>
      <w:pPr>
        <w:pStyle w:val="BodyText"/>
        <w:spacing w:line="271" w:lineRule="auto"/>
        <w:ind w:left="157" w:right="7247"/>
      </w:pPr>
      <w:r>
        <w:t>6、记录：记录员将唱标内容分项记录。二、评标委员会</w:t>
      </w:r>
    </w:p>
    <w:p>
      <w:pPr>
        <w:pStyle w:val="BodyText"/>
        <w:spacing w:line="271" w:lineRule="auto"/>
        <w:ind w:left="157" w:right="2694"/>
        <w:jc w:val="both"/>
      </w:pPr>
      <w:r>
        <w:rPr>
          <w:spacing w:val="-8"/>
        </w:rPr>
        <w:t>招标人将根据本项目的特点组建评标委员会，其成员由有关方面的专家以及招标人代表等五人以上单数组成，评标委员会负责对</w:t>
      </w:r>
      <w:r>
        <w:t>投标文件进行审查、质疑、评审，确定中标人。</w:t>
      </w:r>
    </w:p>
    <w:p>
      <w:pPr>
        <w:pStyle w:val="BodyText"/>
        <w:spacing w:line="827" w:lineRule="exact"/>
        <w:ind w:left="157"/>
      </w:pPr>
      <w:r>
        <w:t>三、评标委员会审查投标文件的响应性</w:t>
      </w:r>
    </w:p>
    <w:p>
      <w:pPr>
        <w:pStyle w:val="BodyText"/>
        <w:spacing w:before="101" w:line="271" w:lineRule="auto"/>
        <w:ind w:left="157" w:right="2691"/>
        <w:jc w:val="both"/>
      </w:pPr>
      <w:r>
        <w:t>1、开标后，评标委员会将组织审查投标文件是否完整；是否按</w:t>
      </w:r>
      <w:r>
        <w:rPr>
          <w:spacing w:val="-13"/>
        </w:rPr>
        <w:t>规定报价；报价是否有计算错误；招标文件要求提交的投标保证</w:t>
      </w:r>
      <w:r>
        <w:t>金是否已提交；投标文件是否已按招标文件的要求签署。</w:t>
      </w:r>
    </w:p>
    <w:p>
      <w:pPr>
        <w:pStyle w:val="BodyText"/>
        <w:spacing w:line="271" w:lineRule="auto"/>
        <w:ind w:left="157" w:right="2696"/>
        <w:jc w:val="both"/>
      </w:pPr>
      <w:r>
        <w:t>2、评标委员会将依据投标人提供的雕塑小样及投标文件审查投</w:t>
      </w:r>
      <w:r>
        <w:rPr>
          <w:spacing w:val="-7"/>
        </w:rPr>
        <w:t>标人的雕塑设计及加工能力和财务、技术、资质、经验、。如果</w:t>
      </w:r>
      <w:r>
        <w:t>确定投标人无资格或无能力履行合同，其投标将被拒绝。</w:t>
      </w:r>
    </w:p>
    <w:p>
      <w:pPr>
        <w:pStyle w:val="BodyText"/>
        <w:spacing w:line="271" w:lineRule="auto"/>
        <w:ind w:left="157" w:right="2689"/>
      </w:pPr>
      <w:r>
        <w:t>3、评标委员会将确定每一投标人是否对招标文件的要求做出了</w:t>
      </w:r>
      <w:r>
        <w:rPr>
          <w:spacing w:val="-11"/>
        </w:rPr>
        <w:t>实质性的响应而没有重大偏离。实质性响应的投标是指投标符合招标文件的所有条款、条件和规定且没有重大偏离或保留。评标</w:t>
      </w:r>
      <w:r>
        <w:t>委员会判断投标文件的响应性仅基于投标文件本身而不靠外部证据。</w:t>
      </w:r>
    </w:p>
    <w:p>
      <w:pPr>
        <w:pStyle w:val="BodyText"/>
        <w:spacing w:line="271" w:lineRule="auto"/>
        <w:ind w:left="157" w:right="2745"/>
      </w:pPr>
      <w:r>
        <w:t>4、评标委员会将拒绝被确定为非实质性响应的投标文件，投标人不能通过修正或撤消投标文件中的不符之处而使其投标成为</w:t>
      </w:r>
    </w:p>
    <w:p>
      <w:pPr>
        <w:spacing w:after="0" w:line="271" w:lineRule="auto"/>
        <w:sectPr>
          <w:pgSz w:w="17860" w:h="25260"/>
          <w:pgMar w:top="1760" w:right="0" w:bottom="280" w:left="2540" w:header="708" w:footer="708"/>
          <w:pgNumType w:start="15"/>
          <w:cols w:space="708"/>
        </w:sectPr>
      </w:pPr>
    </w:p>
    <w:p>
      <w:pPr>
        <w:pStyle w:val="BodyText"/>
        <w:spacing w:line="791" w:lineRule="exact"/>
        <w:ind w:left="157"/>
      </w:pPr>
      <w:r>
        <w:t>实质性响应的投标。</w:t>
      </w:r>
    </w:p>
    <w:p>
      <w:pPr>
        <w:pStyle w:val="BodyText"/>
        <w:spacing w:before="106" w:line="271" w:lineRule="auto"/>
        <w:ind w:left="157" w:right="2560"/>
        <w:jc w:val="both"/>
      </w:pPr>
      <w:r>
        <w:t>5、评标委员会允许投标人修改投标文件中不构成重大偏离的、</w:t>
      </w:r>
      <w:r>
        <w:rPr>
          <w:spacing w:val="-1"/>
        </w:rPr>
        <w:t>微小的、非正规、不一致或不规则的地方。但是修改和补充的内</w:t>
      </w:r>
      <w:r>
        <w:rPr>
          <w:spacing w:val="-9"/>
        </w:rPr>
        <w:t>容不能改变投标文件的实质性内容，投标人修改和补充的内容以书面承诺材料为准。</w:t>
      </w:r>
    </w:p>
    <w:p>
      <w:pPr>
        <w:pStyle w:val="BodyText"/>
        <w:spacing w:line="824" w:lineRule="exact"/>
        <w:ind w:left="157"/>
      </w:pPr>
      <w:r>
        <w:t>6、投标文件对招标文件构成偏离的，应单独注明。</w:t>
      </w:r>
    </w:p>
    <w:p>
      <w:pPr>
        <w:pStyle w:val="BodyText"/>
        <w:spacing w:before="108" w:line="271" w:lineRule="auto"/>
        <w:ind w:left="157" w:right="2560"/>
        <w:jc w:val="both"/>
      </w:pPr>
      <w:r>
        <w:t>四、评标委员会进行评审及投标人对投标文件的澄清（如需要） 1、开标后，评标委员会将对投标文件进行审查、质疑、评估和比较，并对投标文件中存在的问题分别向投标人进行询问。</w:t>
      </w:r>
    </w:p>
    <w:p>
      <w:pPr>
        <w:pStyle w:val="BodyText"/>
        <w:spacing w:line="826" w:lineRule="exact"/>
        <w:ind w:left="157"/>
      </w:pPr>
      <w:r>
        <w:t>2、投标人的法定代表人或其授权人必须接受评标委员会的咨询。</w:t>
      </w:r>
    </w:p>
    <w:p>
      <w:pPr>
        <w:pStyle w:val="ListParagraph"/>
        <w:numPr>
          <w:ilvl w:val="0"/>
          <w:numId w:val="8"/>
        </w:numPr>
        <w:tabs>
          <w:tab w:val="left" w:pos="1328"/>
        </w:tabs>
        <w:spacing w:before="106" w:after="0" w:line="271" w:lineRule="auto"/>
        <w:ind w:left="157" w:right="2740" w:firstLine="0"/>
        <w:jc w:val="left"/>
        <w:rPr>
          <w:sz w:val="45"/>
        </w:rPr>
      </w:pPr>
      <w:r>
        <w:rPr>
          <w:spacing w:val="-1"/>
          <w:sz w:val="45"/>
        </w:rPr>
        <w:t>按投标人递交投标文件签到的逆顺序，进行答辩和接受咨</w:t>
      </w:r>
      <w:r>
        <w:rPr>
          <w:sz w:val="45"/>
        </w:rPr>
        <w:t>询；</w:t>
      </w:r>
    </w:p>
    <w:p>
      <w:pPr>
        <w:pStyle w:val="ListParagraph"/>
        <w:numPr>
          <w:ilvl w:val="0"/>
          <w:numId w:val="8"/>
        </w:numPr>
        <w:tabs>
          <w:tab w:val="left" w:pos="1328"/>
        </w:tabs>
        <w:spacing w:before="0" w:after="0" w:line="271" w:lineRule="auto"/>
        <w:ind w:left="157" w:right="2691" w:firstLine="0"/>
        <w:jc w:val="both"/>
        <w:rPr>
          <w:sz w:val="45"/>
        </w:rPr>
      </w:pPr>
      <w:r>
        <w:rPr>
          <w:sz w:val="45"/>
        </w:rPr>
        <w:t>在各投标人全部答辩一遍后，评标委员会根据招标人制定的评定因素（如资质、价格、质量、信誉、服务等</w:t>
      </w:r>
      <w:r>
        <w:rPr>
          <w:spacing w:val="-72"/>
          <w:sz w:val="45"/>
        </w:rPr>
        <w:t>）</w:t>
      </w:r>
      <w:r>
        <w:rPr>
          <w:spacing w:val="-16"/>
          <w:sz w:val="45"/>
        </w:rPr>
        <w:t>，对各投标</w:t>
      </w:r>
      <w:r>
        <w:rPr>
          <w:spacing w:val="-19"/>
          <w:sz w:val="45"/>
        </w:rPr>
        <w:t>企业进行综合评定，对于需要进一步明确的问题，有权要求全部</w:t>
      </w:r>
      <w:r>
        <w:rPr>
          <w:sz w:val="45"/>
        </w:rPr>
        <w:t>或某些投标企业重新进行答辩；</w:t>
      </w:r>
    </w:p>
    <w:p>
      <w:pPr>
        <w:pStyle w:val="ListParagraph"/>
        <w:numPr>
          <w:ilvl w:val="0"/>
          <w:numId w:val="8"/>
        </w:numPr>
        <w:tabs>
          <w:tab w:val="left" w:pos="1328"/>
        </w:tabs>
        <w:spacing w:before="0" w:after="0" w:line="271" w:lineRule="auto"/>
        <w:ind w:left="157" w:right="2740" w:firstLine="0"/>
        <w:jc w:val="left"/>
        <w:rPr>
          <w:sz w:val="45"/>
        </w:rPr>
      </w:pPr>
      <w:r>
        <w:rPr>
          <w:spacing w:val="-1"/>
          <w:sz w:val="45"/>
        </w:rPr>
        <w:t>评标委员会完成评标后，向招标人提供书面评标报告，并</w:t>
      </w:r>
      <w:r>
        <w:rPr>
          <w:sz w:val="45"/>
        </w:rPr>
        <w:t>推荐出中标候选人；</w:t>
      </w:r>
    </w:p>
    <w:p>
      <w:pPr>
        <w:pStyle w:val="ListParagraph"/>
        <w:numPr>
          <w:ilvl w:val="0"/>
          <w:numId w:val="8"/>
        </w:numPr>
        <w:tabs>
          <w:tab w:val="left" w:pos="1328"/>
        </w:tabs>
        <w:spacing w:before="0" w:after="0" w:line="271" w:lineRule="auto"/>
        <w:ind w:left="157" w:right="2693" w:firstLine="0"/>
        <w:jc w:val="left"/>
        <w:rPr>
          <w:sz w:val="45"/>
        </w:rPr>
      </w:pPr>
      <w:r>
        <w:rPr>
          <w:sz w:val="45"/>
        </w:rPr>
        <w:t>中标人确定后，向中标人发出中标通知书，同时将中标结果通知所有未中标的投标人；对未中标的原因不作任何解释。 3、为了有助于对投标文件进行审查、评估和比较，评标委员会</w:t>
      </w:r>
      <w:r>
        <w:rPr>
          <w:spacing w:val="-13"/>
          <w:sz w:val="45"/>
        </w:rPr>
        <w:t>有权向投标人质疑，请投标人澄清其投标文件中含义不明确的内</w:t>
      </w:r>
    </w:p>
    <w:p>
      <w:pPr>
        <w:spacing w:after="0" w:line="271" w:lineRule="auto"/>
        <w:jc w:val="left"/>
        <w:rPr>
          <w:sz w:val="45"/>
        </w:rPr>
        <w:sectPr>
          <w:pgSz w:w="17860" w:h="25260"/>
          <w:pgMar w:top="1760" w:right="0" w:bottom="280" w:left="2540" w:header="708" w:footer="708"/>
          <w:pgNumType w:start="16"/>
          <w:cols w:space="708"/>
        </w:sectPr>
      </w:pPr>
    </w:p>
    <w:p>
      <w:pPr>
        <w:pStyle w:val="BodyText"/>
        <w:spacing w:line="791" w:lineRule="exact"/>
        <w:ind w:left="157"/>
      </w:pPr>
      <w:r>
        <w:t>容，投标人有义务进行答疑和澄清，但澄清或说明的内容不得超</w:t>
      </w:r>
    </w:p>
    <w:p>
      <w:pPr>
        <w:pStyle w:val="BodyText"/>
        <w:spacing w:before="106" w:line="271" w:lineRule="auto"/>
        <w:ind w:left="157" w:right="5260"/>
      </w:pPr>
      <w:r>
        <w:t>出投标文件的范围或改变投标文件的实质性内容。4、投标人对澄清的答复以书面材料为准。</w:t>
      </w:r>
    </w:p>
    <w:p>
      <w:pPr>
        <w:pStyle w:val="BodyText"/>
        <w:spacing w:line="271" w:lineRule="auto"/>
        <w:ind w:left="157" w:right="6347"/>
      </w:pPr>
      <w:r>
        <w:t>5、澄清的内容将构成投标文件的组成部分。五、评标原则</w:t>
      </w:r>
    </w:p>
    <w:p>
      <w:pPr>
        <w:pStyle w:val="BodyText"/>
        <w:spacing w:line="271" w:lineRule="auto"/>
        <w:ind w:left="157" w:right="2560"/>
        <w:jc w:val="both"/>
      </w:pPr>
      <w:r>
        <w:t>“公平、公正、科学、择优、效益”为本次评标的基本原则，评标委员会将按照这一原则的要求，公正、公平地对待各投标人。同时，在评标时恪守以下原则：</w:t>
      </w:r>
    </w:p>
    <w:p>
      <w:pPr>
        <w:pStyle w:val="BodyText"/>
        <w:spacing w:line="271" w:lineRule="auto"/>
        <w:ind w:left="157" w:right="2693"/>
        <w:jc w:val="both"/>
      </w:pPr>
      <w:r>
        <w:t>1、客观性原则：评标委员会将严格按照招标文件的要求，对投</w:t>
      </w:r>
      <w:r>
        <w:rPr>
          <w:spacing w:val="-11"/>
        </w:rPr>
        <w:t>标人的投标文件进行认真评审；评标委员会对投标文件的评审仅</w:t>
      </w:r>
      <w:r>
        <w:t>依靠投标文件本身，而不依靠投标文件以外的任何因素。</w:t>
      </w:r>
    </w:p>
    <w:p>
      <w:pPr>
        <w:pStyle w:val="BodyText"/>
        <w:spacing w:line="271" w:lineRule="auto"/>
        <w:ind w:left="157" w:right="2466"/>
      </w:pPr>
      <w:r>
        <w:t>2</w:t>
      </w:r>
      <w:r>
        <w:rPr>
          <w:spacing w:val="-15"/>
        </w:rPr>
        <w:t xml:space="preserve">、统一性原则：评标委员会将按照统一的评标原则和评标方法， </w:t>
      </w:r>
      <w:r>
        <w:t>用同一标准进行评标。</w:t>
      </w:r>
    </w:p>
    <w:p>
      <w:pPr>
        <w:pStyle w:val="BodyText"/>
        <w:spacing w:line="271" w:lineRule="auto"/>
        <w:ind w:left="157" w:right="2745"/>
      </w:pPr>
      <w:r>
        <w:t>3、独立性原则：评标工作在评标委员会内部独立进行，不受外界任何因素的干扰和影响。</w:t>
      </w:r>
    </w:p>
    <w:p>
      <w:pPr>
        <w:pStyle w:val="BodyText"/>
        <w:spacing w:line="271" w:lineRule="auto"/>
        <w:ind w:left="157" w:right="2745"/>
      </w:pPr>
      <w:r>
        <w:t>4、保密性原则：评委及熟知情况的有关工作人员将保守投标人的商业秘密。</w:t>
      </w:r>
    </w:p>
    <w:p>
      <w:pPr>
        <w:pStyle w:val="BodyText"/>
        <w:spacing w:line="271" w:lineRule="auto"/>
        <w:ind w:left="157" w:right="2745"/>
      </w:pPr>
      <w:r>
        <w:t>5、综合性原则：评标委员会将综合分析、评审投标人的各项指标，而不以单项指标的优劣评定出中标候选人。</w:t>
      </w:r>
    </w:p>
    <w:p>
      <w:pPr>
        <w:pStyle w:val="BodyText"/>
        <w:spacing w:line="827" w:lineRule="exact"/>
        <w:ind w:left="157"/>
      </w:pPr>
      <w:r>
        <w:t>六、评标方法</w:t>
      </w:r>
    </w:p>
    <w:p>
      <w:pPr>
        <w:pStyle w:val="BodyText"/>
        <w:spacing w:before="88" w:line="271" w:lineRule="auto"/>
        <w:ind w:left="157" w:right="2689"/>
      </w:pPr>
      <w:r>
        <w:rPr>
          <w:spacing w:val="-13"/>
        </w:rPr>
        <w:t>本次评标采用综合评估法，评标委员会成员综合评定各投标人提</w:t>
      </w:r>
      <w:r>
        <w:rPr>
          <w:spacing w:val="-10"/>
        </w:rPr>
        <w:t>交的投标雕塑小稿及文件，由评标委员会综合各评委意见，以最</w:t>
      </w:r>
    </w:p>
    <w:p>
      <w:pPr>
        <w:spacing w:after="0" w:line="271"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 w:history="1">
        <w:r>
          <w:rPr>
            <w:rFonts w:ascii="SimSun" w:eastAsia="SimSun" w:hAnsi="SimSun" w:cs="SimSun"/>
            <w:b/>
            <w:bCs/>
            <w:color w:val="0000EE"/>
            <w:sz w:val="30"/>
            <w:szCs w:val="30"/>
            <w:u w:val="single" w:color="0000EE"/>
          </w:rPr>
          <w:t>https://d.book118.com/427061110123006042</w:t>
        </w:r>
      </w:hyperlink>
    </w:p>
    <w:p>
      <w:pPr>
        <w:spacing w:after="0" w:line="271" w:lineRule="auto"/>
      </w:pPr>
    </w:p>
    <w:sectPr>
      <w:pgSz w:w="17860" w:h="25260"/>
      <w:pgMar w:top="1760" w:right="0" w:bottom="280" w:left="2540" w:header="708" w:footer="708"/>
      <w:pgNumType w:start="17"/>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BF48"/>
    <w:multiLevelType w:val="hybridMultilevel"/>
    <w:tmpl w:val="00000000"/>
    <w:lvl w:ilvl="0">
      <w:start w:val="3"/>
      <w:numFmt w:val="decimal"/>
      <w:lvlText w:val="%1."/>
      <w:lvlJc w:val="left"/>
      <w:pPr>
        <w:ind w:left="506" w:hanging="350"/>
        <w:jc w:val="left"/>
      </w:pPr>
      <w:rPr>
        <w:rFonts w:ascii="微软雅黑" w:eastAsia="微软雅黑" w:hAnsi="微软雅黑" w:cs="微软雅黑" w:hint="default"/>
        <w:spacing w:val="-1"/>
        <w:w w:val="100"/>
        <w:sz w:val="40"/>
        <w:szCs w:val="40"/>
      </w:rPr>
    </w:lvl>
    <w:lvl w:ilvl="1">
      <w:start w:val="1"/>
      <w:numFmt w:val="decimal"/>
      <w:lvlText w:val="%2."/>
      <w:lvlJc w:val="left"/>
      <w:pPr>
        <w:ind w:left="157" w:hanging="718"/>
        <w:jc w:val="left"/>
      </w:pPr>
      <w:rPr>
        <w:rFonts w:ascii="微软雅黑" w:eastAsia="微软雅黑" w:hAnsi="微软雅黑" w:cs="微软雅黑" w:hint="default"/>
        <w:spacing w:val="0"/>
        <w:w w:val="100"/>
        <w:sz w:val="43"/>
        <w:szCs w:val="43"/>
      </w:rPr>
    </w:lvl>
    <w:lvl w:ilvl="2">
      <w:start w:val="0"/>
      <w:numFmt w:val="bullet"/>
      <w:lvlText w:val="•"/>
      <w:lvlJc w:val="left"/>
      <w:pPr>
        <w:ind w:left="2146" w:hanging="718"/>
      </w:pPr>
      <w:rPr>
        <w:rFonts w:hint="default"/>
      </w:rPr>
    </w:lvl>
    <w:lvl w:ilvl="3">
      <w:start w:val="0"/>
      <w:numFmt w:val="bullet"/>
      <w:lvlText w:val="•"/>
      <w:lvlJc w:val="left"/>
      <w:pPr>
        <w:ind w:left="3793" w:hanging="718"/>
      </w:pPr>
      <w:rPr>
        <w:rFonts w:hint="default"/>
      </w:rPr>
    </w:lvl>
    <w:lvl w:ilvl="4">
      <w:start w:val="0"/>
      <w:numFmt w:val="bullet"/>
      <w:lvlText w:val="•"/>
      <w:lvlJc w:val="left"/>
      <w:pPr>
        <w:ind w:left="5439" w:hanging="718"/>
      </w:pPr>
      <w:rPr>
        <w:rFonts w:hint="default"/>
      </w:rPr>
    </w:lvl>
    <w:lvl w:ilvl="5">
      <w:start w:val="0"/>
      <w:numFmt w:val="bullet"/>
      <w:lvlText w:val="•"/>
      <w:lvlJc w:val="left"/>
      <w:pPr>
        <w:ind w:left="7086" w:hanging="718"/>
      </w:pPr>
      <w:rPr>
        <w:rFonts w:hint="default"/>
      </w:rPr>
    </w:lvl>
    <w:lvl w:ilvl="6">
      <w:start w:val="0"/>
      <w:numFmt w:val="bullet"/>
      <w:lvlText w:val="•"/>
      <w:lvlJc w:val="left"/>
      <w:pPr>
        <w:ind w:left="8733" w:hanging="718"/>
      </w:pPr>
      <w:rPr>
        <w:rFonts w:hint="default"/>
      </w:rPr>
    </w:lvl>
    <w:lvl w:ilvl="7">
      <w:start w:val="0"/>
      <w:numFmt w:val="bullet"/>
      <w:lvlText w:val="•"/>
      <w:lvlJc w:val="left"/>
      <w:pPr>
        <w:ind w:left="10379" w:hanging="718"/>
      </w:pPr>
      <w:rPr>
        <w:rFonts w:hint="default"/>
      </w:rPr>
    </w:lvl>
    <w:lvl w:ilvl="8">
      <w:start w:val="0"/>
      <w:numFmt w:val="bullet"/>
      <w:lvlText w:val="•"/>
      <w:lvlJc w:val="left"/>
      <w:pPr>
        <w:ind w:left="12026" w:hanging="718"/>
      </w:pPr>
      <w:rPr>
        <w:rFonts w:hint="default"/>
      </w:rPr>
    </w:lvl>
  </w:abstractNum>
  <w:abstractNum w:abstractNumId="1">
    <w:nsid w:val="0D01EA6D"/>
    <w:multiLevelType w:val="hybridMultilevel"/>
    <w:tmpl w:val="00000000"/>
    <w:lvl w:ilvl="0">
      <w:start w:val="2"/>
      <w:numFmt w:val="decimal"/>
      <w:lvlText w:val="%1."/>
      <w:lvlJc w:val="left"/>
      <w:pPr>
        <w:ind w:left="1637" w:hanging="671"/>
        <w:jc w:val="left"/>
      </w:pPr>
      <w:rPr>
        <w:rFonts w:ascii="微软雅黑" w:eastAsia="微软雅黑" w:hAnsi="微软雅黑" w:cs="微软雅黑" w:hint="default"/>
        <w:spacing w:val="0"/>
        <w:w w:val="100"/>
        <w:sz w:val="40"/>
        <w:szCs w:val="40"/>
      </w:rPr>
    </w:lvl>
    <w:lvl w:ilvl="1">
      <w:start w:val="0"/>
      <w:numFmt w:val="bullet"/>
      <w:lvlText w:val="•"/>
      <w:lvlJc w:val="left"/>
      <w:pPr>
        <w:ind w:left="3007" w:hanging="671"/>
      </w:pPr>
      <w:rPr>
        <w:rFonts w:hint="default"/>
      </w:rPr>
    </w:lvl>
    <w:lvl w:ilvl="2">
      <w:start w:val="0"/>
      <w:numFmt w:val="bullet"/>
      <w:lvlText w:val="•"/>
      <w:lvlJc w:val="left"/>
      <w:pPr>
        <w:ind w:left="4375" w:hanging="671"/>
      </w:pPr>
      <w:rPr>
        <w:rFonts w:hint="default"/>
      </w:rPr>
    </w:lvl>
    <w:lvl w:ilvl="3">
      <w:start w:val="0"/>
      <w:numFmt w:val="bullet"/>
      <w:lvlText w:val="•"/>
      <w:lvlJc w:val="left"/>
      <w:pPr>
        <w:ind w:left="5743" w:hanging="671"/>
      </w:pPr>
      <w:rPr>
        <w:rFonts w:hint="default"/>
      </w:rPr>
    </w:lvl>
    <w:lvl w:ilvl="4">
      <w:start w:val="0"/>
      <w:numFmt w:val="bullet"/>
      <w:lvlText w:val="•"/>
      <w:lvlJc w:val="left"/>
      <w:pPr>
        <w:ind w:left="7111" w:hanging="671"/>
      </w:pPr>
      <w:rPr>
        <w:rFonts w:hint="default"/>
      </w:rPr>
    </w:lvl>
    <w:lvl w:ilvl="5">
      <w:start w:val="0"/>
      <w:numFmt w:val="bullet"/>
      <w:lvlText w:val="•"/>
      <w:lvlJc w:val="left"/>
      <w:pPr>
        <w:ind w:left="8479" w:hanging="671"/>
      </w:pPr>
      <w:rPr>
        <w:rFonts w:hint="default"/>
      </w:rPr>
    </w:lvl>
    <w:lvl w:ilvl="6">
      <w:start w:val="0"/>
      <w:numFmt w:val="bullet"/>
      <w:lvlText w:val="•"/>
      <w:lvlJc w:val="left"/>
      <w:pPr>
        <w:ind w:left="9847" w:hanging="671"/>
      </w:pPr>
      <w:rPr>
        <w:rFonts w:hint="default"/>
      </w:rPr>
    </w:lvl>
    <w:lvl w:ilvl="7">
      <w:start w:val="0"/>
      <w:numFmt w:val="bullet"/>
      <w:lvlText w:val="•"/>
      <w:lvlJc w:val="left"/>
      <w:pPr>
        <w:ind w:left="11215" w:hanging="671"/>
      </w:pPr>
      <w:rPr>
        <w:rFonts w:hint="default"/>
      </w:rPr>
    </w:lvl>
    <w:lvl w:ilvl="8">
      <w:start w:val="0"/>
      <w:numFmt w:val="bullet"/>
      <w:lvlText w:val="•"/>
      <w:lvlJc w:val="left"/>
      <w:pPr>
        <w:ind w:left="12583" w:hanging="671"/>
      </w:pPr>
      <w:rPr>
        <w:rFonts w:hint="default"/>
      </w:rPr>
    </w:lvl>
  </w:abstractNum>
  <w:abstractNum w:abstractNumId="2">
    <w:nsid w:val="0DA88B92"/>
    <w:multiLevelType w:val="hybridMultilevel"/>
    <w:tmpl w:val="00000000"/>
    <w:lvl w:ilvl="0">
      <w:start w:val="5"/>
      <w:numFmt w:val="decimal"/>
      <w:lvlText w:val="%1"/>
      <w:lvlJc w:val="left"/>
      <w:pPr>
        <w:ind w:left="1399" w:hanging="1242"/>
        <w:jc w:val="left"/>
      </w:pPr>
      <w:rPr>
        <w:rFonts w:ascii="微软雅黑" w:eastAsia="微软雅黑" w:hAnsi="微软雅黑" w:cs="微软雅黑" w:hint="default"/>
        <w:w w:val="100"/>
        <w:position w:val="-2"/>
        <w:sz w:val="42"/>
        <w:szCs w:val="42"/>
      </w:rPr>
    </w:lvl>
    <w:lvl w:ilvl="1">
      <w:start w:val="0"/>
      <w:numFmt w:val="bullet"/>
      <w:lvlText w:val="•"/>
      <w:lvlJc w:val="left"/>
      <w:pPr>
        <w:ind w:left="2791" w:hanging="1242"/>
      </w:pPr>
      <w:rPr>
        <w:rFonts w:hint="default"/>
      </w:rPr>
    </w:lvl>
    <w:lvl w:ilvl="2">
      <w:start w:val="0"/>
      <w:numFmt w:val="bullet"/>
      <w:lvlText w:val="•"/>
      <w:lvlJc w:val="left"/>
      <w:pPr>
        <w:ind w:left="4183" w:hanging="1242"/>
      </w:pPr>
      <w:rPr>
        <w:rFonts w:hint="default"/>
      </w:rPr>
    </w:lvl>
    <w:lvl w:ilvl="3">
      <w:start w:val="0"/>
      <w:numFmt w:val="bullet"/>
      <w:lvlText w:val="•"/>
      <w:lvlJc w:val="left"/>
      <w:pPr>
        <w:ind w:left="5575" w:hanging="1242"/>
      </w:pPr>
      <w:rPr>
        <w:rFonts w:hint="default"/>
      </w:rPr>
    </w:lvl>
    <w:lvl w:ilvl="4">
      <w:start w:val="0"/>
      <w:numFmt w:val="bullet"/>
      <w:lvlText w:val="•"/>
      <w:lvlJc w:val="left"/>
      <w:pPr>
        <w:ind w:left="6967" w:hanging="1242"/>
      </w:pPr>
      <w:rPr>
        <w:rFonts w:hint="default"/>
      </w:rPr>
    </w:lvl>
    <w:lvl w:ilvl="5">
      <w:start w:val="0"/>
      <w:numFmt w:val="bullet"/>
      <w:lvlText w:val="•"/>
      <w:lvlJc w:val="left"/>
      <w:pPr>
        <w:ind w:left="8359" w:hanging="1242"/>
      </w:pPr>
      <w:rPr>
        <w:rFonts w:hint="default"/>
      </w:rPr>
    </w:lvl>
    <w:lvl w:ilvl="6">
      <w:start w:val="0"/>
      <w:numFmt w:val="bullet"/>
      <w:lvlText w:val="•"/>
      <w:lvlJc w:val="left"/>
      <w:pPr>
        <w:ind w:left="9751" w:hanging="1242"/>
      </w:pPr>
      <w:rPr>
        <w:rFonts w:hint="default"/>
      </w:rPr>
    </w:lvl>
    <w:lvl w:ilvl="7">
      <w:start w:val="0"/>
      <w:numFmt w:val="bullet"/>
      <w:lvlText w:val="•"/>
      <w:lvlJc w:val="left"/>
      <w:pPr>
        <w:ind w:left="11143" w:hanging="1242"/>
      </w:pPr>
      <w:rPr>
        <w:rFonts w:hint="default"/>
      </w:rPr>
    </w:lvl>
    <w:lvl w:ilvl="8">
      <w:start w:val="0"/>
      <w:numFmt w:val="bullet"/>
      <w:lvlText w:val="•"/>
      <w:lvlJc w:val="left"/>
      <w:pPr>
        <w:ind w:left="12535" w:hanging="1242"/>
      </w:pPr>
      <w:rPr>
        <w:rFonts w:hint="default"/>
      </w:rPr>
    </w:lvl>
  </w:abstractNum>
  <w:abstractNum w:abstractNumId="3">
    <w:nsid w:val="0DF5F54D"/>
    <w:multiLevelType w:val="hybridMultilevel"/>
    <w:tmpl w:val="00000000"/>
    <w:lvl w:ilvl="0">
      <w:start w:val="1"/>
      <w:numFmt w:val="decimal"/>
      <w:lvlText w:val="（%1）"/>
      <w:lvlJc w:val="left"/>
      <w:pPr>
        <w:ind w:left="157" w:hanging="1171"/>
        <w:jc w:val="left"/>
      </w:pPr>
      <w:rPr>
        <w:rFonts w:ascii="微软雅黑" w:eastAsia="微软雅黑" w:hAnsi="微软雅黑" w:cs="微软雅黑" w:hint="default"/>
        <w:spacing w:val="0"/>
        <w:w w:val="100"/>
        <w:sz w:val="43"/>
        <w:szCs w:val="43"/>
      </w:rPr>
    </w:lvl>
    <w:lvl w:ilvl="1">
      <w:start w:val="0"/>
      <w:numFmt w:val="bullet"/>
      <w:lvlText w:val="•"/>
      <w:lvlJc w:val="left"/>
      <w:pPr>
        <w:ind w:left="1675" w:hanging="1171"/>
      </w:pPr>
      <w:rPr>
        <w:rFonts w:hint="default"/>
      </w:rPr>
    </w:lvl>
    <w:lvl w:ilvl="2">
      <w:start w:val="0"/>
      <w:numFmt w:val="bullet"/>
      <w:lvlText w:val="•"/>
      <w:lvlJc w:val="left"/>
      <w:pPr>
        <w:ind w:left="3191" w:hanging="1171"/>
      </w:pPr>
      <w:rPr>
        <w:rFonts w:hint="default"/>
      </w:rPr>
    </w:lvl>
    <w:lvl w:ilvl="3">
      <w:start w:val="0"/>
      <w:numFmt w:val="bullet"/>
      <w:lvlText w:val="•"/>
      <w:lvlJc w:val="left"/>
      <w:pPr>
        <w:ind w:left="4707" w:hanging="1171"/>
      </w:pPr>
      <w:rPr>
        <w:rFonts w:hint="default"/>
      </w:rPr>
    </w:lvl>
    <w:lvl w:ilvl="4">
      <w:start w:val="0"/>
      <w:numFmt w:val="bullet"/>
      <w:lvlText w:val="•"/>
      <w:lvlJc w:val="left"/>
      <w:pPr>
        <w:ind w:left="6223" w:hanging="1171"/>
      </w:pPr>
      <w:rPr>
        <w:rFonts w:hint="default"/>
      </w:rPr>
    </w:lvl>
    <w:lvl w:ilvl="5">
      <w:start w:val="0"/>
      <w:numFmt w:val="bullet"/>
      <w:lvlText w:val="•"/>
      <w:lvlJc w:val="left"/>
      <w:pPr>
        <w:ind w:left="7739" w:hanging="1171"/>
      </w:pPr>
      <w:rPr>
        <w:rFonts w:hint="default"/>
      </w:rPr>
    </w:lvl>
    <w:lvl w:ilvl="6">
      <w:start w:val="0"/>
      <w:numFmt w:val="bullet"/>
      <w:lvlText w:val="•"/>
      <w:lvlJc w:val="left"/>
      <w:pPr>
        <w:ind w:left="9255" w:hanging="1171"/>
      </w:pPr>
      <w:rPr>
        <w:rFonts w:hint="default"/>
      </w:rPr>
    </w:lvl>
    <w:lvl w:ilvl="7">
      <w:start w:val="0"/>
      <w:numFmt w:val="bullet"/>
      <w:lvlText w:val="•"/>
      <w:lvlJc w:val="left"/>
      <w:pPr>
        <w:ind w:left="10771" w:hanging="1171"/>
      </w:pPr>
      <w:rPr>
        <w:rFonts w:hint="default"/>
      </w:rPr>
    </w:lvl>
    <w:lvl w:ilvl="8">
      <w:start w:val="0"/>
      <w:numFmt w:val="bullet"/>
      <w:lvlText w:val="•"/>
      <w:lvlJc w:val="left"/>
      <w:pPr>
        <w:ind w:left="12287" w:hanging="1171"/>
      </w:pPr>
      <w:rPr>
        <w:rFonts w:hint="default"/>
      </w:rPr>
    </w:lvl>
  </w:abstractNum>
  <w:abstractNum w:abstractNumId="4">
    <w:nsid w:val="30EFA8B0"/>
    <w:multiLevelType w:val="hybridMultilevel"/>
    <w:tmpl w:val="00000000"/>
    <w:lvl w:ilvl="0">
      <w:start w:val="1"/>
      <w:numFmt w:val="decimal"/>
      <w:lvlText w:val="%1."/>
      <w:lvlJc w:val="left"/>
      <w:pPr>
        <w:ind w:left="157" w:hanging="385"/>
        <w:jc w:val="right"/>
      </w:pPr>
      <w:rPr>
        <w:rFonts w:ascii="微软雅黑" w:eastAsia="微软雅黑" w:hAnsi="微软雅黑" w:cs="微软雅黑" w:hint="default"/>
        <w:spacing w:val="-1"/>
        <w:w w:val="100"/>
        <w:sz w:val="43"/>
        <w:szCs w:val="43"/>
      </w:rPr>
    </w:lvl>
    <w:lvl w:ilvl="1">
      <w:start w:val="0"/>
      <w:numFmt w:val="bullet"/>
      <w:lvlText w:val="•"/>
      <w:lvlJc w:val="left"/>
      <w:pPr>
        <w:ind w:left="1675" w:hanging="385"/>
      </w:pPr>
      <w:rPr>
        <w:rFonts w:hint="default"/>
      </w:rPr>
    </w:lvl>
    <w:lvl w:ilvl="2">
      <w:start w:val="0"/>
      <w:numFmt w:val="bullet"/>
      <w:lvlText w:val="•"/>
      <w:lvlJc w:val="left"/>
      <w:pPr>
        <w:ind w:left="3191" w:hanging="385"/>
      </w:pPr>
      <w:rPr>
        <w:rFonts w:hint="default"/>
      </w:rPr>
    </w:lvl>
    <w:lvl w:ilvl="3">
      <w:start w:val="0"/>
      <w:numFmt w:val="bullet"/>
      <w:lvlText w:val="•"/>
      <w:lvlJc w:val="left"/>
      <w:pPr>
        <w:ind w:left="4707" w:hanging="385"/>
      </w:pPr>
      <w:rPr>
        <w:rFonts w:hint="default"/>
      </w:rPr>
    </w:lvl>
    <w:lvl w:ilvl="4">
      <w:start w:val="0"/>
      <w:numFmt w:val="bullet"/>
      <w:lvlText w:val="•"/>
      <w:lvlJc w:val="left"/>
      <w:pPr>
        <w:ind w:left="6223" w:hanging="385"/>
      </w:pPr>
      <w:rPr>
        <w:rFonts w:hint="default"/>
      </w:rPr>
    </w:lvl>
    <w:lvl w:ilvl="5">
      <w:start w:val="0"/>
      <w:numFmt w:val="bullet"/>
      <w:lvlText w:val="•"/>
      <w:lvlJc w:val="left"/>
      <w:pPr>
        <w:ind w:left="7739" w:hanging="385"/>
      </w:pPr>
      <w:rPr>
        <w:rFonts w:hint="default"/>
      </w:rPr>
    </w:lvl>
    <w:lvl w:ilvl="6">
      <w:start w:val="0"/>
      <w:numFmt w:val="bullet"/>
      <w:lvlText w:val="•"/>
      <w:lvlJc w:val="left"/>
      <w:pPr>
        <w:ind w:left="9255" w:hanging="385"/>
      </w:pPr>
      <w:rPr>
        <w:rFonts w:hint="default"/>
      </w:rPr>
    </w:lvl>
    <w:lvl w:ilvl="7">
      <w:start w:val="0"/>
      <w:numFmt w:val="bullet"/>
      <w:lvlText w:val="•"/>
      <w:lvlJc w:val="left"/>
      <w:pPr>
        <w:ind w:left="10771" w:hanging="385"/>
      </w:pPr>
      <w:rPr>
        <w:rFonts w:hint="default"/>
      </w:rPr>
    </w:lvl>
    <w:lvl w:ilvl="8">
      <w:start w:val="0"/>
      <w:numFmt w:val="bullet"/>
      <w:lvlText w:val="•"/>
      <w:lvlJc w:val="left"/>
      <w:pPr>
        <w:ind w:left="12287" w:hanging="385"/>
      </w:pPr>
      <w:rPr>
        <w:rFonts w:hint="default"/>
      </w:rPr>
    </w:lvl>
  </w:abstractNum>
  <w:abstractNum w:abstractNumId="5">
    <w:nsid w:val="3353B3DB"/>
    <w:multiLevelType w:val="hybridMultilevel"/>
    <w:tmpl w:val="00000000"/>
    <w:lvl w:ilvl="0">
      <w:start w:val="3"/>
      <w:numFmt w:val="decimal"/>
      <w:lvlText w:val="%1"/>
      <w:lvlJc w:val="left"/>
      <w:pPr>
        <w:ind w:left="1399" w:hanging="702"/>
        <w:jc w:val="left"/>
      </w:pPr>
      <w:rPr>
        <w:rFonts w:hint="default"/>
      </w:rPr>
    </w:lvl>
    <w:lvl w:ilvl="1">
      <w:start w:val="1"/>
      <w:numFmt w:val="decimal"/>
      <w:lvlText w:val="%1.%2"/>
      <w:lvlJc w:val="left"/>
      <w:pPr>
        <w:ind w:left="1399" w:hanging="702"/>
        <w:jc w:val="left"/>
      </w:pPr>
      <w:rPr>
        <w:rFonts w:ascii="微软雅黑" w:eastAsia="微软雅黑" w:hAnsi="微软雅黑" w:cs="微软雅黑" w:hint="default"/>
        <w:spacing w:val="-1"/>
        <w:w w:val="100"/>
        <w:sz w:val="42"/>
        <w:szCs w:val="42"/>
      </w:rPr>
    </w:lvl>
    <w:lvl w:ilvl="2">
      <w:start w:val="0"/>
      <w:numFmt w:val="bullet"/>
      <w:lvlText w:val="•"/>
      <w:lvlJc w:val="left"/>
      <w:pPr>
        <w:ind w:left="4183" w:hanging="702"/>
      </w:pPr>
      <w:rPr>
        <w:rFonts w:hint="default"/>
      </w:rPr>
    </w:lvl>
    <w:lvl w:ilvl="3">
      <w:start w:val="0"/>
      <w:numFmt w:val="bullet"/>
      <w:lvlText w:val="•"/>
      <w:lvlJc w:val="left"/>
      <w:pPr>
        <w:ind w:left="5575" w:hanging="702"/>
      </w:pPr>
      <w:rPr>
        <w:rFonts w:hint="default"/>
      </w:rPr>
    </w:lvl>
    <w:lvl w:ilvl="4">
      <w:start w:val="0"/>
      <w:numFmt w:val="bullet"/>
      <w:lvlText w:val="•"/>
      <w:lvlJc w:val="left"/>
      <w:pPr>
        <w:ind w:left="6967" w:hanging="702"/>
      </w:pPr>
      <w:rPr>
        <w:rFonts w:hint="default"/>
      </w:rPr>
    </w:lvl>
    <w:lvl w:ilvl="5">
      <w:start w:val="0"/>
      <w:numFmt w:val="bullet"/>
      <w:lvlText w:val="•"/>
      <w:lvlJc w:val="left"/>
      <w:pPr>
        <w:ind w:left="8359" w:hanging="702"/>
      </w:pPr>
      <w:rPr>
        <w:rFonts w:hint="default"/>
      </w:rPr>
    </w:lvl>
    <w:lvl w:ilvl="6">
      <w:start w:val="0"/>
      <w:numFmt w:val="bullet"/>
      <w:lvlText w:val="•"/>
      <w:lvlJc w:val="left"/>
      <w:pPr>
        <w:ind w:left="9751" w:hanging="702"/>
      </w:pPr>
      <w:rPr>
        <w:rFonts w:hint="default"/>
      </w:rPr>
    </w:lvl>
    <w:lvl w:ilvl="7">
      <w:start w:val="0"/>
      <w:numFmt w:val="bullet"/>
      <w:lvlText w:val="•"/>
      <w:lvlJc w:val="left"/>
      <w:pPr>
        <w:ind w:left="11143" w:hanging="702"/>
      </w:pPr>
      <w:rPr>
        <w:rFonts w:hint="default"/>
      </w:rPr>
    </w:lvl>
    <w:lvl w:ilvl="8">
      <w:start w:val="0"/>
      <w:numFmt w:val="bullet"/>
      <w:lvlText w:val="•"/>
      <w:lvlJc w:val="left"/>
      <w:pPr>
        <w:ind w:left="12535" w:hanging="702"/>
      </w:pPr>
      <w:rPr>
        <w:rFonts w:hint="default"/>
      </w:rPr>
    </w:lvl>
  </w:abstractNum>
  <w:abstractNum w:abstractNumId="6">
    <w:nsid w:val="39C8F60C"/>
    <w:multiLevelType w:val="hybridMultilevel"/>
    <w:tmpl w:val="00000000"/>
    <w:lvl w:ilvl="0">
      <w:start w:val="1"/>
      <w:numFmt w:val="decimal"/>
      <w:lvlText w:val="(%1)"/>
      <w:lvlJc w:val="left"/>
      <w:pPr>
        <w:ind w:left="1622" w:hanging="566"/>
        <w:jc w:val="left"/>
      </w:pPr>
      <w:rPr>
        <w:rFonts w:ascii="微软雅黑" w:eastAsia="微软雅黑" w:hAnsi="微软雅黑" w:cs="微软雅黑" w:hint="default"/>
        <w:spacing w:val="-1"/>
        <w:w w:val="100"/>
        <w:sz w:val="43"/>
        <w:szCs w:val="43"/>
      </w:rPr>
    </w:lvl>
    <w:lvl w:ilvl="1">
      <w:start w:val="0"/>
      <w:numFmt w:val="bullet"/>
      <w:lvlText w:val="•"/>
      <w:lvlJc w:val="left"/>
      <w:pPr>
        <w:ind w:left="2989" w:hanging="566"/>
      </w:pPr>
      <w:rPr>
        <w:rFonts w:hint="default"/>
      </w:rPr>
    </w:lvl>
    <w:lvl w:ilvl="2">
      <w:start w:val="0"/>
      <w:numFmt w:val="bullet"/>
      <w:lvlText w:val="•"/>
      <w:lvlJc w:val="left"/>
      <w:pPr>
        <w:ind w:left="4359" w:hanging="566"/>
      </w:pPr>
      <w:rPr>
        <w:rFonts w:hint="default"/>
      </w:rPr>
    </w:lvl>
    <w:lvl w:ilvl="3">
      <w:start w:val="0"/>
      <w:numFmt w:val="bullet"/>
      <w:lvlText w:val="•"/>
      <w:lvlJc w:val="left"/>
      <w:pPr>
        <w:ind w:left="5729" w:hanging="566"/>
      </w:pPr>
      <w:rPr>
        <w:rFonts w:hint="default"/>
      </w:rPr>
    </w:lvl>
    <w:lvl w:ilvl="4">
      <w:start w:val="0"/>
      <w:numFmt w:val="bullet"/>
      <w:lvlText w:val="•"/>
      <w:lvlJc w:val="left"/>
      <w:pPr>
        <w:ind w:left="7099" w:hanging="566"/>
      </w:pPr>
      <w:rPr>
        <w:rFonts w:hint="default"/>
      </w:rPr>
    </w:lvl>
    <w:lvl w:ilvl="5">
      <w:start w:val="0"/>
      <w:numFmt w:val="bullet"/>
      <w:lvlText w:val="•"/>
      <w:lvlJc w:val="left"/>
      <w:pPr>
        <w:ind w:left="8469" w:hanging="566"/>
      </w:pPr>
      <w:rPr>
        <w:rFonts w:hint="default"/>
      </w:rPr>
    </w:lvl>
    <w:lvl w:ilvl="6">
      <w:start w:val="0"/>
      <w:numFmt w:val="bullet"/>
      <w:lvlText w:val="•"/>
      <w:lvlJc w:val="left"/>
      <w:pPr>
        <w:ind w:left="9839" w:hanging="566"/>
      </w:pPr>
      <w:rPr>
        <w:rFonts w:hint="default"/>
      </w:rPr>
    </w:lvl>
    <w:lvl w:ilvl="7">
      <w:start w:val="0"/>
      <w:numFmt w:val="bullet"/>
      <w:lvlText w:val="•"/>
      <w:lvlJc w:val="left"/>
      <w:pPr>
        <w:ind w:left="11209" w:hanging="566"/>
      </w:pPr>
      <w:rPr>
        <w:rFonts w:hint="default"/>
      </w:rPr>
    </w:lvl>
    <w:lvl w:ilvl="8">
      <w:start w:val="0"/>
      <w:numFmt w:val="bullet"/>
      <w:lvlText w:val="•"/>
      <w:lvlJc w:val="left"/>
      <w:pPr>
        <w:ind w:left="12579" w:hanging="566"/>
      </w:pPr>
      <w:rPr>
        <w:rFonts w:hint="default"/>
      </w:rPr>
    </w:lvl>
  </w:abstractNum>
  <w:abstractNum w:abstractNumId="7">
    <w:nsid w:val="3A94577C"/>
    <w:multiLevelType w:val="hybridMultilevel"/>
    <w:tmpl w:val="00000000"/>
    <w:lvl w:ilvl="0">
      <w:start w:val="2"/>
      <w:numFmt w:val="decimal"/>
      <w:lvlText w:val="(%1)"/>
      <w:lvlJc w:val="left"/>
      <w:pPr>
        <w:ind w:left="609" w:hanging="452"/>
        <w:jc w:val="left"/>
      </w:pPr>
      <w:rPr>
        <w:rFonts w:ascii="微软雅黑" w:eastAsia="微软雅黑" w:hAnsi="微软雅黑" w:cs="微软雅黑" w:hint="default"/>
        <w:spacing w:val="-2"/>
        <w:w w:val="100"/>
        <w:sz w:val="34"/>
        <w:szCs w:val="34"/>
      </w:rPr>
    </w:lvl>
    <w:lvl w:ilvl="1">
      <w:start w:val="0"/>
      <w:numFmt w:val="bullet"/>
      <w:lvlText w:val="•"/>
      <w:lvlJc w:val="left"/>
      <w:pPr>
        <w:ind w:left="2071" w:hanging="452"/>
      </w:pPr>
      <w:rPr>
        <w:rFonts w:hint="default"/>
      </w:rPr>
    </w:lvl>
    <w:lvl w:ilvl="2">
      <w:start w:val="0"/>
      <w:numFmt w:val="bullet"/>
      <w:lvlText w:val="•"/>
      <w:lvlJc w:val="left"/>
      <w:pPr>
        <w:ind w:left="3543" w:hanging="452"/>
      </w:pPr>
      <w:rPr>
        <w:rFonts w:hint="default"/>
      </w:rPr>
    </w:lvl>
    <w:lvl w:ilvl="3">
      <w:start w:val="0"/>
      <w:numFmt w:val="bullet"/>
      <w:lvlText w:val="•"/>
      <w:lvlJc w:val="left"/>
      <w:pPr>
        <w:ind w:left="5015" w:hanging="452"/>
      </w:pPr>
      <w:rPr>
        <w:rFonts w:hint="default"/>
      </w:rPr>
    </w:lvl>
    <w:lvl w:ilvl="4">
      <w:start w:val="0"/>
      <w:numFmt w:val="bullet"/>
      <w:lvlText w:val="•"/>
      <w:lvlJc w:val="left"/>
      <w:pPr>
        <w:ind w:left="6487" w:hanging="452"/>
      </w:pPr>
      <w:rPr>
        <w:rFonts w:hint="default"/>
      </w:rPr>
    </w:lvl>
    <w:lvl w:ilvl="5">
      <w:start w:val="0"/>
      <w:numFmt w:val="bullet"/>
      <w:lvlText w:val="•"/>
      <w:lvlJc w:val="left"/>
      <w:pPr>
        <w:ind w:left="7959" w:hanging="452"/>
      </w:pPr>
      <w:rPr>
        <w:rFonts w:hint="default"/>
      </w:rPr>
    </w:lvl>
    <w:lvl w:ilvl="6">
      <w:start w:val="0"/>
      <w:numFmt w:val="bullet"/>
      <w:lvlText w:val="•"/>
      <w:lvlJc w:val="left"/>
      <w:pPr>
        <w:ind w:left="9431" w:hanging="452"/>
      </w:pPr>
      <w:rPr>
        <w:rFonts w:hint="default"/>
      </w:rPr>
    </w:lvl>
    <w:lvl w:ilvl="7">
      <w:start w:val="0"/>
      <w:numFmt w:val="bullet"/>
      <w:lvlText w:val="•"/>
      <w:lvlJc w:val="left"/>
      <w:pPr>
        <w:ind w:left="10903" w:hanging="452"/>
      </w:pPr>
      <w:rPr>
        <w:rFonts w:hint="default"/>
      </w:rPr>
    </w:lvl>
    <w:lvl w:ilvl="8">
      <w:start w:val="0"/>
      <w:numFmt w:val="bullet"/>
      <w:lvlText w:val="•"/>
      <w:lvlJc w:val="left"/>
      <w:pPr>
        <w:ind w:left="12375" w:hanging="452"/>
      </w:pPr>
      <w:rPr>
        <w:rFonts w:hint="default"/>
      </w:rPr>
    </w:lvl>
  </w:abstractNum>
  <w:abstractNum w:abstractNumId="8">
    <w:nsid w:val="3C6C55CF"/>
    <w:multiLevelType w:val="hybridMultilevel"/>
    <w:tmpl w:val="00000000"/>
    <w:lvl w:ilvl="0">
      <w:start w:val="1"/>
      <w:numFmt w:val="decimal"/>
      <w:lvlText w:val="（%1）"/>
      <w:lvlJc w:val="left"/>
      <w:pPr>
        <w:ind w:left="1320" w:hanging="1164"/>
        <w:jc w:val="left"/>
      </w:pPr>
      <w:rPr>
        <w:rFonts w:ascii="微软雅黑" w:eastAsia="微软雅黑" w:hAnsi="微软雅黑" w:cs="微软雅黑" w:hint="default"/>
        <w:spacing w:val="-2"/>
        <w:w w:val="100"/>
        <w:sz w:val="43"/>
        <w:szCs w:val="43"/>
      </w:rPr>
    </w:lvl>
    <w:lvl w:ilvl="1">
      <w:start w:val="0"/>
      <w:numFmt w:val="bullet"/>
      <w:lvlText w:val="•"/>
      <w:lvlJc w:val="left"/>
      <w:pPr>
        <w:ind w:left="2719" w:hanging="1164"/>
      </w:pPr>
      <w:rPr>
        <w:rFonts w:hint="default"/>
      </w:rPr>
    </w:lvl>
    <w:lvl w:ilvl="2">
      <w:start w:val="0"/>
      <w:numFmt w:val="bullet"/>
      <w:lvlText w:val="•"/>
      <w:lvlJc w:val="left"/>
      <w:pPr>
        <w:ind w:left="4119" w:hanging="1164"/>
      </w:pPr>
      <w:rPr>
        <w:rFonts w:hint="default"/>
      </w:rPr>
    </w:lvl>
    <w:lvl w:ilvl="3">
      <w:start w:val="0"/>
      <w:numFmt w:val="bullet"/>
      <w:lvlText w:val="•"/>
      <w:lvlJc w:val="left"/>
      <w:pPr>
        <w:ind w:left="5519" w:hanging="1164"/>
      </w:pPr>
      <w:rPr>
        <w:rFonts w:hint="default"/>
      </w:rPr>
    </w:lvl>
    <w:lvl w:ilvl="4">
      <w:start w:val="0"/>
      <w:numFmt w:val="bullet"/>
      <w:lvlText w:val="•"/>
      <w:lvlJc w:val="left"/>
      <w:pPr>
        <w:ind w:left="6919" w:hanging="1164"/>
      </w:pPr>
      <w:rPr>
        <w:rFonts w:hint="default"/>
      </w:rPr>
    </w:lvl>
    <w:lvl w:ilvl="5">
      <w:start w:val="0"/>
      <w:numFmt w:val="bullet"/>
      <w:lvlText w:val="•"/>
      <w:lvlJc w:val="left"/>
      <w:pPr>
        <w:ind w:left="8319" w:hanging="1164"/>
      </w:pPr>
      <w:rPr>
        <w:rFonts w:hint="default"/>
      </w:rPr>
    </w:lvl>
    <w:lvl w:ilvl="6">
      <w:start w:val="0"/>
      <w:numFmt w:val="bullet"/>
      <w:lvlText w:val="•"/>
      <w:lvlJc w:val="left"/>
      <w:pPr>
        <w:ind w:left="9719" w:hanging="1164"/>
      </w:pPr>
      <w:rPr>
        <w:rFonts w:hint="default"/>
      </w:rPr>
    </w:lvl>
    <w:lvl w:ilvl="7">
      <w:start w:val="0"/>
      <w:numFmt w:val="bullet"/>
      <w:lvlText w:val="•"/>
      <w:lvlJc w:val="left"/>
      <w:pPr>
        <w:ind w:left="11119" w:hanging="1164"/>
      </w:pPr>
      <w:rPr>
        <w:rFonts w:hint="default"/>
      </w:rPr>
    </w:lvl>
    <w:lvl w:ilvl="8">
      <w:start w:val="0"/>
      <w:numFmt w:val="bullet"/>
      <w:lvlText w:val="•"/>
      <w:lvlJc w:val="left"/>
      <w:pPr>
        <w:ind w:left="12519" w:hanging="1164"/>
      </w:pPr>
      <w:rPr>
        <w:rFonts w:hint="default"/>
      </w:rPr>
    </w:lvl>
  </w:abstractNum>
  <w:abstractNum w:abstractNumId="9">
    <w:nsid w:val="3D2C29F2"/>
    <w:multiLevelType w:val="hybridMultilevel"/>
    <w:tmpl w:val="00000000"/>
    <w:lvl w:ilvl="0">
      <w:start w:val="1"/>
      <w:numFmt w:val="decimal"/>
      <w:lvlText w:val="（%1）"/>
      <w:lvlJc w:val="left"/>
      <w:pPr>
        <w:ind w:left="1320" w:hanging="1164"/>
        <w:jc w:val="left"/>
      </w:pPr>
      <w:rPr>
        <w:rFonts w:ascii="微软雅黑" w:eastAsia="微软雅黑" w:hAnsi="微软雅黑" w:cs="微软雅黑" w:hint="default"/>
        <w:spacing w:val="-2"/>
        <w:w w:val="100"/>
        <w:sz w:val="43"/>
        <w:szCs w:val="43"/>
      </w:rPr>
    </w:lvl>
    <w:lvl w:ilvl="1">
      <w:start w:val="0"/>
      <w:numFmt w:val="bullet"/>
      <w:lvlText w:val="•"/>
      <w:lvlJc w:val="left"/>
      <w:pPr>
        <w:ind w:left="2719" w:hanging="1164"/>
      </w:pPr>
      <w:rPr>
        <w:rFonts w:hint="default"/>
      </w:rPr>
    </w:lvl>
    <w:lvl w:ilvl="2">
      <w:start w:val="0"/>
      <w:numFmt w:val="bullet"/>
      <w:lvlText w:val="•"/>
      <w:lvlJc w:val="left"/>
      <w:pPr>
        <w:ind w:left="4119" w:hanging="1164"/>
      </w:pPr>
      <w:rPr>
        <w:rFonts w:hint="default"/>
      </w:rPr>
    </w:lvl>
    <w:lvl w:ilvl="3">
      <w:start w:val="0"/>
      <w:numFmt w:val="bullet"/>
      <w:lvlText w:val="•"/>
      <w:lvlJc w:val="left"/>
      <w:pPr>
        <w:ind w:left="5519" w:hanging="1164"/>
      </w:pPr>
      <w:rPr>
        <w:rFonts w:hint="default"/>
      </w:rPr>
    </w:lvl>
    <w:lvl w:ilvl="4">
      <w:start w:val="0"/>
      <w:numFmt w:val="bullet"/>
      <w:lvlText w:val="•"/>
      <w:lvlJc w:val="left"/>
      <w:pPr>
        <w:ind w:left="6919" w:hanging="1164"/>
      </w:pPr>
      <w:rPr>
        <w:rFonts w:hint="default"/>
      </w:rPr>
    </w:lvl>
    <w:lvl w:ilvl="5">
      <w:start w:val="0"/>
      <w:numFmt w:val="bullet"/>
      <w:lvlText w:val="•"/>
      <w:lvlJc w:val="left"/>
      <w:pPr>
        <w:ind w:left="8319" w:hanging="1164"/>
      </w:pPr>
      <w:rPr>
        <w:rFonts w:hint="default"/>
      </w:rPr>
    </w:lvl>
    <w:lvl w:ilvl="6">
      <w:start w:val="0"/>
      <w:numFmt w:val="bullet"/>
      <w:lvlText w:val="•"/>
      <w:lvlJc w:val="left"/>
      <w:pPr>
        <w:ind w:left="9719" w:hanging="1164"/>
      </w:pPr>
      <w:rPr>
        <w:rFonts w:hint="default"/>
      </w:rPr>
    </w:lvl>
    <w:lvl w:ilvl="7">
      <w:start w:val="0"/>
      <w:numFmt w:val="bullet"/>
      <w:lvlText w:val="•"/>
      <w:lvlJc w:val="left"/>
      <w:pPr>
        <w:ind w:left="11119" w:hanging="1164"/>
      </w:pPr>
      <w:rPr>
        <w:rFonts w:hint="default"/>
      </w:rPr>
    </w:lvl>
    <w:lvl w:ilvl="8">
      <w:start w:val="0"/>
      <w:numFmt w:val="bullet"/>
      <w:lvlText w:val="•"/>
      <w:lvlJc w:val="left"/>
      <w:pPr>
        <w:ind w:left="12519" w:hanging="1164"/>
      </w:pPr>
      <w:rPr>
        <w:rFonts w:hint="default"/>
      </w:rPr>
    </w:lvl>
  </w:abstractNum>
  <w:abstractNum w:abstractNumId="10">
    <w:nsid w:val="5145EB0B"/>
    <w:multiLevelType w:val="hybridMultilevel"/>
    <w:tmpl w:val="00000000"/>
    <w:lvl w:ilvl="0">
      <w:start w:val="6"/>
      <w:numFmt w:val="decimal"/>
      <w:lvlText w:val="（%1）"/>
      <w:lvlJc w:val="left"/>
      <w:pPr>
        <w:ind w:left="1320" w:hanging="1164"/>
        <w:jc w:val="left"/>
      </w:pPr>
      <w:rPr>
        <w:rFonts w:ascii="微软雅黑" w:eastAsia="微软雅黑" w:hAnsi="微软雅黑" w:cs="微软雅黑" w:hint="default"/>
        <w:spacing w:val="-2"/>
        <w:w w:val="100"/>
        <w:sz w:val="43"/>
        <w:szCs w:val="43"/>
      </w:rPr>
    </w:lvl>
    <w:lvl w:ilvl="1">
      <w:start w:val="0"/>
      <w:numFmt w:val="bullet"/>
      <w:lvlText w:val="•"/>
      <w:lvlJc w:val="left"/>
      <w:pPr>
        <w:ind w:left="2719" w:hanging="1164"/>
      </w:pPr>
      <w:rPr>
        <w:rFonts w:hint="default"/>
      </w:rPr>
    </w:lvl>
    <w:lvl w:ilvl="2">
      <w:start w:val="0"/>
      <w:numFmt w:val="bullet"/>
      <w:lvlText w:val="•"/>
      <w:lvlJc w:val="left"/>
      <w:pPr>
        <w:ind w:left="4119" w:hanging="1164"/>
      </w:pPr>
      <w:rPr>
        <w:rFonts w:hint="default"/>
      </w:rPr>
    </w:lvl>
    <w:lvl w:ilvl="3">
      <w:start w:val="0"/>
      <w:numFmt w:val="bullet"/>
      <w:lvlText w:val="•"/>
      <w:lvlJc w:val="left"/>
      <w:pPr>
        <w:ind w:left="5519" w:hanging="1164"/>
      </w:pPr>
      <w:rPr>
        <w:rFonts w:hint="default"/>
      </w:rPr>
    </w:lvl>
    <w:lvl w:ilvl="4">
      <w:start w:val="0"/>
      <w:numFmt w:val="bullet"/>
      <w:lvlText w:val="•"/>
      <w:lvlJc w:val="left"/>
      <w:pPr>
        <w:ind w:left="6919" w:hanging="1164"/>
      </w:pPr>
      <w:rPr>
        <w:rFonts w:hint="default"/>
      </w:rPr>
    </w:lvl>
    <w:lvl w:ilvl="5">
      <w:start w:val="0"/>
      <w:numFmt w:val="bullet"/>
      <w:lvlText w:val="•"/>
      <w:lvlJc w:val="left"/>
      <w:pPr>
        <w:ind w:left="8319" w:hanging="1164"/>
      </w:pPr>
      <w:rPr>
        <w:rFonts w:hint="default"/>
      </w:rPr>
    </w:lvl>
    <w:lvl w:ilvl="6">
      <w:start w:val="0"/>
      <w:numFmt w:val="bullet"/>
      <w:lvlText w:val="•"/>
      <w:lvlJc w:val="left"/>
      <w:pPr>
        <w:ind w:left="9719" w:hanging="1164"/>
      </w:pPr>
      <w:rPr>
        <w:rFonts w:hint="default"/>
      </w:rPr>
    </w:lvl>
    <w:lvl w:ilvl="7">
      <w:start w:val="0"/>
      <w:numFmt w:val="bullet"/>
      <w:lvlText w:val="•"/>
      <w:lvlJc w:val="left"/>
      <w:pPr>
        <w:ind w:left="11119" w:hanging="1164"/>
      </w:pPr>
      <w:rPr>
        <w:rFonts w:hint="default"/>
      </w:rPr>
    </w:lvl>
    <w:lvl w:ilvl="8">
      <w:start w:val="0"/>
      <w:numFmt w:val="bullet"/>
      <w:lvlText w:val="•"/>
      <w:lvlJc w:val="left"/>
      <w:pPr>
        <w:ind w:left="12519" w:hanging="1164"/>
      </w:pPr>
      <w:rPr>
        <w:rFonts w:hint="default"/>
      </w:rPr>
    </w:lvl>
  </w:abstractNum>
  <w:abstractNum w:abstractNumId="11">
    <w:nsid w:val="5A87548A"/>
    <w:multiLevelType w:val="hybridMultilevel"/>
    <w:tmpl w:val="00000000"/>
    <w:lvl w:ilvl="0">
      <w:start w:val="3"/>
      <w:numFmt w:val="decimal"/>
      <w:lvlText w:val="%1"/>
      <w:lvlJc w:val="left"/>
      <w:pPr>
        <w:ind w:left="1399" w:hanging="702"/>
        <w:jc w:val="left"/>
      </w:pPr>
      <w:rPr>
        <w:rFonts w:hint="default"/>
      </w:rPr>
    </w:lvl>
    <w:lvl w:ilvl="1">
      <w:start w:val="1"/>
      <w:numFmt w:val="decimal"/>
      <w:lvlText w:val="%1.%2"/>
      <w:lvlJc w:val="left"/>
      <w:pPr>
        <w:ind w:left="1399" w:hanging="702"/>
        <w:jc w:val="left"/>
      </w:pPr>
      <w:rPr>
        <w:rFonts w:ascii="微软雅黑" w:eastAsia="微软雅黑" w:hAnsi="微软雅黑" w:cs="微软雅黑" w:hint="default"/>
        <w:spacing w:val="-1"/>
        <w:w w:val="100"/>
        <w:sz w:val="42"/>
        <w:szCs w:val="42"/>
      </w:rPr>
    </w:lvl>
    <w:lvl w:ilvl="2">
      <w:start w:val="0"/>
      <w:numFmt w:val="bullet"/>
      <w:lvlText w:val="•"/>
      <w:lvlJc w:val="left"/>
      <w:pPr>
        <w:ind w:left="4183" w:hanging="702"/>
      </w:pPr>
      <w:rPr>
        <w:rFonts w:hint="default"/>
      </w:rPr>
    </w:lvl>
    <w:lvl w:ilvl="3">
      <w:start w:val="0"/>
      <w:numFmt w:val="bullet"/>
      <w:lvlText w:val="•"/>
      <w:lvlJc w:val="left"/>
      <w:pPr>
        <w:ind w:left="5575" w:hanging="702"/>
      </w:pPr>
      <w:rPr>
        <w:rFonts w:hint="default"/>
      </w:rPr>
    </w:lvl>
    <w:lvl w:ilvl="4">
      <w:start w:val="0"/>
      <w:numFmt w:val="bullet"/>
      <w:lvlText w:val="•"/>
      <w:lvlJc w:val="left"/>
      <w:pPr>
        <w:ind w:left="6967" w:hanging="702"/>
      </w:pPr>
      <w:rPr>
        <w:rFonts w:hint="default"/>
      </w:rPr>
    </w:lvl>
    <w:lvl w:ilvl="5">
      <w:start w:val="0"/>
      <w:numFmt w:val="bullet"/>
      <w:lvlText w:val="•"/>
      <w:lvlJc w:val="left"/>
      <w:pPr>
        <w:ind w:left="8359" w:hanging="702"/>
      </w:pPr>
      <w:rPr>
        <w:rFonts w:hint="default"/>
      </w:rPr>
    </w:lvl>
    <w:lvl w:ilvl="6">
      <w:start w:val="0"/>
      <w:numFmt w:val="bullet"/>
      <w:lvlText w:val="•"/>
      <w:lvlJc w:val="left"/>
      <w:pPr>
        <w:ind w:left="9751" w:hanging="702"/>
      </w:pPr>
      <w:rPr>
        <w:rFonts w:hint="default"/>
      </w:rPr>
    </w:lvl>
    <w:lvl w:ilvl="7">
      <w:start w:val="0"/>
      <w:numFmt w:val="bullet"/>
      <w:lvlText w:val="•"/>
      <w:lvlJc w:val="left"/>
      <w:pPr>
        <w:ind w:left="11143" w:hanging="702"/>
      </w:pPr>
      <w:rPr>
        <w:rFonts w:hint="default"/>
      </w:rPr>
    </w:lvl>
    <w:lvl w:ilvl="8">
      <w:start w:val="0"/>
      <w:numFmt w:val="bullet"/>
      <w:lvlText w:val="•"/>
      <w:lvlJc w:val="left"/>
      <w:pPr>
        <w:ind w:left="12535" w:hanging="702"/>
      </w:pPr>
      <w:rPr>
        <w:rFonts w:hint="default"/>
      </w:rPr>
    </w:lvl>
  </w:abstractNum>
  <w:abstractNum w:abstractNumId="12">
    <w:nsid w:val="5C1CEB4E"/>
    <w:multiLevelType w:val="hybridMultilevel"/>
    <w:tmpl w:val="00000000"/>
    <w:lvl w:ilvl="0">
      <w:start w:val="1"/>
      <w:numFmt w:val="decimal"/>
      <w:lvlText w:val="%1"/>
      <w:lvlJc w:val="left"/>
      <w:pPr>
        <w:ind w:left="1399" w:hanging="1242"/>
        <w:jc w:val="left"/>
      </w:pPr>
      <w:rPr>
        <w:rFonts w:ascii="微软雅黑" w:eastAsia="微软雅黑" w:hAnsi="微软雅黑" w:cs="微软雅黑" w:hint="default"/>
        <w:w w:val="100"/>
        <w:sz w:val="42"/>
        <w:szCs w:val="42"/>
      </w:rPr>
    </w:lvl>
    <w:lvl w:ilvl="1">
      <w:start w:val="0"/>
      <w:numFmt w:val="bullet"/>
      <w:lvlText w:val="•"/>
      <w:lvlJc w:val="left"/>
      <w:pPr>
        <w:ind w:left="2791" w:hanging="1242"/>
      </w:pPr>
      <w:rPr>
        <w:rFonts w:hint="default"/>
      </w:rPr>
    </w:lvl>
    <w:lvl w:ilvl="2">
      <w:start w:val="0"/>
      <w:numFmt w:val="bullet"/>
      <w:lvlText w:val="•"/>
      <w:lvlJc w:val="left"/>
      <w:pPr>
        <w:ind w:left="4183" w:hanging="1242"/>
      </w:pPr>
      <w:rPr>
        <w:rFonts w:hint="default"/>
      </w:rPr>
    </w:lvl>
    <w:lvl w:ilvl="3">
      <w:start w:val="0"/>
      <w:numFmt w:val="bullet"/>
      <w:lvlText w:val="•"/>
      <w:lvlJc w:val="left"/>
      <w:pPr>
        <w:ind w:left="5575" w:hanging="1242"/>
      </w:pPr>
      <w:rPr>
        <w:rFonts w:hint="default"/>
      </w:rPr>
    </w:lvl>
    <w:lvl w:ilvl="4">
      <w:start w:val="0"/>
      <w:numFmt w:val="bullet"/>
      <w:lvlText w:val="•"/>
      <w:lvlJc w:val="left"/>
      <w:pPr>
        <w:ind w:left="6967" w:hanging="1242"/>
      </w:pPr>
      <w:rPr>
        <w:rFonts w:hint="default"/>
      </w:rPr>
    </w:lvl>
    <w:lvl w:ilvl="5">
      <w:start w:val="0"/>
      <w:numFmt w:val="bullet"/>
      <w:lvlText w:val="•"/>
      <w:lvlJc w:val="left"/>
      <w:pPr>
        <w:ind w:left="8359" w:hanging="1242"/>
      </w:pPr>
      <w:rPr>
        <w:rFonts w:hint="default"/>
      </w:rPr>
    </w:lvl>
    <w:lvl w:ilvl="6">
      <w:start w:val="0"/>
      <w:numFmt w:val="bullet"/>
      <w:lvlText w:val="•"/>
      <w:lvlJc w:val="left"/>
      <w:pPr>
        <w:ind w:left="9751" w:hanging="1242"/>
      </w:pPr>
      <w:rPr>
        <w:rFonts w:hint="default"/>
      </w:rPr>
    </w:lvl>
    <w:lvl w:ilvl="7">
      <w:start w:val="0"/>
      <w:numFmt w:val="bullet"/>
      <w:lvlText w:val="•"/>
      <w:lvlJc w:val="left"/>
      <w:pPr>
        <w:ind w:left="11143" w:hanging="1242"/>
      </w:pPr>
      <w:rPr>
        <w:rFonts w:hint="default"/>
      </w:rPr>
    </w:lvl>
    <w:lvl w:ilvl="8">
      <w:start w:val="0"/>
      <w:numFmt w:val="bullet"/>
      <w:lvlText w:val="•"/>
      <w:lvlJc w:val="left"/>
      <w:pPr>
        <w:ind w:left="12535" w:hanging="1242"/>
      </w:pPr>
      <w:rPr>
        <w:rFonts w:hint="default"/>
      </w:rPr>
    </w:lvl>
  </w:abstractNum>
  <w:abstractNum w:abstractNumId="13">
    <w:nsid w:val="6927DFB1"/>
    <w:multiLevelType w:val="hybridMultilevel"/>
    <w:tmpl w:val="00000000"/>
    <w:lvl w:ilvl="0">
      <w:start w:val="1"/>
      <w:numFmt w:val="decimal"/>
      <w:lvlText w:val="（%1）"/>
      <w:lvlJc w:val="left"/>
      <w:pPr>
        <w:ind w:left="1320" w:hanging="1164"/>
        <w:jc w:val="left"/>
      </w:pPr>
      <w:rPr>
        <w:rFonts w:ascii="微软雅黑" w:eastAsia="微软雅黑" w:hAnsi="微软雅黑" w:cs="微软雅黑" w:hint="default"/>
        <w:spacing w:val="-2"/>
        <w:w w:val="100"/>
        <w:sz w:val="43"/>
        <w:szCs w:val="43"/>
      </w:rPr>
    </w:lvl>
    <w:lvl w:ilvl="1">
      <w:start w:val="0"/>
      <w:numFmt w:val="bullet"/>
      <w:lvlText w:val="•"/>
      <w:lvlJc w:val="left"/>
      <w:pPr>
        <w:ind w:left="2719" w:hanging="1164"/>
      </w:pPr>
      <w:rPr>
        <w:rFonts w:hint="default"/>
      </w:rPr>
    </w:lvl>
    <w:lvl w:ilvl="2">
      <w:start w:val="0"/>
      <w:numFmt w:val="bullet"/>
      <w:lvlText w:val="•"/>
      <w:lvlJc w:val="left"/>
      <w:pPr>
        <w:ind w:left="4119" w:hanging="1164"/>
      </w:pPr>
      <w:rPr>
        <w:rFonts w:hint="default"/>
      </w:rPr>
    </w:lvl>
    <w:lvl w:ilvl="3">
      <w:start w:val="0"/>
      <w:numFmt w:val="bullet"/>
      <w:lvlText w:val="•"/>
      <w:lvlJc w:val="left"/>
      <w:pPr>
        <w:ind w:left="5519" w:hanging="1164"/>
      </w:pPr>
      <w:rPr>
        <w:rFonts w:hint="default"/>
      </w:rPr>
    </w:lvl>
    <w:lvl w:ilvl="4">
      <w:start w:val="0"/>
      <w:numFmt w:val="bullet"/>
      <w:lvlText w:val="•"/>
      <w:lvlJc w:val="left"/>
      <w:pPr>
        <w:ind w:left="6919" w:hanging="1164"/>
      </w:pPr>
      <w:rPr>
        <w:rFonts w:hint="default"/>
      </w:rPr>
    </w:lvl>
    <w:lvl w:ilvl="5">
      <w:start w:val="0"/>
      <w:numFmt w:val="bullet"/>
      <w:lvlText w:val="•"/>
      <w:lvlJc w:val="left"/>
      <w:pPr>
        <w:ind w:left="8319" w:hanging="1164"/>
      </w:pPr>
      <w:rPr>
        <w:rFonts w:hint="default"/>
      </w:rPr>
    </w:lvl>
    <w:lvl w:ilvl="6">
      <w:start w:val="0"/>
      <w:numFmt w:val="bullet"/>
      <w:lvlText w:val="•"/>
      <w:lvlJc w:val="left"/>
      <w:pPr>
        <w:ind w:left="9719" w:hanging="1164"/>
      </w:pPr>
      <w:rPr>
        <w:rFonts w:hint="default"/>
      </w:rPr>
    </w:lvl>
    <w:lvl w:ilvl="7">
      <w:start w:val="0"/>
      <w:numFmt w:val="bullet"/>
      <w:lvlText w:val="•"/>
      <w:lvlJc w:val="left"/>
      <w:pPr>
        <w:ind w:left="11119" w:hanging="1164"/>
      </w:pPr>
      <w:rPr>
        <w:rFonts w:hint="default"/>
      </w:rPr>
    </w:lvl>
    <w:lvl w:ilvl="8">
      <w:start w:val="0"/>
      <w:numFmt w:val="bullet"/>
      <w:lvlText w:val="•"/>
      <w:lvlJc w:val="left"/>
      <w:pPr>
        <w:ind w:left="12519" w:hanging="1164"/>
      </w:pPr>
      <w:rPr>
        <w:rFonts w:hint="default"/>
      </w:rPr>
    </w:lvl>
  </w:abstractNum>
  <w:abstractNum w:abstractNumId="14">
    <w:nsid w:val="6D044FB6"/>
    <w:multiLevelType w:val="hybridMultilevel"/>
    <w:tmpl w:val="00000000"/>
    <w:lvl w:ilvl="0">
      <w:start w:val="10"/>
      <w:numFmt w:val="decimal"/>
      <w:lvlText w:val="%1"/>
      <w:lvlJc w:val="left"/>
      <w:pPr>
        <w:ind w:left="777" w:hanging="778"/>
        <w:jc w:val="left"/>
      </w:pPr>
      <w:rPr>
        <w:rFonts w:ascii="微软雅黑" w:eastAsia="微软雅黑" w:hAnsi="微软雅黑" w:cs="微软雅黑" w:hint="default"/>
        <w:spacing w:val="-1"/>
        <w:w w:val="100"/>
        <w:sz w:val="42"/>
        <w:szCs w:val="42"/>
      </w:rPr>
    </w:lvl>
    <w:lvl w:ilvl="1">
      <w:start w:val="0"/>
      <w:numFmt w:val="bullet"/>
      <w:lvlText w:val="•"/>
      <w:lvlJc w:val="left"/>
      <w:pPr>
        <w:ind w:left="1032" w:hanging="778"/>
      </w:pPr>
      <w:rPr>
        <w:rFonts w:hint="default"/>
      </w:rPr>
    </w:lvl>
    <w:lvl w:ilvl="2">
      <w:start w:val="0"/>
      <w:numFmt w:val="bullet"/>
      <w:lvlText w:val="•"/>
      <w:lvlJc w:val="left"/>
      <w:pPr>
        <w:ind w:left="1284" w:hanging="778"/>
      </w:pPr>
      <w:rPr>
        <w:rFonts w:hint="default"/>
      </w:rPr>
    </w:lvl>
    <w:lvl w:ilvl="3">
      <w:start w:val="0"/>
      <w:numFmt w:val="bullet"/>
      <w:lvlText w:val="•"/>
      <w:lvlJc w:val="left"/>
      <w:pPr>
        <w:ind w:left="1536" w:hanging="778"/>
      </w:pPr>
      <w:rPr>
        <w:rFonts w:hint="default"/>
      </w:rPr>
    </w:lvl>
    <w:lvl w:ilvl="4">
      <w:start w:val="0"/>
      <w:numFmt w:val="bullet"/>
      <w:lvlText w:val="•"/>
      <w:lvlJc w:val="left"/>
      <w:pPr>
        <w:ind w:left="1789" w:hanging="778"/>
      </w:pPr>
      <w:rPr>
        <w:rFonts w:hint="default"/>
      </w:rPr>
    </w:lvl>
    <w:lvl w:ilvl="5">
      <w:start w:val="0"/>
      <w:numFmt w:val="bullet"/>
      <w:lvlText w:val="•"/>
      <w:lvlJc w:val="left"/>
      <w:pPr>
        <w:ind w:left="2041" w:hanging="778"/>
      </w:pPr>
      <w:rPr>
        <w:rFonts w:hint="default"/>
      </w:rPr>
    </w:lvl>
    <w:lvl w:ilvl="6">
      <w:start w:val="0"/>
      <w:numFmt w:val="bullet"/>
      <w:lvlText w:val="•"/>
      <w:lvlJc w:val="left"/>
      <w:pPr>
        <w:ind w:left="2293" w:hanging="778"/>
      </w:pPr>
      <w:rPr>
        <w:rFonts w:hint="default"/>
      </w:rPr>
    </w:lvl>
    <w:lvl w:ilvl="7">
      <w:start w:val="0"/>
      <w:numFmt w:val="bullet"/>
      <w:lvlText w:val="•"/>
      <w:lvlJc w:val="left"/>
      <w:pPr>
        <w:ind w:left="2546" w:hanging="778"/>
      </w:pPr>
      <w:rPr>
        <w:rFonts w:hint="default"/>
      </w:rPr>
    </w:lvl>
    <w:lvl w:ilvl="8">
      <w:start w:val="0"/>
      <w:numFmt w:val="bullet"/>
      <w:lvlText w:val="•"/>
      <w:lvlJc w:val="left"/>
      <w:pPr>
        <w:ind w:left="2798" w:hanging="778"/>
      </w:pPr>
      <w:rPr>
        <w:rFonts w:hint="default"/>
      </w:rPr>
    </w:lvl>
  </w:abstractNum>
  <w:abstractNum w:abstractNumId="15">
    <w:nsid w:val="779743FD"/>
    <w:multiLevelType w:val="hybridMultilevel"/>
    <w:tmpl w:val="00000000"/>
    <w:lvl w:ilvl="0">
      <w:start w:val="2"/>
      <w:numFmt w:val="decimal"/>
      <w:lvlText w:val="（%1）"/>
      <w:lvlJc w:val="left"/>
      <w:pPr>
        <w:ind w:left="1090" w:hanging="934"/>
        <w:jc w:val="left"/>
      </w:pPr>
      <w:rPr>
        <w:rFonts w:ascii="微软雅黑" w:eastAsia="微软雅黑" w:hAnsi="微软雅黑" w:cs="微软雅黑" w:hint="default"/>
        <w:spacing w:val="-1"/>
        <w:w w:val="100"/>
        <w:sz w:val="34"/>
        <w:szCs w:val="34"/>
      </w:rPr>
    </w:lvl>
    <w:lvl w:ilvl="1">
      <w:start w:val="0"/>
      <w:numFmt w:val="bullet"/>
      <w:lvlText w:val="•"/>
      <w:lvlJc w:val="left"/>
      <w:pPr>
        <w:ind w:left="2521" w:hanging="934"/>
      </w:pPr>
      <w:rPr>
        <w:rFonts w:hint="default"/>
      </w:rPr>
    </w:lvl>
    <w:lvl w:ilvl="2">
      <w:start w:val="0"/>
      <w:numFmt w:val="bullet"/>
      <w:lvlText w:val="•"/>
      <w:lvlJc w:val="left"/>
      <w:pPr>
        <w:ind w:left="3943" w:hanging="934"/>
      </w:pPr>
      <w:rPr>
        <w:rFonts w:hint="default"/>
      </w:rPr>
    </w:lvl>
    <w:lvl w:ilvl="3">
      <w:start w:val="0"/>
      <w:numFmt w:val="bullet"/>
      <w:lvlText w:val="•"/>
      <w:lvlJc w:val="left"/>
      <w:pPr>
        <w:ind w:left="5365" w:hanging="934"/>
      </w:pPr>
      <w:rPr>
        <w:rFonts w:hint="default"/>
      </w:rPr>
    </w:lvl>
    <w:lvl w:ilvl="4">
      <w:start w:val="0"/>
      <w:numFmt w:val="bullet"/>
      <w:lvlText w:val="•"/>
      <w:lvlJc w:val="left"/>
      <w:pPr>
        <w:ind w:left="6787" w:hanging="934"/>
      </w:pPr>
      <w:rPr>
        <w:rFonts w:hint="default"/>
      </w:rPr>
    </w:lvl>
    <w:lvl w:ilvl="5">
      <w:start w:val="0"/>
      <w:numFmt w:val="bullet"/>
      <w:lvlText w:val="•"/>
      <w:lvlJc w:val="left"/>
      <w:pPr>
        <w:ind w:left="8209" w:hanging="934"/>
      </w:pPr>
      <w:rPr>
        <w:rFonts w:hint="default"/>
      </w:rPr>
    </w:lvl>
    <w:lvl w:ilvl="6">
      <w:start w:val="0"/>
      <w:numFmt w:val="bullet"/>
      <w:lvlText w:val="•"/>
      <w:lvlJc w:val="left"/>
      <w:pPr>
        <w:ind w:left="9631" w:hanging="934"/>
      </w:pPr>
      <w:rPr>
        <w:rFonts w:hint="default"/>
      </w:rPr>
    </w:lvl>
    <w:lvl w:ilvl="7">
      <w:start w:val="0"/>
      <w:numFmt w:val="bullet"/>
      <w:lvlText w:val="•"/>
      <w:lvlJc w:val="left"/>
      <w:pPr>
        <w:ind w:left="11053" w:hanging="934"/>
      </w:pPr>
      <w:rPr>
        <w:rFonts w:hint="default"/>
      </w:rPr>
    </w:lvl>
    <w:lvl w:ilvl="8">
      <w:start w:val="0"/>
      <w:numFmt w:val="bullet"/>
      <w:lvlText w:val="•"/>
      <w:lvlJc w:val="left"/>
      <w:pPr>
        <w:ind w:left="12475" w:hanging="934"/>
      </w:pPr>
      <w:rPr>
        <w:rFonts w:hint="default"/>
      </w:rPr>
    </w:lvl>
  </w:abstractNum>
  <w:abstractNum w:abstractNumId="16">
    <w:nsid w:val="7C050BCA"/>
    <w:multiLevelType w:val="hybridMultilevel"/>
    <w:tmpl w:val="00000000"/>
    <w:lvl w:ilvl="0">
      <w:start w:val="8"/>
      <w:numFmt w:val="decimal"/>
      <w:lvlText w:val="%1"/>
      <w:lvlJc w:val="left"/>
      <w:pPr>
        <w:ind w:left="1399" w:hanging="1242"/>
        <w:jc w:val="left"/>
      </w:pPr>
      <w:rPr>
        <w:rFonts w:ascii="微软雅黑" w:eastAsia="微软雅黑" w:hAnsi="微软雅黑" w:cs="微软雅黑" w:hint="default"/>
        <w:w w:val="100"/>
        <w:sz w:val="42"/>
        <w:szCs w:val="42"/>
      </w:rPr>
    </w:lvl>
    <w:lvl w:ilvl="1">
      <w:start w:val="0"/>
      <w:numFmt w:val="bullet"/>
      <w:lvlText w:val="•"/>
      <w:lvlJc w:val="left"/>
      <w:pPr>
        <w:ind w:left="2791" w:hanging="1242"/>
      </w:pPr>
      <w:rPr>
        <w:rFonts w:hint="default"/>
      </w:rPr>
    </w:lvl>
    <w:lvl w:ilvl="2">
      <w:start w:val="0"/>
      <w:numFmt w:val="bullet"/>
      <w:lvlText w:val="•"/>
      <w:lvlJc w:val="left"/>
      <w:pPr>
        <w:ind w:left="4183" w:hanging="1242"/>
      </w:pPr>
      <w:rPr>
        <w:rFonts w:hint="default"/>
      </w:rPr>
    </w:lvl>
    <w:lvl w:ilvl="3">
      <w:start w:val="0"/>
      <w:numFmt w:val="bullet"/>
      <w:lvlText w:val="•"/>
      <w:lvlJc w:val="left"/>
      <w:pPr>
        <w:ind w:left="5575" w:hanging="1242"/>
      </w:pPr>
      <w:rPr>
        <w:rFonts w:hint="default"/>
      </w:rPr>
    </w:lvl>
    <w:lvl w:ilvl="4">
      <w:start w:val="0"/>
      <w:numFmt w:val="bullet"/>
      <w:lvlText w:val="•"/>
      <w:lvlJc w:val="left"/>
      <w:pPr>
        <w:ind w:left="6967" w:hanging="1242"/>
      </w:pPr>
      <w:rPr>
        <w:rFonts w:hint="default"/>
      </w:rPr>
    </w:lvl>
    <w:lvl w:ilvl="5">
      <w:start w:val="0"/>
      <w:numFmt w:val="bullet"/>
      <w:lvlText w:val="•"/>
      <w:lvlJc w:val="left"/>
      <w:pPr>
        <w:ind w:left="8359" w:hanging="1242"/>
      </w:pPr>
      <w:rPr>
        <w:rFonts w:hint="default"/>
      </w:rPr>
    </w:lvl>
    <w:lvl w:ilvl="6">
      <w:start w:val="0"/>
      <w:numFmt w:val="bullet"/>
      <w:lvlText w:val="•"/>
      <w:lvlJc w:val="left"/>
      <w:pPr>
        <w:ind w:left="9751" w:hanging="1242"/>
      </w:pPr>
      <w:rPr>
        <w:rFonts w:hint="default"/>
      </w:rPr>
    </w:lvl>
    <w:lvl w:ilvl="7">
      <w:start w:val="0"/>
      <w:numFmt w:val="bullet"/>
      <w:lvlText w:val="•"/>
      <w:lvlJc w:val="left"/>
      <w:pPr>
        <w:ind w:left="11143" w:hanging="1242"/>
      </w:pPr>
      <w:rPr>
        <w:rFonts w:hint="default"/>
      </w:rPr>
    </w:lvl>
    <w:lvl w:ilvl="8">
      <w:start w:val="0"/>
      <w:numFmt w:val="bullet"/>
      <w:lvlText w:val="•"/>
      <w:lvlJc w:val="left"/>
      <w:pPr>
        <w:ind w:left="12535" w:hanging="1242"/>
      </w:pPr>
      <w:rPr>
        <w:rFonts w:hint="default"/>
      </w:rPr>
    </w:lvl>
  </w:abstractNum>
  <w:num w:numId="1">
    <w:abstractNumId w:val="6"/>
  </w:num>
  <w:num w:numId="2">
    <w:abstractNumId w:val="15"/>
  </w:num>
  <w:num w:numId="3">
    <w:abstractNumId w:val="7"/>
  </w:num>
  <w:num w:numId="4">
    <w:abstractNumId w:val="0"/>
  </w:num>
  <w:num w:numId="5">
    <w:abstractNumId w:val="1"/>
  </w:num>
  <w:num w:numId="6">
    <w:abstractNumId w:val="14"/>
  </w:num>
  <w:num w:numId="7">
    <w:abstractNumId w:val="4"/>
  </w:num>
  <w:num w:numId="8">
    <w:abstractNumId w:val="3"/>
  </w:num>
  <w:num w:numId="9">
    <w:abstractNumId w:val="11"/>
  </w:num>
  <w:num w:numId="10">
    <w:abstractNumId w:val="13"/>
  </w:num>
  <w:num w:numId="11">
    <w:abstractNumId w:val="9"/>
  </w:num>
  <w:num w:numId="12">
    <w:abstractNumId w:val="10"/>
  </w:num>
  <w:num w:numId="13">
    <w:abstractNumId w:val="8"/>
  </w:num>
  <w:num w:numId="14">
    <w:abstractNumId w:val="16"/>
  </w:num>
  <w:num w:numId="15">
    <w:abstractNumId w:val="2"/>
  </w:num>
  <w:num w:numId="16">
    <w:abstractNumId w:val="12"/>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spacing w:line="885" w:lineRule="exact"/>
      <w:ind w:left="157"/>
      <w:outlineLvl w:val="0"/>
    </w:pPr>
    <w:rPr>
      <w:rFonts w:ascii="微软雅黑" w:eastAsia="微软雅黑" w:hAnsi="微软雅黑" w:cs="微软雅黑"/>
      <w:sz w:val="78"/>
      <w:szCs w:val="78"/>
    </w:rPr>
  </w:style>
  <w:style w:type="paragraph" w:styleId="Heading2">
    <w:name w:val="heading 2"/>
    <w:basedOn w:val="Normal"/>
    <w:uiPriority w:val="1"/>
    <w:qFormat/>
    <w:pPr>
      <w:spacing w:line="815" w:lineRule="exact"/>
      <w:ind w:left="157"/>
      <w:outlineLvl w:val="1"/>
    </w:pPr>
    <w:rPr>
      <w:rFonts w:ascii="微软雅黑" w:eastAsia="微软雅黑" w:hAnsi="微软雅黑" w:cs="微软雅黑"/>
      <w:b/>
      <w:bCs/>
      <w:sz w:val="54"/>
      <w:szCs w:val="54"/>
    </w:rPr>
  </w:style>
  <w:style w:type="paragraph" w:styleId="Heading3">
    <w:name w:val="heading 3"/>
    <w:basedOn w:val="Normal"/>
    <w:uiPriority w:val="1"/>
    <w:qFormat/>
    <w:pPr>
      <w:spacing w:line="667" w:lineRule="exact"/>
      <w:ind w:left="157"/>
      <w:outlineLvl w:val="2"/>
    </w:pPr>
    <w:rPr>
      <w:rFonts w:ascii="微软雅黑" w:eastAsia="微软雅黑" w:hAnsi="微软雅黑" w:cs="微软雅黑"/>
      <w:sz w:val="54"/>
      <w:szCs w:val="54"/>
    </w:rPr>
  </w:style>
  <w:style w:type="paragraph" w:styleId="Heading4">
    <w:name w:val="heading 4"/>
    <w:basedOn w:val="Normal"/>
    <w:uiPriority w:val="1"/>
    <w:qFormat/>
    <w:pPr>
      <w:spacing w:before="107"/>
      <w:ind w:left="157"/>
      <w:outlineLvl w:val="3"/>
    </w:pPr>
    <w:rPr>
      <w:rFonts w:ascii="微软雅黑" w:eastAsia="微软雅黑" w:hAnsi="微软雅黑" w:cs="微软雅黑"/>
      <w:b/>
      <w:bCs/>
      <w:sz w:val="45"/>
      <w:szCs w:val="45"/>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微软雅黑" w:eastAsia="微软雅黑" w:hAnsi="微软雅黑" w:cs="微软雅黑"/>
      <w:sz w:val="45"/>
      <w:szCs w:val="45"/>
    </w:rPr>
  </w:style>
  <w:style w:type="paragraph" w:styleId="Title">
    <w:name w:val="Title"/>
    <w:basedOn w:val="Normal"/>
    <w:uiPriority w:val="1"/>
    <w:qFormat/>
    <w:pPr>
      <w:spacing w:line="2658" w:lineRule="exact"/>
      <w:ind w:left="157"/>
    </w:pPr>
    <w:rPr>
      <w:rFonts w:ascii="微软雅黑" w:eastAsia="微软雅黑" w:hAnsi="微软雅黑" w:cs="微软雅黑"/>
      <w:sz w:val="168"/>
      <w:szCs w:val="168"/>
    </w:rPr>
  </w:style>
  <w:style w:type="paragraph" w:styleId="ListParagraph">
    <w:name w:val="List Paragraph"/>
    <w:basedOn w:val="Normal"/>
    <w:uiPriority w:val="1"/>
    <w:qFormat/>
    <w:pPr>
      <w:ind w:left="157"/>
    </w:pPr>
    <w:rPr>
      <w:rFonts w:ascii="微软雅黑" w:eastAsia="微软雅黑" w:hAnsi="微软雅黑" w:cs="微软雅黑"/>
    </w:rPr>
  </w:style>
  <w:style w:type="paragraph" w:customStyle="1" w:styleId="TableParagraph">
    <w:name w:val="Table Paragraph"/>
    <w:basedOn w:val="Normal"/>
    <w:uiPriority w:val="1"/>
    <w:qFormat/>
    <w:rPr>
      <w:rFonts w:ascii="微软雅黑" w:eastAsia="微软雅黑" w:hAnsi="微软雅黑" w:cs="微软雅黑"/>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d.book118.com/427061110123006042"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2024-01-27T09:37:59Z</dcterms:created>
  <dcterms:modified xsi:type="dcterms:W3CDTF">2024-01-27T09:37:59Z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2022-11-26T00:00:00Z</vt:filetime>
  </property>
  <property fmtid="{D5CDD505-2E9C-101B-9397-08002B2CF9AE}" pid="3" name="LastSaved">
    <vt:filetime>2024-01-27T00:00:00Z</vt:filetime>
  </property>
</Properties>
</file>