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tbl>
      <w:tblPr>
        <w:tblStyle w:val="TableNormal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40"/>
        <w:gridCol w:w="2564"/>
        <w:gridCol w:w="980"/>
        <w:gridCol w:w="6272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51"/>
        </w:trPr>
        <w:tc>
          <w:tcPr>
            <w:tcW w:w="10756" w:type="dxa"/>
            <w:gridSpan w:val="4"/>
            <w:shd w:val="clear" w:color="auto" w:fill="4F81BD"/>
            <w:vAlign w:val="top"/>
          </w:tcPr>
          <w:p>
            <w:pPr>
              <w:pStyle w:val="TableText"/>
              <w:spacing w:before="108" w:line="221" w:lineRule="auto"/>
              <w:ind w:left="127"/>
              <w:rPr>
                <w:sz w:val="43"/>
                <w:szCs w:val="43"/>
              </w:rPr>
            </w:pPr>
            <w:r>
              <w:rPr>
                <w:color w:val="FFFFFF"/>
                <w:spacing w:val="9"/>
                <w:sz w:val="43"/>
                <w:szCs w:val="43"/>
                <w14:textOutline w14:w="7968">
                  <w14:solidFill>
                    <w14:srgbClr w14:val="FFFFFF"/>
                  </w14:solidFill>
                  <w14:prstDash w14:val="solid"/>
                  <w14:round/>
                </w14:textOutline>
              </w:rPr>
              <w:t>传媒行业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652"/>
        </w:trPr>
        <w:tc>
          <w:tcPr>
            <w:tcW w:w="10756" w:type="dxa"/>
            <w:gridSpan w:val="4"/>
            <w:shd w:val="clear" w:color="auto" w:fill="DEDFEF"/>
            <w:vAlign w:val="top"/>
          </w:tcPr>
          <w:p>
            <w:pPr>
              <w:pStyle w:val="TableText"/>
              <w:spacing w:before="147" w:line="212" w:lineRule="auto"/>
              <w:ind w:left="6321"/>
              <w:rPr>
                <w:sz w:val="36"/>
                <w:szCs w:val="36"/>
              </w:rPr>
            </w:pPr>
            <w:r>
              <w:rPr>
                <w:color w:val="1F497D"/>
                <w:spacing w:val="-4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向</w:t>
            </w:r>
            <w:r>
              <w:rPr>
                <w:color w:val="1F497D"/>
                <w:spacing w:val="-61"/>
                <w:sz w:val="36"/>
                <w:szCs w:val="36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4"/>
                <w:sz w:val="36"/>
                <w:szCs w:val="36"/>
              </w:rPr>
              <w:t xml:space="preserve">MR </w:t>
            </w:r>
            <w:r>
              <w:rPr>
                <w:color w:val="1F497D"/>
                <w:spacing w:val="-4"/>
                <w:sz w:val="36"/>
                <w:szCs w:val="36"/>
                <w14:textOutline w14:w="65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迈进，期待行业突破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1705"/>
        </w:trPr>
        <w:tc>
          <w:tcPr>
            <w:tcW w:w="940" w:type="dxa"/>
            <w:vAlign w:val="top"/>
          </w:tcPr>
          <w:p>
            <w:pPr>
              <w:pStyle w:val="TableText"/>
              <w:spacing w:before="117" w:line="217" w:lineRule="auto"/>
              <w:ind w:left="181"/>
              <w:rPr>
                <w:sz w:val="18"/>
                <w:szCs w:val="18"/>
              </w:rPr>
            </w:pPr>
            <w:r>
              <w:rPr>
                <w:color w:val="1F497D"/>
                <w:spacing w:val="-10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</w:p>
          <w:p>
            <w:pPr>
              <w:spacing w:before="213" w:line="306" w:lineRule="exact"/>
              <w:ind w:firstLine="329"/>
            </w:pPr>
            <w:r>
              <w:rPr>
                <w:position w:val="-6"/>
              </w:rPr>
              <w:drawing>
                <wp:inline distT="0" distB="0" distL="0" distR="0">
                  <wp:extent cx="219075" cy="194729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93" w:line="603" w:lineRule="exact"/>
              <w:ind w:firstLine="329"/>
            </w:pPr>
            <w:r>
              <w:rPr>
                <w:position w:val="-12"/>
              </w:rPr>
              <w:drawing>
                <wp:inline distT="0" distB="0" distL="0" distR="0">
                  <wp:extent cx="219075" cy="38328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383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64" w:type="dxa"/>
            <w:vAlign w:val="top"/>
          </w:tcPr>
          <w:p>
            <w:pPr>
              <w:pStyle w:val="TableText"/>
              <w:spacing w:before="116" w:line="222" w:lineRule="auto"/>
              <w:ind w:left="192"/>
              <w:rPr>
                <w:sz w:val="18"/>
                <w:szCs w:val="18"/>
              </w:rPr>
            </w:pPr>
            <w:r>
              <w:rPr>
                <w:color w:val="1F497D"/>
                <w:spacing w:val="-5"/>
                <w:sz w:val="18"/>
                <w:szCs w:val="18"/>
              </w:rPr>
              <w:t>旷实</w:t>
            </w:r>
          </w:p>
          <w:p>
            <w:pPr>
              <w:pStyle w:val="TableText"/>
              <w:spacing w:before="125" w:line="346" w:lineRule="exact"/>
              <w:ind w:left="18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position w:val="15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42"/>
                <w:position w:val="15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position w:val="15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position w:val="15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position w:val="15"/>
                <w:sz w:val="15"/>
                <w:szCs w:val="15"/>
              </w:rPr>
              <w:t>S0260517030002</w:t>
            </w:r>
          </w:p>
          <w:p>
            <w:pPr>
              <w:spacing w:line="239" w:lineRule="auto"/>
              <w:ind w:left="180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5"/>
                <w:szCs w:val="15"/>
              </w:rPr>
              <w:t>SFC</w:t>
            </w:r>
            <w:r>
              <w:rPr>
                <w:rFonts w:ascii="Arial" w:eastAsia="Arial" w:hAnsi="Arial" w:cs="Arial"/>
                <w:color w:val="1F497D"/>
                <w:spacing w:val="53"/>
                <w:w w:val="102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  <w:sz w:val="15"/>
                <w:szCs w:val="15"/>
              </w:rPr>
              <w:t>CE.no:  BNV294</w:t>
            </w:r>
          </w:p>
          <w:p>
            <w:pPr>
              <w:spacing w:before="143" w:line="196" w:lineRule="auto"/>
              <w:ind w:left="181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010-59136610</w:t>
            </w:r>
          </w:p>
          <w:p>
            <w:pPr>
              <w:spacing w:before="152" w:line="199" w:lineRule="auto"/>
              <w:ind w:left="185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kuangshi@gf.com.cn</w:t>
            </w:r>
          </w:p>
        </w:tc>
        <w:tc>
          <w:tcPr>
            <w:tcW w:w="980" w:type="dxa"/>
            <w:vAlign w:val="top"/>
          </w:tcPr>
          <w:p>
            <w:pPr>
              <w:pStyle w:val="TableText"/>
              <w:spacing w:before="117" w:line="217" w:lineRule="auto"/>
              <w:ind w:left="220"/>
              <w:rPr>
                <w:sz w:val="18"/>
                <w:szCs w:val="18"/>
              </w:rPr>
            </w:pPr>
            <w:r>
              <w:rPr>
                <w:color w:val="1F497D"/>
                <w:spacing w:val="-10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</w:p>
          <w:p>
            <w:pPr>
              <w:spacing w:before="213" w:line="306" w:lineRule="exact"/>
              <w:ind w:firstLine="388"/>
            </w:pPr>
            <w:r>
              <w:rPr>
                <w:position w:val="-6"/>
              </w:rPr>
              <w:drawing>
                <wp:inline distT="0" distB="0" distL="0" distR="0">
                  <wp:extent cx="219075" cy="194729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94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70" w:lineRule="exact"/>
              <w:ind w:firstLine="388"/>
            </w:pPr>
            <w:r>
              <w:rPr>
                <w:position w:val="-5"/>
              </w:rPr>
              <w:drawing>
                <wp:inline distT="0" distB="0" distL="0" distR="0">
                  <wp:extent cx="219075" cy="17145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72" w:type="dxa"/>
            <w:vAlign w:val="top"/>
          </w:tcPr>
          <w:p>
            <w:pPr>
              <w:pStyle w:val="TableText"/>
              <w:spacing w:before="117" w:line="214" w:lineRule="auto"/>
              <w:ind w:left="189"/>
              <w:rPr>
                <w:sz w:val="18"/>
                <w:szCs w:val="18"/>
              </w:rPr>
            </w:pPr>
            <w:r>
              <w:rPr>
                <w:color w:val="1F497D"/>
                <w:spacing w:val="-4"/>
                <w:sz w:val="18"/>
                <w:szCs w:val="18"/>
              </w:rPr>
              <w:t>卢丝雨</w:t>
            </w:r>
          </w:p>
          <w:p>
            <w:pPr>
              <w:pStyle w:val="TableText"/>
              <w:spacing w:before="132" w:line="219" w:lineRule="auto"/>
              <w:ind w:left="182"/>
              <w:rPr>
                <w:rFonts w:ascii="Arial" w:eastAsia="Arial" w:hAnsi="Arial" w:cs="Arial"/>
                <w:sz w:val="15"/>
                <w:szCs w:val="15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SAC</w:t>
            </w:r>
            <w:r>
              <w:rPr>
                <w:rFonts w:ascii="Arial" w:eastAsia="Arial" w:hAnsi="Arial" w:cs="Arial"/>
                <w:color w:val="1F497D"/>
                <w:spacing w:val="42"/>
                <w:sz w:val="15"/>
                <w:szCs w:val="15"/>
              </w:rPr>
              <w:t xml:space="preserve"> </w:t>
            </w:r>
            <w:r>
              <w:rPr>
                <w:color w:val="1F497D"/>
                <w:spacing w:val="-4"/>
                <w:sz w:val="15"/>
                <w:szCs w:val="15"/>
              </w:rPr>
              <w:t>执证号：</w:t>
            </w:r>
            <w:r>
              <w:rPr>
                <w:color w:val="1F497D"/>
                <w:spacing w:val="-4"/>
                <w:sz w:val="15"/>
                <w:szCs w:val="1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  <w:sz w:val="15"/>
                <w:szCs w:val="15"/>
              </w:rPr>
              <w:t>S0260523070002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52" w:line="199" w:lineRule="auto"/>
              <w:ind w:left="186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8"/>
                <w:szCs w:val="18"/>
              </w:rPr>
              <w:t>lusiyu@gf.com.cn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255"/>
        </w:trPr>
        <w:tc>
          <w:tcPr>
            <w:tcW w:w="10756" w:type="dxa"/>
            <w:gridSpan w:val="4"/>
            <w:tcBorders>
              <w:bottom w:val="single" w:sz="2" w:space="0" w:color="1F497D"/>
            </w:tcBorders>
            <w:vAlign w:val="top"/>
          </w:tcPr>
          <w:p>
            <w:pPr>
              <w:pStyle w:val="TableText"/>
              <w:spacing w:before="61" w:line="227" w:lineRule="auto"/>
              <w:ind w:left="123"/>
              <w:rPr>
                <w:sz w:val="12"/>
                <w:szCs w:val="12"/>
              </w:rPr>
            </w:pPr>
            <w:r>
              <w:rPr>
                <w:color w:val="1F497D"/>
                <w:spacing w:val="9"/>
                <w:sz w:val="12"/>
                <w:szCs w:val="12"/>
              </w:rPr>
              <w:t>请注意，卢丝雨并非香港证券及期货事务监察委员会的注册持牌人，不可在香港从事受监管活动。</w:t>
            </w:r>
          </w:p>
        </w:tc>
      </w:tr>
    </w:tbl>
    <w:p>
      <w:pPr>
        <w:sectPr>
          <w:headerReference w:type="default" r:id="rId7"/>
          <w:footerReference w:type="default" r:id="rId8"/>
          <w:pgSz w:w="11907" w:h="16839"/>
          <w:pgMar w:top="1715" w:right="528" w:bottom="1727" w:left="621" w:header="691" w:footer="778" w:gutter="0"/>
          <w:cols w:space="708"/>
        </w:sectPr>
      </w:pPr>
    </w:p>
    <w:tbl>
      <w:tblPr>
        <w:tblStyle w:val="TableNormal0"/>
        <w:tblW w:w="1075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756"/>
      </w:tblGrid>
      <w:tr>
        <w:tblPrEx>
          <w:tblW w:w="1075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9331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231" w:line="221" w:lineRule="auto"/>
              <w:ind w:left="124"/>
              <w:rPr>
                <w:sz w:val="28"/>
                <w:szCs w:val="28"/>
              </w:rPr>
            </w:pPr>
            <w:r>
              <w:rPr>
                <w:color w:val="17365D"/>
                <w:sz w:val="28"/>
                <w:szCs w:val="28"/>
                <w14:textOutline w14:w="5094">
                  <w14:solidFill>
                    <w14:srgbClr w14:val="17365D"/>
                  </w14:solidFill>
                  <w14:prstDash w14:val="solid"/>
                  <w14:round/>
                </w14:textOutline>
              </w:rPr>
              <w:t>核心观点：</w:t>
            </w:r>
          </w:p>
          <w:p>
            <w:pPr>
              <w:pStyle w:val="TableText"/>
              <w:spacing w:before="185" w:line="279" w:lineRule="auto"/>
              <w:ind w:left="544" w:right="48" w:hanging="404"/>
            </w:pPr>
            <w:r>
              <w:rPr>
                <w:rFonts w:ascii="Arial" w:eastAsia="Arial" w:hAnsi="Arial" w:cs="Arial"/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b/>
                <w:bCs/>
                <w:color w:val="1F497D"/>
                <w:spacing w:val="11"/>
              </w:rPr>
              <w:t xml:space="preserve">   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</w:rPr>
              <w:t xml:space="preserve">VR </w:t>
            </w:r>
            <w:r>
              <w:rPr>
                <w:color w:val="1F497D"/>
                <w:spacing w:val="-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行业进入阶段性瓶颈期，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1"/>
              </w:rPr>
              <w:t xml:space="preserve">AR </w:t>
            </w:r>
            <w:r>
              <w:rPr>
                <w:color w:val="1F497D"/>
                <w:spacing w:val="-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发展较快</w:t>
            </w:r>
            <w:r>
              <w:rPr>
                <w:color w:val="1F497D"/>
                <w:spacing w:val="-1"/>
              </w:rPr>
              <w:t>。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2023 </w:t>
            </w:r>
            <w:r>
              <w:rPr>
                <w:color w:val="1F497D"/>
                <w:spacing w:val="-1"/>
              </w:rPr>
              <w:t>年全球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27"/>
                <w:w w:val="101"/>
              </w:rPr>
              <w:t xml:space="preserve"> </w:t>
            </w:r>
            <w:r>
              <w:rPr>
                <w:color w:val="1F497D"/>
                <w:spacing w:val="-2"/>
              </w:rPr>
              <w:t>头显出货量回落，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一方面，缺乏爆款消费级产品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7"/>
              </w:rPr>
              <w:t>刺激，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  <w:spacing w:val="-7"/>
              </w:rPr>
              <w:t>全球</w:t>
            </w:r>
            <w:r>
              <w:rPr>
                <w:color w:val="1F497D"/>
                <w:spacing w:val="-5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13"/>
              </w:rPr>
              <w:t xml:space="preserve"> </w:t>
            </w:r>
            <w:r>
              <w:rPr>
                <w:color w:val="1F497D"/>
                <w:spacing w:val="-7"/>
              </w:rPr>
              <w:t>头显销量低迷；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  <w:spacing w:val="-7"/>
              </w:rPr>
              <w:t>另一方面，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  <w:spacing w:val="-7"/>
              </w:rPr>
              <w:t>苹果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Vision P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ro </w:t>
            </w:r>
            <w:r>
              <w:rPr>
                <w:color w:val="1F497D"/>
                <w:spacing w:val="-8"/>
              </w:rPr>
              <w:t>提升市场预期，部分用户选择观望。</w:t>
            </w:r>
            <w:r>
              <w:rPr>
                <w:rFonts w:ascii="Arial" w:eastAsia="Arial" w:hAnsi="Arial" w:cs="Arial"/>
                <w:color w:val="1F497D"/>
                <w:spacing w:val="-8"/>
              </w:rPr>
              <w:t xml:space="preserve">VR </w:t>
            </w:r>
            <w:r>
              <w:rPr>
                <w:color w:val="1F497D"/>
                <w:spacing w:val="-8"/>
              </w:rPr>
              <w:t>行业正经历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转型，硬件性能边际提升速度放缓，厂商面临着价格和产品性能间平衡，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Meta Quest </w:t>
            </w:r>
            <w:r>
              <w:rPr>
                <w:color w:val="1F497D"/>
                <w:spacing w:val="-2"/>
              </w:rPr>
              <w:t>和</w:t>
            </w:r>
            <w:r>
              <w:rPr>
                <w:color w:val="1F497D"/>
                <w:spacing w:val="-38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P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ico </w:t>
            </w:r>
            <w:r>
              <w:rPr>
                <w:color w:val="1F497D"/>
                <w:spacing w:val="-3"/>
              </w:rPr>
              <w:t>代表消费级产品，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旨在为更广泛用户提供</w:t>
            </w:r>
            <w:r>
              <w:rPr>
                <w:color w:val="1F497D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52"/>
              </w:rPr>
              <w:t xml:space="preserve"> </w:t>
            </w:r>
            <w:r>
              <w:rPr>
                <w:color w:val="1F497D"/>
                <w:spacing w:val="-1"/>
              </w:rPr>
              <w:t>体验；苹果则代表了技术更领先的产品，但成本高昂限制其快速普及。</w:t>
            </w:r>
            <w:r>
              <w:rPr>
                <w:rFonts w:ascii="Arial" w:eastAsia="Arial" w:hAnsi="Arial" w:cs="Arial"/>
                <w:color w:val="1F497D"/>
                <w:spacing w:val="-1"/>
              </w:rPr>
              <w:t xml:space="preserve">VR  </w:t>
            </w:r>
            <w:r>
              <w:rPr>
                <w:color w:val="1F497D"/>
                <w:spacing w:val="-1"/>
              </w:rPr>
              <w:t>内容方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面，</w:t>
            </w:r>
            <w:r>
              <w:rPr>
                <w:color w:val="1F497D"/>
                <w:spacing w:val="-1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2023 </w:t>
            </w:r>
            <w:r>
              <w:rPr>
                <w:color w:val="1F497D"/>
                <w:spacing w:val="-3"/>
              </w:rPr>
              <w:t>年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Meta</w:t>
            </w:r>
            <w:r>
              <w:rPr>
                <w:rFonts w:ascii="Arial" w:eastAsia="Arial" w:hAnsi="Arial" w:cs="Arial"/>
                <w:color w:val="1F497D"/>
                <w:spacing w:val="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Quest </w:t>
            </w:r>
            <w:r>
              <w:rPr>
                <w:color w:val="1F497D"/>
                <w:spacing w:val="-3"/>
              </w:rPr>
              <w:t>应用商店月均收入有所下滑，但仍是最佳的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33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内容平台。根据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Meta</w:t>
            </w:r>
            <w:r>
              <w:rPr>
                <w:rFonts w:ascii="Arial" w:eastAsia="Arial" w:hAnsi="Arial" w:cs="Arial"/>
                <w:color w:val="1F497D"/>
                <w:spacing w:val="3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Connect </w:t>
            </w:r>
            <w:r>
              <w:rPr>
                <w:color w:val="1F497D"/>
                <w:spacing w:val="-3"/>
              </w:rPr>
              <w:t>发布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会，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2023 </w:t>
            </w:r>
            <w:r>
              <w:rPr>
                <w:color w:val="1F497D"/>
                <w:spacing w:val="-4"/>
              </w:rPr>
              <w:t>年</w:t>
            </w:r>
            <w:r>
              <w:rPr>
                <w:color w:val="1F497D"/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2-9</w:t>
            </w:r>
            <w:r>
              <w:rPr>
                <w:rFonts w:ascii="Arial" w:eastAsia="Arial" w:hAnsi="Arial" w:cs="Arial"/>
                <w:color w:val="1F497D"/>
                <w:spacing w:val="19"/>
                <w:w w:val="101"/>
              </w:rPr>
              <w:t xml:space="preserve"> </w:t>
            </w:r>
            <w:r>
              <w:rPr>
                <w:color w:val="1F497D"/>
                <w:spacing w:val="-4"/>
              </w:rPr>
              <w:t>月商店月均收入约为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4167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4"/>
              </w:rPr>
              <w:t>万美元，较</w:t>
            </w:r>
            <w:r>
              <w:rPr>
                <w:color w:val="1F497D"/>
                <w:spacing w:val="-3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2022</w:t>
            </w:r>
            <w:r>
              <w:rPr>
                <w:rFonts w:ascii="Arial" w:eastAsia="Arial" w:hAnsi="Arial" w:cs="Arial"/>
                <w:color w:val="1F497D"/>
                <w:spacing w:val="32"/>
              </w:rPr>
              <w:t xml:space="preserve"> </w:t>
            </w:r>
            <w:r>
              <w:rPr>
                <w:color w:val="1F497D"/>
                <w:spacing w:val="-4"/>
              </w:rPr>
              <w:t>同期月均约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6000</w:t>
            </w:r>
            <w:r>
              <w:rPr>
                <w:rFonts w:ascii="Arial" w:eastAsia="Arial" w:hAnsi="Arial" w:cs="Arial"/>
                <w:color w:val="1F497D"/>
                <w:spacing w:val="18"/>
              </w:rPr>
              <w:t xml:space="preserve"> </w:t>
            </w:r>
            <w:r>
              <w:rPr>
                <w:color w:val="1F497D"/>
                <w:spacing w:val="-4"/>
              </w:rPr>
              <w:t>万美元有所下滑，但</w:t>
            </w:r>
            <w:r>
              <w:rPr>
                <w:color w:val="1F497D"/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Quest</w:t>
            </w:r>
            <w:r>
              <w:rPr>
                <w:rFonts w:ascii="Arial" w:eastAsia="Arial" w:hAnsi="Arial" w:cs="Arial"/>
                <w:color w:val="1F497D"/>
                <w:spacing w:val="17"/>
              </w:rPr>
              <w:t xml:space="preserve"> </w:t>
            </w:r>
            <w:r>
              <w:rPr>
                <w:color w:val="1F497D"/>
                <w:spacing w:val="-4"/>
              </w:rPr>
              <w:t>商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店的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31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内容数量、均价、好评率都同比提升，说明</w:t>
            </w:r>
            <w:r>
              <w:rPr>
                <w:color w:val="1F497D"/>
                <w:spacing w:val="-5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VR </w:t>
            </w:r>
            <w:r>
              <w:rPr>
                <w:color w:val="1F497D"/>
                <w:spacing w:val="-3"/>
              </w:rPr>
              <w:t>应用的质量以及用户认可度都有提升。</w:t>
            </w:r>
            <w:r>
              <w:rPr>
                <w:color w:val="1F497D"/>
                <w:spacing w:val="-4"/>
              </w:rPr>
              <w:t>而国内</w:t>
            </w:r>
            <w:r>
              <w:rPr>
                <w:color w:val="1F497D"/>
                <w:spacing w:val="-5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VR </w:t>
            </w:r>
            <w:r>
              <w:rPr>
                <w:color w:val="1F497D"/>
                <w:spacing w:val="-4"/>
              </w:rPr>
              <w:t>厂商</w:t>
            </w:r>
            <w:r>
              <w:rPr>
                <w:color w:val="1F497D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PICO </w:t>
            </w:r>
            <w:r>
              <w:rPr>
                <w:color w:val="1F497D"/>
                <w:spacing w:val="-2"/>
              </w:rPr>
              <w:t>也经历了战略和组织调整，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PICO</w:t>
            </w:r>
            <w:r>
              <w:rPr>
                <w:rFonts w:ascii="Arial" w:eastAsia="Arial" w:hAnsi="Arial" w:cs="Arial"/>
                <w:color w:val="1F497D"/>
                <w:spacing w:val="39"/>
              </w:rPr>
              <w:t xml:space="preserve"> </w:t>
            </w:r>
            <w:r>
              <w:rPr>
                <w:color w:val="1F497D"/>
                <w:spacing w:val="-2"/>
              </w:rPr>
              <w:t>内容平台向</w:t>
            </w:r>
            <w:r>
              <w:rPr>
                <w:color w:val="1F497D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Meta</w:t>
            </w:r>
            <w:r>
              <w:rPr>
                <w:rFonts w:ascii="Arial" w:eastAsia="Arial" w:hAnsi="Arial" w:cs="Arial"/>
                <w:color w:val="1F497D"/>
                <w:spacing w:val="37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Quest</w:t>
            </w:r>
            <w:r>
              <w:rPr>
                <w:rFonts w:ascii="Arial" w:eastAsia="Arial" w:hAnsi="Arial" w:cs="Arial"/>
                <w:color w:val="1F497D"/>
                <w:spacing w:val="21"/>
                <w:w w:val="101"/>
              </w:rPr>
              <w:t xml:space="preserve"> </w:t>
            </w:r>
            <w:r>
              <w:rPr>
                <w:color w:val="1F497D"/>
                <w:spacing w:val="-2"/>
              </w:rPr>
              <w:t>靠拢。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AR </w:t>
            </w:r>
            <w:r>
              <w:rPr>
                <w:color w:val="1F497D"/>
                <w:spacing w:val="-3"/>
              </w:rPr>
              <w:t>行业则发展较快，主要系低基数以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及消费级产品开始量产贡献增量，中国厂商市占率提</w:t>
            </w:r>
            <w:r>
              <w:rPr>
                <w:color w:val="1F497D"/>
                <w:spacing w:val="-2"/>
              </w:rPr>
              <w:t>升。</w:t>
            </w:r>
          </w:p>
          <w:p>
            <w:pPr>
              <w:pStyle w:val="TableText"/>
              <w:spacing w:before="77" w:line="278" w:lineRule="auto"/>
              <w:ind w:left="544" w:right="45" w:hanging="404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9"/>
              </w:rPr>
              <w:t xml:space="preserve">  </w:t>
            </w:r>
            <w:r>
              <w:rPr>
                <w:color w:val="1F497D"/>
                <w:spacing w:val="-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苹果</w:t>
            </w:r>
            <w:r>
              <w:rPr>
                <w:color w:val="1F497D"/>
                <w:spacing w:val="-33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</w:rPr>
              <w:t xml:space="preserve">MR </w:t>
            </w:r>
            <w:r>
              <w:rPr>
                <w:color w:val="1F497D"/>
                <w:spacing w:val="-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头显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</w:rPr>
              <w:t>Vision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41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</w:rPr>
              <w:t xml:space="preserve">Pro </w:t>
            </w:r>
            <w:r>
              <w:rPr>
                <w:color w:val="1F497D"/>
                <w:spacing w:val="-2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虚实融合，性能领先。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2023 </w:t>
            </w:r>
            <w:r>
              <w:rPr>
                <w:color w:val="1F497D"/>
                <w:spacing w:val="-2"/>
              </w:rPr>
              <w:t>年</w:t>
            </w:r>
            <w:r>
              <w:rPr>
                <w:color w:val="1F497D"/>
                <w:spacing w:val="-4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6</w:t>
            </w:r>
            <w:r>
              <w:rPr>
                <w:rFonts w:ascii="Arial" w:eastAsia="Arial" w:hAnsi="Arial" w:cs="Arial"/>
                <w:color w:val="1F497D"/>
                <w:spacing w:val="15"/>
              </w:rPr>
              <w:t xml:space="preserve"> </w:t>
            </w:r>
            <w:r>
              <w:rPr>
                <w:color w:val="1F497D"/>
                <w:spacing w:val="-2"/>
              </w:rPr>
              <w:t>月，苹果发布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Vision</w:t>
            </w:r>
            <w:r>
              <w:rPr>
                <w:rFonts w:ascii="Arial" w:eastAsia="Arial" w:hAnsi="Arial" w:cs="Arial"/>
                <w:color w:val="1F497D"/>
                <w:spacing w:val="4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Pro</w:t>
            </w:r>
            <w:r>
              <w:rPr>
                <w:color w:val="1F497D"/>
                <w:spacing w:val="-2"/>
              </w:rPr>
              <w:t>，在显示方案（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2 </w:t>
            </w:r>
            <w:r>
              <w:rPr>
                <w:color w:val="1F497D"/>
                <w:spacing w:val="-2"/>
              </w:rPr>
              <w:t>块</w:t>
            </w:r>
            <w:r>
              <w:rPr>
                <w:color w:val="1F497D"/>
                <w:spacing w:val="-2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1.42</w:t>
            </w:r>
            <w:r>
              <w:rPr>
                <w:rFonts w:ascii="Arial" w:eastAsia="Arial" w:hAnsi="Arial" w:cs="Arial"/>
                <w:color w:val="1F497D"/>
              </w:rPr>
              <w:t xml:space="preserve">  </w:t>
            </w:r>
            <w:r>
              <w:rPr>
                <w:color w:val="1F497D"/>
                <w:spacing w:val="-4"/>
              </w:rPr>
              <w:t>英寸</w:t>
            </w:r>
            <w:r>
              <w:rPr>
                <w:color w:val="1F497D"/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Micro</w:t>
            </w:r>
            <w:r>
              <w:rPr>
                <w:rFonts w:ascii="Arial" w:eastAsia="Arial" w:hAnsi="Arial" w:cs="Arial"/>
                <w:color w:val="1F497D"/>
                <w:spacing w:val="3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OLED</w:t>
            </w:r>
            <w:r>
              <w:rPr>
                <w:color w:val="1F497D"/>
                <w:spacing w:val="-4"/>
              </w:rPr>
              <w:t>）、芯片（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M2+R1</w:t>
            </w:r>
            <w:r>
              <w:rPr>
                <w:color w:val="1F497D"/>
                <w:spacing w:val="-4"/>
              </w:rPr>
              <w:t>）、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3P</w:t>
            </w:r>
            <w:r>
              <w:rPr>
                <w:rFonts w:ascii="Arial" w:eastAsia="Arial" w:hAnsi="Arial" w:cs="Arial"/>
                <w:color w:val="1F497D"/>
                <w:spacing w:val="33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Pancake</w:t>
            </w:r>
            <w:r>
              <w:rPr>
                <w:color w:val="1F497D"/>
                <w:spacing w:val="-4"/>
              </w:rPr>
              <w:t>、交互方式（眼动追踪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+</w:t>
            </w:r>
            <w:r>
              <w:rPr>
                <w:color w:val="1F497D"/>
                <w:spacing w:val="-5"/>
              </w:rPr>
              <w:t>手势识别）等方面都采用了行业领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5"/>
              </w:rPr>
              <w:t>先技术，拓展了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VR </w:t>
            </w:r>
            <w:r>
              <w:rPr>
                <w:color w:val="1F497D"/>
                <w:spacing w:val="-5"/>
              </w:rPr>
              <w:t>头显边界，</w:t>
            </w:r>
            <w:r>
              <w:rPr>
                <w:color w:val="1F497D"/>
                <w:spacing w:val="-5"/>
              </w:rPr>
              <w:t xml:space="preserve"> </w:t>
            </w:r>
            <w:r>
              <w:rPr>
                <w:color w:val="1F497D"/>
                <w:spacing w:val="-5"/>
              </w:rPr>
              <w:t>更符合</w:t>
            </w:r>
            <w:r>
              <w:rPr>
                <w:color w:val="1F497D"/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5"/>
              </w:rPr>
              <w:t xml:space="preserve">MR </w:t>
            </w:r>
            <w:r>
              <w:rPr>
                <w:color w:val="1F497D"/>
                <w:spacing w:val="-5"/>
              </w:rPr>
              <w:t>产品</w:t>
            </w:r>
            <w:r>
              <w:rPr>
                <w:color w:val="1F497D"/>
                <w:spacing w:val="-6"/>
              </w:rPr>
              <w:t>特征。</w:t>
            </w:r>
            <w:r>
              <w:rPr>
                <w:color w:val="1F497D"/>
                <w:spacing w:val="-2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 xml:space="preserve">MR </w:t>
            </w:r>
            <w:r>
              <w:rPr>
                <w:color w:val="1F497D"/>
                <w:spacing w:val="-6"/>
              </w:rPr>
              <w:t>主要强调对现实世界进行空间计算后构建虚拟世界，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并且用户可以在虚拟世界产生交互，</w:t>
            </w:r>
            <w:r>
              <w:rPr>
                <w:color w:val="1F497D"/>
                <w:spacing w:val="77"/>
              </w:rPr>
              <w:t xml:space="preserve"> </w:t>
            </w:r>
            <w:r>
              <w:rPr>
                <w:color w:val="1F497D"/>
                <w:spacing w:val="-4"/>
              </w:rPr>
              <w:t>因此对空间计算、自然交互、低延迟彩色透视以及处理能</w:t>
            </w:r>
            <w:r>
              <w:rPr>
                <w:color w:val="1F497D"/>
                <w:spacing w:val="-5"/>
              </w:rPr>
              <w:t>力有较高要求。</w:t>
            </w:r>
            <w:r>
              <w:rPr>
                <w:color w:val="1F497D"/>
              </w:rPr>
              <w:t xml:space="preserve">  </w:t>
            </w:r>
            <w:r>
              <w:rPr>
                <w:color w:val="1F497D"/>
                <w:spacing w:val="-3"/>
              </w:rPr>
              <w:t>从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MR </w:t>
            </w:r>
            <w:r>
              <w:rPr>
                <w:color w:val="1F497D"/>
                <w:spacing w:val="-3"/>
              </w:rPr>
              <w:t>应用来看，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交互方式是影响</w:t>
            </w:r>
            <w:r>
              <w:rPr>
                <w:color w:val="1F497D"/>
                <w:spacing w:val="-3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MR </w:t>
            </w:r>
            <w:r>
              <w:rPr>
                <w:color w:val="1F497D"/>
                <w:spacing w:val="-3"/>
              </w:rPr>
              <w:t>和</w:t>
            </w:r>
            <w:r>
              <w:rPr>
                <w:color w:val="1F497D"/>
                <w:spacing w:val="-4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VR</w:t>
            </w:r>
            <w:r>
              <w:rPr>
                <w:rFonts w:ascii="Arial" w:eastAsia="Arial" w:hAnsi="Arial" w:cs="Arial"/>
                <w:color w:val="1F497D"/>
                <w:spacing w:val="33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内容的主要区别点。目前</w:t>
            </w:r>
            <w:r>
              <w:rPr>
                <w:color w:val="1F497D"/>
                <w:spacing w:val="-49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VR </w:t>
            </w:r>
            <w:r>
              <w:rPr>
                <w:color w:val="1F497D"/>
                <w:spacing w:val="-3"/>
              </w:rPr>
              <w:t>畅销内容以游戏为主要</w:t>
            </w:r>
            <w:r>
              <w:rPr>
                <w:color w:val="1F497D"/>
                <w:spacing w:val="-4"/>
              </w:rPr>
              <w:t>形式，需要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较高的全身参与度、依赖精准的手柄交互，而与</w:t>
            </w:r>
            <w:r>
              <w:rPr>
                <w:color w:val="1F497D"/>
                <w:spacing w:val="-3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MR</w:t>
            </w:r>
            <w:r>
              <w:rPr>
                <w:rFonts w:ascii="Arial" w:eastAsia="Arial" w:hAnsi="Arial" w:cs="Arial"/>
                <w:color w:val="1F497D"/>
                <w:spacing w:val="54"/>
              </w:rPr>
              <w:t xml:space="preserve"> </w:t>
            </w:r>
            <w:r>
              <w:rPr>
                <w:color w:val="1F497D"/>
                <w:spacing w:val="-3"/>
              </w:rPr>
              <w:t>自然交互相</w:t>
            </w:r>
            <w:r>
              <w:rPr>
                <w:color w:val="1F497D"/>
                <w:spacing w:val="-4"/>
              </w:rPr>
              <w:t>适配的应用，会以提升视觉体验，轻交互，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弱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2"/>
              </w:rPr>
              <w:t>移动，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慢节奏为侧重点。苹果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>Vision</w:t>
            </w:r>
            <w:r>
              <w:rPr>
                <w:rFonts w:ascii="Arial" w:eastAsia="Arial" w:hAnsi="Arial" w:cs="Arial"/>
                <w:color w:val="1F497D"/>
                <w:spacing w:val="30"/>
                <w:w w:val="10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2"/>
              </w:rPr>
              <w:t xml:space="preserve">Pro </w:t>
            </w:r>
            <w:r>
              <w:rPr>
                <w:color w:val="1F497D"/>
                <w:spacing w:val="-2"/>
              </w:rPr>
              <w:t>主打场景为视频、办公</w:t>
            </w:r>
            <w:r>
              <w:rPr>
                <w:color w:val="1F497D"/>
                <w:spacing w:val="-3"/>
              </w:rPr>
              <w:t>、游戏、居家，也并非将重交互的游戏作为第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6"/>
              </w:rPr>
              <w:t>一顺位。从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Meta Quest</w:t>
            </w:r>
            <w:r>
              <w:rPr>
                <w:rFonts w:ascii="Arial" w:eastAsia="Arial" w:hAnsi="Arial" w:cs="Arial"/>
                <w:color w:val="1F497D"/>
                <w:spacing w:val="34"/>
              </w:rPr>
              <w:t xml:space="preserve"> </w:t>
            </w:r>
            <w:r>
              <w:rPr>
                <w:color w:val="1F497D"/>
                <w:spacing w:val="-6"/>
              </w:rPr>
              <w:t>已推出的</w:t>
            </w:r>
            <w:r>
              <w:rPr>
                <w:color w:val="1F497D"/>
                <w:spacing w:val="-37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MR</w:t>
            </w:r>
            <w:r>
              <w:rPr>
                <w:rFonts w:ascii="Arial" w:eastAsia="Arial" w:hAnsi="Arial" w:cs="Arial"/>
                <w:color w:val="1F497D"/>
                <w:spacing w:val="31"/>
                <w:w w:val="101"/>
              </w:rPr>
              <w:t xml:space="preserve"> </w:t>
            </w:r>
            <w:r>
              <w:rPr>
                <w:color w:val="1F497D"/>
                <w:spacing w:val="-6"/>
              </w:rPr>
              <w:t>内容来看，</w:t>
            </w:r>
            <w:r>
              <w:rPr>
                <w:color w:val="1F497D"/>
                <w:spacing w:val="-25"/>
              </w:rPr>
              <w:t xml:space="preserve"> </w:t>
            </w:r>
            <w:r>
              <w:rPr>
                <w:color w:val="1F497D"/>
                <w:spacing w:val="-6"/>
              </w:rPr>
              <w:t>也以</w:t>
            </w:r>
            <w:r>
              <w:rPr>
                <w:color w:val="1F497D"/>
                <w:spacing w:val="-5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6"/>
              </w:rPr>
              <w:t>V</w:t>
            </w:r>
            <w:r>
              <w:rPr>
                <w:rFonts w:ascii="Arial" w:eastAsia="Arial" w:hAnsi="Arial" w:cs="Arial"/>
                <w:color w:val="1F497D"/>
                <w:spacing w:val="-7"/>
              </w:rPr>
              <w:t>R</w:t>
            </w:r>
            <w:r>
              <w:rPr>
                <w:rFonts w:ascii="Arial" w:eastAsia="Arial" w:hAnsi="Arial" w:cs="Arial"/>
                <w:color w:val="1F497D"/>
                <w:spacing w:val="28"/>
                <w:w w:val="101"/>
              </w:rPr>
              <w:t xml:space="preserve"> </w:t>
            </w:r>
            <w:r>
              <w:rPr>
                <w:color w:val="1F497D"/>
                <w:spacing w:val="-7"/>
              </w:rPr>
              <w:t>内容加补丁的形式为主，</w:t>
            </w:r>
            <w:r>
              <w:rPr>
                <w:color w:val="1F497D"/>
                <w:spacing w:val="-7"/>
              </w:rPr>
              <w:t xml:space="preserve"> </w:t>
            </w:r>
            <w:r>
              <w:rPr>
                <w:color w:val="1F497D"/>
                <w:spacing w:val="-7"/>
              </w:rPr>
              <w:t>且工具类应用较多。</w:t>
            </w:r>
          </w:p>
          <w:p>
            <w:pPr>
              <w:pStyle w:val="TableText"/>
              <w:spacing w:before="79" w:line="278" w:lineRule="auto"/>
              <w:ind w:left="542" w:right="102" w:hanging="402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5"/>
              </w:rPr>
              <w:t xml:space="preserve">  </w:t>
            </w:r>
            <w:r>
              <w:rPr>
                <w:color w:val="1F497D"/>
                <w:spacing w:val="-3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投资建议。</w:t>
            </w:r>
            <w:r>
              <w:rPr>
                <w:color w:val="1F497D"/>
                <w:spacing w:val="-3"/>
              </w:rPr>
              <w:t>我们认为</w:t>
            </w:r>
            <w:r>
              <w:rPr>
                <w:color w:val="1F497D"/>
                <w:spacing w:val="-4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VR </w:t>
            </w:r>
            <w:r>
              <w:rPr>
                <w:color w:val="1F497D"/>
                <w:spacing w:val="-3"/>
              </w:rPr>
              <w:t>行业经历了</w:t>
            </w:r>
            <w:r>
              <w:rPr>
                <w:color w:val="1F497D"/>
                <w:spacing w:val="-41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 xml:space="preserve">20-21 </w:t>
            </w:r>
            <w:r>
              <w:rPr>
                <w:color w:val="1F497D"/>
                <w:spacing w:val="-3"/>
              </w:rPr>
              <w:t>年快速发展，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伴随着硬件的性能提升边</w:t>
            </w:r>
            <w:r>
              <w:rPr>
                <w:color w:val="1F497D"/>
                <w:spacing w:val="-4"/>
              </w:rPr>
              <w:t>际放缓，</w:t>
            </w:r>
            <w:r>
              <w:rPr>
                <w:color w:val="1F497D"/>
                <w:spacing w:val="-30"/>
              </w:rPr>
              <w:t xml:space="preserve"> </w:t>
            </w:r>
            <w:r>
              <w:rPr>
                <w:color w:val="1F497D"/>
                <w:spacing w:val="-4"/>
              </w:rPr>
              <w:t>硬件厂商面临成本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与产品性能平衡的问题。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3"/>
              </w:rPr>
              <w:t>国内和海外主要消费级硬件厂</w:t>
            </w:r>
            <w:r>
              <w:rPr>
                <w:color w:val="1F497D"/>
                <w:spacing w:val="-4"/>
              </w:rPr>
              <w:t>商</w:t>
            </w:r>
            <w:r>
              <w:rPr>
                <w:color w:val="1F497D"/>
                <w:spacing w:val="-3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PICO</w:t>
            </w:r>
            <w:r>
              <w:rPr>
                <w:color w:val="1F497D"/>
                <w:spacing w:val="-4"/>
              </w:rPr>
              <w:t>、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Meta Quest </w:t>
            </w:r>
            <w:r>
              <w:rPr>
                <w:color w:val="1F497D"/>
                <w:spacing w:val="-4"/>
              </w:rPr>
              <w:t>经历调整，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4"/>
              </w:rPr>
              <w:t>但仍在坚定投入。苹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3"/>
              </w:rPr>
              <w:t>果</w:t>
            </w:r>
            <w:r>
              <w:rPr>
                <w:color w:val="1F497D"/>
                <w:spacing w:val="-26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MR</w:t>
            </w:r>
            <w:r>
              <w:rPr>
                <w:rFonts w:ascii="Arial" w:eastAsia="Arial" w:hAnsi="Arial" w:cs="Arial"/>
                <w:color w:val="1F497D"/>
                <w:spacing w:val="22"/>
                <w:w w:val="101"/>
              </w:rPr>
              <w:t xml:space="preserve"> </w:t>
            </w:r>
            <w:r>
              <w:rPr>
                <w:color w:val="1F497D"/>
                <w:spacing w:val="-3"/>
              </w:rPr>
              <w:t>头显</w:t>
            </w:r>
            <w:r>
              <w:rPr>
                <w:color w:val="1F497D"/>
                <w:spacing w:val="-4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Vision</w:t>
            </w:r>
            <w:r>
              <w:rPr>
                <w:rFonts w:ascii="Arial" w:eastAsia="Arial" w:hAnsi="Arial" w:cs="Arial"/>
                <w:color w:val="1F497D"/>
                <w:spacing w:val="45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3"/>
              </w:rPr>
              <w:t>Pro</w:t>
            </w:r>
            <w:r>
              <w:rPr>
                <w:rFonts w:ascii="Arial" w:eastAsia="Arial" w:hAnsi="Arial" w:cs="Arial"/>
                <w:color w:val="1F497D"/>
                <w:spacing w:val="27"/>
              </w:rPr>
              <w:t xml:space="preserve"> </w:t>
            </w:r>
            <w:r>
              <w:rPr>
                <w:color w:val="1F497D"/>
                <w:spacing w:val="-3"/>
              </w:rPr>
              <w:t>以极高性能破圈，</w:t>
            </w:r>
            <w:r>
              <w:rPr>
                <w:color w:val="1F497D"/>
                <w:spacing w:val="-28"/>
              </w:rPr>
              <w:t xml:space="preserve"> </w:t>
            </w:r>
            <w:r>
              <w:rPr>
                <w:color w:val="1F497D"/>
                <w:spacing w:val="-3"/>
              </w:rPr>
              <w:t>但高</w:t>
            </w:r>
            <w:r>
              <w:rPr>
                <w:color w:val="1F497D"/>
                <w:spacing w:val="-4"/>
              </w:rPr>
              <w:t>价也需要面对普及的问题。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MR </w:t>
            </w:r>
            <w:r>
              <w:rPr>
                <w:color w:val="1F497D"/>
                <w:spacing w:val="-4"/>
              </w:rPr>
              <w:t>是未来的行业发展趋势，与</w:t>
            </w:r>
            <w:r>
              <w:rPr>
                <w:color w:val="1F497D"/>
                <w:spacing w:val="-4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>MR</w:t>
            </w:r>
            <w:r>
              <w:rPr>
                <w:rFonts w:ascii="Arial" w:eastAsia="Arial" w:hAnsi="Arial" w:cs="Arial"/>
                <w:color w:val="1F497D"/>
              </w:rPr>
              <w:t xml:space="preserve"> </w:t>
            </w:r>
            <w:r>
              <w:rPr>
                <w:color w:val="1F497D"/>
                <w:spacing w:val="-4"/>
              </w:rPr>
              <w:t>交互方式更加适配的应用（重视觉体验，</w:t>
            </w:r>
            <w:r>
              <w:rPr>
                <w:color w:val="1F497D"/>
                <w:spacing w:val="-3"/>
              </w:rPr>
              <w:t xml:space="preserve"> </w:t>
            </w:r>
            <w:r>
              <w:rPr>
                <w:color w:val="1F497D"/>
                <w:spacing w:val="-4"/>
              </w:rPr>
              <w:t>轻交互，</w:t>
            </w:r>
            <w:r>
              <w:rPr>
                <w:color w:val="1F497D"/>
                <w:spacing w:val="-20"/>
              </w:rPr>
              <w:t xml:space="preserve"> </w:t>
            </w:r>
            <w:r>
              <w:rPr>
                <w:color w:val="1F497D"/>
                <w:spacing w:val="-4"/>
              </w:rPr>
              <w:t>弱移动，慢节奏）会逐步出现。我们坚定看好</w:t>
            </w:r>
            <w:r>
              <w:rPr>
                <w:color w:val="1F497D"/>
                <w:spacing w:val="-32"/>
              </w:rPr>
              <w:t xml:space="preserve"> </w:t>
            </w:r>
            <w:r>
              <w:rPr>
                <w:rFonts w:ascii="Arial" w:eastAsia="Arial" w:hAnsi="Arial" w:cs="Arial"/>
                <w:color w:val="1F497D"/>
                <w:spacing w:val="-4"/>
              </w:rPr>
              <w:t xml:space="preserve">MR </w:t>
            </w:r>
            <w:r>
              <w:rPr>
                <w:color w:val="1F497D"/>
                <w:spacing w:val="-4"/>
              </w:rPr>
              <w:t>行业的发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展长期对内容行业带来的积极向上影响。可以关注</w:t>
            </w:r>
            <w:r>
              <w:rPr>
                <w:color w:val="1F497D"/>
                <w:spacing w:val="-2"/>
              </w:rPr>
              <w:t>已经有相关布局的公司，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游戏领域三七互娱、恺英网络、宝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1"/>
              </w:rPr>
              <w:t>通科技、盛天网络、富春股份、恒信东方等；影视</w:t>
            </w:r>
            <w:r>
              <w:rPr>
                <w:color w:val="1F497D"/>
                <w:spacing w:val="-2"/>
              </w:rPr>
              <w:t>领域横店影视、</w:t>
            </w:r>
            <w:r>
              <w:rPr>
                <w:color w:val="1F497D"/>
                <w:spacing w:val="-2"/>
              </w:rPr>
              <w:t xml:space="preserve"> </w:t>
            </w:r>
            <w:r>
              <w:rPr>
                <w:color w:val="1F497D"/>
                <w:spacing w:val="-2"/>
              </w:rPr>
              <w:t>中文在线、芒果超媒、华策影视、慈文传媒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</w:rPr>
              <w:t>等；文旅领域风语筑、丝路视觉、罗曼股份等；教育领域，恒信</w:t>
            </w:r>
            <w:r>
              <w:rPr>
                <w:color w:val="1F497D"/>
                <w:spacing w:val="-1"/>
              </w:rPr>
              <w:t>东方、城市传媒、天舟文化等；元宇宙领域，</w:t>
            </w:r>
            <w:r>
              <w:rPr>
                <w:color w:val="1F497D"/>
              </w:rPr>
              <w:t xml:space="preserve"> </w:t>
            </w:r>
            <w:r>
              <w:rPr>
                <w:color w:val="1F497D"/>
                <w:spacing w:val="-6"/>
              </w:rPr>
              <w:t>捷成股份、昆仑万维等；体育领域，</w:t>
            </w:r>
            <w:r>
              <w:rPr>
                <w:color w:val="1F497D"/>
                <w:spacing w:val="-6"/>
              </w:rPr>
              <w:t xml:space="preserve"> </w:t>
            </w:r>
            <w:r>
              <w:rPr>
                <w:color w:val="1F497D"/>
                <w:spacing w:val="-6"/>
              </w:rPr>
              <w:t>力盛体育等。</w:t>
            </w:r>
          </w:p>
          <w:p>
            <w:pPr>
              <w:pStyle w:val="TableText"/>
              <w:spacing w:before="83" w:line="216" w:lineRule="auto"/>
              <w:ind w:left="140"/>
            </w:pPr>
            <w:r>
              <w:rPr>
                <w:color w:val="1F497D"/>
                <w:position w:val="1"/>
              </w:rPr>
              <w:drawing>
                <wp:inline distT="0" distB="0" distL="0" distR="0">
                  <wp:extent cx="77650" cy="78857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50" cy="78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37"/>
              </w:rPr>
              <w:t xml:space="preserve">  </w:t>
            </w:r>
            <w:r>
              <w:rPr>
                <w:color w:val="1F497D"/>
                <w:spacing w:val="-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风险提示。</w:t>
            </w:r>
            <w:r>
              <w:rPr>
                <w:color w:val="1F497D"/>
                <w:spacing w:val="-1"/>
              </w:rPr>
              <w:t>市场发展不达预期风险；</w:t>
            </w:r>
            <w:r>
              <w:rPr>
                <w:color w:val="1F497D"/>
                <w:spacing w:val="-52"/>
              </w:rPr>
              <w:t xml:space="preserve"> </w:t>
            </w:r>
            <w:r>
              <w:rPr>
                <w:color w:val="1F497D"/>
                <w:spacing w:val="-1"/>
              </w:rPr>
              <w:t>内容无法满足用户变化的需求风险；行业监管</w:t>
            </w:r>
            <w:r>
              <w:rPr>
                <w:color w:val="1F497D"/>
                <w:spacing w:val="-2"/>
              </w:rPr>
              <w:t>收紧的风险。</w:t>
            </w:r>
          </w:p>
        </w:tc>
      </w:tr>
      <w:tr>
        <w:tblPrEx>
          <w:tblW w:w="10756" w:type="dxa"/>
          <w:tblInd w:w="0" w:type="dxa"/>
          <w:tblLayout w:type="fixed"/>
        </w:tblPrEx>
        <w:trPr>
          <w:trHeight w:val="336"/>
        </w:trPr>
        <w:tc>
          <w:tcPr>
            <w:tcW w:w="1075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pStyle w:val="TableText"/>
              <w:spacing w:before="49" w:line="213" w:lineRule="auto"/>
              <w:ind w:left="123"/>
              <w:rPr>
                <w:sz w:val="24"/>
                <w:szCs w:val="24"/>
              </w:rPr>
            </w:pPr>
            <w:r>
              <w:rPr>
                <w:color w:val="1F497D"/>
                <w:sz w:val="24"/>
                <w:szCs w:val="24"/>
                <w14:textOutline w14:w="4354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</w:tbl>
    <w:p>
      <w:pPr>
        <w:spacing w:before="73" w:line="225" w:lineRule="auto"/>
        <w:ind w:left="135"/>
        <w:rPr>
          <w:rFonts w:ascii="Arial" w:eastAsia="Arial" w:hAnsi="Arial" w:cs="Arial"/>
          <w:sz w:val="18"/>
          <w:szCs w:val="18"/>
        </w:rPr>
      </w:pPr>
      <w:r>
        <w:rPr>
          <w:rFonts w:ascii="KaiTi" w:eastAsia="KaiTi" w:hAnsi="KaiTi" w:cs="KaiTi"/>
          <w:color w:val="1F497D"/>
          <w:sz w:val="18"/>
          <w:szCs w:val="18"/>
        </w:rPr>
        <w:t>互联网传媒行业</w:t>
      </w:r>
      <w:r>
        <w:rPr>
          <w:rFonts w:ascii="Arial" w:eastAsia="Arial" w:hAnsi="Arial" w:cs="Arial"/>
          <w:color w:val="1F497D"/>
          <w:sz w:val="18"/>
          <w:szCs w:val="18"/>
        </w:rPr>
        <w:t>:</w:t>
      </w:r>
      <w:r>
        <w:rPr>
          <w:rFonts w:ascii="KaiTi" w:eastAsia="KaiTi" w:hAnsi="KaiTi" w:cs="KaiTi"/>
          <w:color w:val="1F497D"/>
          <w:sz w:val="18"/>
          <w:szCs w:val="18"/>
        </w:rPr>
        <w:t>“数据要素×”三年行动计划公开征求意见，腾讯元梦之星正式上线</w:t>
      </w:r>
      <w:r>
        <w:rPr>
          <w:rFonts w:ascii="KaiTi" w:eastAsia="KaiTi" w:hAnsi="KaiTi" w:cs="KaiTi"/>
          <w:color w:val="1F497D"/>
          <w:sz w:val="18"/>
          <w:szCs w:val="18"/>
        </w:rPr>
        <w:t xml:space="preserve">                                </w:t>
      </w:r>
      <w:r>
        <w:rPr>
          <w:rFonts w:ascii="Arial" w:eastAsia="Arial" w:hAnsi="Arial" w:cs="Arial"/>
          <w:color w:val="1F497D"/>
          <w:sz w:val="18"/>
          <w:szCs w:val="18"/>
        </w:rPr>
        <w:t>2023-12-17</w:t>
      </w:r>
    </w:p>
    <w:p>
      <w:pPr>
        <w:spacing w:line="225" w:lineRule="auto"/>
        <w:rPr>
          <w:rFonts w:ascii="Arial" w:eastAsia="Arial" w:hAnsi="Arial" w:cs="Arial"/>
          <w:sz w:val="18"/>
          <w:szCs w:val="18"/>
        </w:rPr>
        <w:sectPr>
          <w:headerReference w:type="default" r:id="rId12"/>
          <w:footerReference w:type="default" r:id="rId13"/>
          <w:type w:val="nextPage"/>
          <w:pgSz w:w="11907" w:h="16839"/>
          <w:pgMar w:top="1715" w:right="528" w:bottom="1727" w:left="621" w:header="691" w:footer="778" w:gutter="0"/>
          <w:pgNumType w:start="2"/>
          <w:cols w:space="708"/>
          <w:titlePg w:val="0"/>
        </w:sectPr>
      </w:pPr>
    </w:p>
    <w:p>
      <w:pPr>
        <w:spacing w:before="51" w:line="218" w:lineRule="auto"/>
        <w:ind w:left="63"/>
        <w:rPr>
          <w:rFonts w:ascii="KaiTi" w:eastAsia="KaiTi" w:hAnsi="KaiTi" w:cs="KaiTi"/>
          <w:sz w:val="21"/>
          <w:szCs w:val="21"/>
        </w:rPr>
      </w:pPr>
      <w:r>
        <w:rPr>
          <w:rFonts w:ascii="KaiTi" w:eastAsia="KaiTi" w:hAnsi="KaiTi" w:cs="KaiTi"/>
          <w:spacing w:val="-1"/>
          <w:sz w:val="21"/>
          <w:szCs w:val="2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tbl>
      <w:tblPr>
        <w:tblStyle w:val="TableNormal1"/>
        <w:tblW w:w="1091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6"/>
        <w:gridCol w:w="964"/>
        <w:gridCol w:w="610"/>
        <w:gridCol w:w="635"/>
        <w:gridCol w:w="953"/>
        <w:gridCol w:w="517"/>
        <w:gridCol w:w="835"/>
        <w:gridCol w:w="622"/>
        <w:gridCol w:w="630"/>
        <w:gridCol w:w="687"/>
        <w:gridCol w:w="701"/>
        <w:gridCol w:w="708"/>
        <w:gridCol w:w="693"/>
        <w:gridCol w:w="665"/>
        <w:gridCol w:w="661"/>
      </w:tblGrid>
      <w:tr>
        <w:tblPrEx>
          <w:tblW w:w="1091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8"/>
        </w:trPr>
        <w:tc>
          <w:tcPr>
            <w:tcW w:w="1036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964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188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610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8" w:lineRule="auto"/>
              <w:ind w:left="15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3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7" w:lineRule="exact"/>
              <w:ind w:left="174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pStyle w:val="TableText"/>
              <w:spacing w:line="224" w:lineRule="auto"/>
              <w:ind w:left="9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5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215" w:lineRule="auto"/>
              <w:ind w:left="31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pStyle w:val="TableText"/>
              <w:spacing w:before="139" w:line="218" w:lineRule="auto"/>
              <w:ind w:left="144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517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250" w:line="216" w:lineRule="auto"/>
              <w:ind w:left="91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35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pStyle w:val="TableText"/>
              <w:spacing w:before="87" w:line="327" w:lineRule="exact"/>
              <w:ind w:left="108"/>
              <w:rPr>
                <w:sz w:val="16"/>
                <w:szCs w:val="16"/>
              </w:rPr>
            </w:pPr>
            <w:r>
              <w:rPr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86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rFonts w:ascii="Arial" w:eastAsia="Arial" w:hAnsi="Arial" w:cs="Arial"/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252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7" w:line="213" w:lineRule="auto"/>
              <w:ind w:left="3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388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4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401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19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EV/EBITDA(x)</w:t>
            </w:r>
          </w:p>
        </w:tc>
        <w:tc>
          <w:tcPr>
            <w:tcW w:w="1326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spacing w:before="109" w:line="199" w:lineRule="auto"/>
              <w:ind w:left="3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19"/>
        </w:trPr>
        <w:tc>
          <w:tcPr>
            <w:tcW w:w="1036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64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0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5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7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5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2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9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30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87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1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93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665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1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61" w:type="dxa"/>
            <w:tcBorders>
              <w:bottom w:val="single" w:sz="6" w:space="0" w:color="000000"/>
            </w:tcBorders>
            <w:vAlign w:val="top"/>
          </w:tcPr>
          <w:p>
            <w:pPr>
              <w:spacing w:before="89" w:line="197" w:lineRule="auto"/>
              <w:ind w:left="1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0"/>
        </w:trPr>
        <w:tc>
          <w:tcPr>
            <w:tcW w:w="103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18" w:lineRule="auto"/>
              <w:ind w:left="21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光线传媒</w:t>
            </w:r>
          </w:p>
        </w:tc>
        <w:tc>
          <w:tcPr>
            <w:tcW w:w="964" w:type="dxa"/>
            <w:tcBorders>
              <w:top w:val="single" w:sz="6" w:space="0" w:color="000000"/>
            </w:tcBorders>
            <w:vAlign w:val="top"/>
          </w:tcPr>
          <w:p>
            <w:pPr>
              <w:spacing w:before="99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300251.SZ</w:t>
            </w:r>
          </w:p>
        </w:tc>
        <w:tc>
          <w:tcPr>
            <w:tcW w:w="61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8.25</w:t>
            </w:r>
          </w:p>
        </w:tc>
        <w:tc>
          <w:tcPr>
            <w:tcW w:w="953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7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2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  <w:tc>
          <w:tcPr>
            <w:tcW w:w="622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0.21</w:t>
            </w:r>
          </w:p>
        </w:tc>
        <w:tc>
          <w:tcPr>
            <w:tcW w:w="630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0.37</w:t>
            </w:r>
          </w:p>
        </w:tc>
        <w:tc>
          <w:tcPr>
            <w:tcW w:w="687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39.29</w:t>
            </w:r>
          </w:p>
        </w:tc>
        <w:tc>
          <w:tcPr>
            <w:tcW w:w="701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22.30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32.97</w:t>
            </w:r>
          </w:p>
        </w:tc>
        <w:tc>
          <w:tcPr>
            <w:tcW w:w="693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17.29</w:t>
            </w:r>
          </w:p>
        </w:tc>
        <w:tc>
          <w:tcPr>
            <w:tcW w:w="665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7.00</w:t>
            </w:r>
          </w:p>
        </w:tc>
        <w:tc>
          <w:tcPr>
            <w:tcW w:w="661" w:type="dxa"/>
            <w:tcBorders>
              <w:top w:val="single" w:sz="6" w:space="0" w:color="000000"/>
            </w:tcBorders>
            <w:vAlign w:val="top"/>
          </w:tcPr>
          <w:p>
            <w:pPr>
              <w:spacing w:before="10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16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横店影视</w:t>
            </w:r>
          </w:p>
        </w:tc>
        <w:tc>
          <w:tcPr>
            <w:tcW w:w="964" w:type="dxa"/>
            <w:vAlign w:val="top"/>
          </w:tcPr>
          <w:p>
            <w:pPr>
              <w:spacing w:before="105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603103.SH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3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19.69</w:t>
            </w:r>
          </w:p>
        </w:tc>
        <w:tc>
          <w:tcPr>
            <w:tcW w:w="953" w:type="dxa"/>
            <w:vAlign w:val="top"/>
          </w:tcPr>
          <w:p>
            <w:pPr>
              <w:spacing w:before="107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20.51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0.38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0.59</w:t>
            </w:r>
          </w:p>
        </w:tc>
        <w:tc>
          <w:tcPr>
            <w:tcW w:w="687" w:type="dxa"/>
            <w:vAlign w:val="top"/>
          </w:tcPr>
          <w:p>
            <w:pPr>
              <w:spacing w:before="107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51.82</w:t>
            </w:r>
          </w:p>
        </w:tc>
        <w:tc>
          <w:tcPr>
            <w:tcW w:w="701" w:type="dxa"/>
            <w:vAlign w:val="top"/>
          </w:tcPr>
          <w:p>
            <w:pPr>
              <w:spacing w:before="107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33.37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12.27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9.81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2" w:line="218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芒果超媒</w:t>
            </w:r>
          </w:p>
        </w:tc>
        <w:tc>
          <w:tcPr>
            <w:tcW w:w="964" w:type="dxa"/>
            <w:vAlign w:val="top"/>
          </w:tcPr>
          <w:p>
            <w:pPr>
              <w:spacing w:before="104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300413.SZ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2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5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27.70</w:t>
            </w:r>
          </w:p>
        </w:tc>
        <w:tc>
          <w:tcPr>
            <w:tcW w:w="953" w:type="dxa"/>
            <w:vAlign w:val="top"/>
          </w:tcPr>
          <w:p>
            <w:pPr>
              <w:spacing w:before="105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2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5" w:line="197" w:lineRule="auto"/>
              <w:ind w:left="2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36.47</w:t>
            </w:r>
          </w:p>
        </w:tc>
        <w:tc>
          <w:tcPr>
            <w:tcW w:w="622" w:type="dxa"/>
            <w:vAlign w:val="top"/>
          </w:tcPr>
          <w:p>
            <w:pPr>
              <w:spacing w:before="105" w:line="197" w:lineRule="auto"/>
              <w:ind w:left="1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1.11</w:t>
            </w:r>
          </w:p>
        </w:tc>
        <w:tc>
          <w:tcPr>
            <w:tcW w:w="630" w:type="dxa"/>
            <w:vAlign w:val="top"/>
          </w:tcPr>
          <w:p>
            <w:pPr>
              <w:spacing w:before="105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1.38</w:t>
            </w:r>
          </w:p>
        </w:tc>
        <w:tc>
          <w:tcPr>
            <w:tcW w:w="687" w:type="dxa"/>
            <w:vAlign w:val="top"/>
          </w:tcPr>
          <w:p>
            <w:pPr>
              <w:spacing w:before="105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24.95</w:t>
            </w:r>
          </w:p>
        </w:tc>
        <w:tc>
          <w:tcPr>
            <w:tcW w:w="701" w:type="dxa"/>
            <w:vAlign w:val="top"/>
          </w:tcPr>
          <w:p>
            <w:pPr>
              <w:spacing w:before="105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20.07</w:t>
            </w:r>
          </w:p>
        </w:tc>
        <w:tc>
          <w:tcPr>
            <w:tcW w:w="708" w:type="dxa"/>
            <w:vAlign w:val="top"/>
          </w:tcPr>
          <w:p>
            <w:pPr>
              <w:spacing w:before="105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4.21</w:t>
            </w:r>
          </w:p>
        </w:tc>
        <w:tc>
          <w:tcPr>
            <w:tcW w:w="693" w:type="dxa"/>
            <w:vAlign w:val="top"/>
          </w:tcPr>
          <w:p>
            <w:pPr>
              <w:spacing w:before="105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3.49</w:t>
            </w:r>
          </w:p>
        </w:tc>
        <w:tc>
          <w:tcPr>
            <w:tcW w:w="665" w:type="dxa"/>
            <w:vAlign w:val="top"/>
          </w:tcPr>
          <w:p>
            <w:pPr>
              <w:spacing w:before="105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10.00</w:t>
            </w:r>
          </w:p>
        </w:tc>
        <w:tc>
          <w:tcPr>
            <w:tcW w:w="661" w:type="dxa"/>
            <w:vAlign w:val="top"/>
          </w:tcPr>
          <w:p>
            <w:pPr>
              <w:spacing w:before="105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83" w:line="218" w:lineRule="auto"/>
              <w:ind w:left="21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新媒股份</w:t>
            </w:r>
          </w:p>
        </w:tc>
        <w:tc>
          <w:tcPr>
            <w:tcW w:w="964" w:type="dxa"/>
            <w:vAlign w:val="top"/>
          </w:tcPr>
          <w:p>
            <w:pPr>
              <w:spacing w:before="105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300770.SZ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3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6" w:line="197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41.61</w:t>
            </w:r>
          </w:p>
        </w:tc>
        <w:tc>
          <w:tcPr>
            <w:tcW w:w="953" w:type="dxa"/>
            <w:vAlign w:val="top"/>
          </w:tcPr>
          <w:p>
            <w:pPr>
              <w:spacing w:before="106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3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6" w:line="197" w:lineRule="auto"/>
              <w:ind w:left="2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51.21</w:t>
            </w:r>
          </w:p>
        </w:tc>
        <w:tc>
          <w:tcPr>
            <w:tcW w:w="622" w:type="dxa"/>
            <w:vAlign w:val="top"/>
          </w:tcPr>
          <w:p>
            <w:pPr>
              <w:spacing w:before="106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3.16</w:t>
            </w:r>
          </w:p>
        </w:tc>
        <w:tc>
          <w:tcPr>
            <w:tcW w:w="630" w:type="dxa"/>
            <w:vAlign w:val="top"/>
          </w:tcPr>
          <w:p>
            <w:pPr>
              <w:spacing w:before="106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3.41</w:t>
            </w:r>
          </w:p>
        </w:tc>
        <w:tc>
          <w:tcPr>
            <w:tcW w:w="687" w:type="dxa"/>
            <w:vAlign w:val="top"/>
          </w:tcPr>
          <w:p>
            <w:pPr>
              <w:spacing w:before="106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13.17</w:t>
            </w:r>
          </w:p>
        </w:tc>
        <w:tc>
          <w:tcPr>
            <w:tcW w:w="701" w:type="dxa"/>
            <w:vAlign w:val="top"/>
          </w:tcPr>
          <w:p>
            <w:pPr>
              <w:spacing w:before="106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  <w:tc>
          <w:tcPr>
            <w:tcW w:w="708" w:type="dxa"/>
            <w:vAlign w:val="top"/>
          </w:tcPr>
          <w:p>
            <w:pPr>
              <w:spacing w:before="106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5.36</w:t>
            </w:r>
          </w:p>
        </w:tc>
        <w:tc>
          <w:tcPr>
            <w:tcW w:w="693" w:type="dxa"/>
            <w:vAlign w:val="top"/>
          </w:tcPr>
          <w:p>
            <w:pPr>
              <w:spacing w:before="106" w:line="197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4.26</w:t>
            </w:r>
          </w:p>
        </w:tc>
        <w:tc>
          <w:tcPr>
            <w:tcW w:w="665" w:type="dxa"/>
            <w:vAlign w:val="top"/>
          </w:tcPr>
          <w:p>
            <w:pPr>
              <w:spacing w:before="106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18.50</w:t>
            </w:r>
          </w:p>
        </w:tc>
        <w:tc>
          <w:tcPr>
            <w:tcW w:w="661" w:type="dxa"/>
            <w:vAlign w:val="top"/>
          </w:tcPr>
          <w:p>
            <w:pPr>
              <w:spacing w:before="106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17.50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25" w:lineRule="auto"/>
              <w:ind w:left="2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蓝色光标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300058.SZ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8.33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8.34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0.14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0.28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59.50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29.75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20.49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13.45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8.20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9.70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6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完美世界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002624.SZ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13.32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18.61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0.85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29.60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15.67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16.66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10.41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9.40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21" w:lineRule="auto"/>
              <w:ind w:left="307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吉比特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603444.SH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267.59</w:t>
            </w:r>
          </w:p>
        </w:tc>
        <w:tc>
          <w:tcPr>
            <w:tcW w:w="953" w:type="dxa"/>
            <w:vAlign w:val="top"/>
          </w:tcPr>
          <w:p>
            <w:pPr>
              <w:spacing w:before="107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372.95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16.95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21.69</w:t>
            </w:r>
          </w:p>
        </w:tc>
        <w:tc>
          <w:tcPr>
            <w:tcW w:w="687" w:type="dxa"/>
            <w:vAlign w:val="top"/>
          </w:tcPr>
          <w:p>
            <w:pPr>
              <w:spacing w:before="107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15.79</w:t>
            </w:r>
          </w:p>
        </w:tc>
        <w:tc>
          <w:tcPr>
            <w:tcW w:w="701" w:type="dxa"/>
            <w:vAlign w:val="top"/>
          </w:tcPr>
          <w:p>
            <w:pPr>
              <w:spacing w:before="107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12.34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11.57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8.36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27.90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32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三七互娱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002555.SZ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22.87</w:t>
            </w:r>
          </w:p>
        </w:tc>
        <w:tc>
          <w:tcPr>
            <w:tcW w:w="953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2023/10/31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32.26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8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1.47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1.67</w:t>
            </w:r>
          </w:p>
        </w:tc>
        <w:tc>
          <w:tcPr>
            <w:tcW w:w="687" w:type="dxa"/>
            <w:vAlign w:val="top"/>
          </w:tcPr>
          <w:p>
            <w:pPr>
              <w:spacing w:before="108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15.56</w:t>
            </w:r>
          </w:p>
        </w:tc>
        <w:tc>
          <w:tcPr>
            <w:tcW w:w="701" w:type="dxa"/>
            <w:vAlign w:val="top"/>
          </w:tcPr>
          <w:p>
            <w:pPr>
              <w:spacing w:before="108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13.69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10.68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8.74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24.60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28" w:lineRule="auto"/>
              <w:ind w:left="22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恺英网络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002517.SZ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12.15</w:t>
            </w:r>
          </w:p>
        </w:tc>
        <w:tc>
          <w:tcPr>
            <w:tcW w:w="953" w:type="dxa"/>
            <w:vAlign w:val="top"/>
          </w:tcPr>
          <w:p>
            <w:pPr>
              <w:spacing w:before="108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17.34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0.72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0.88</w:t>
            </w:r>
          </w:p>
        </w:tc>
        <w:tc>
          <w:tcPr>
            <w:tcW w:w="687" w:type="dxa"/>
            <w:vAlign w:val="top"/>
          </w:tcPr>
          <w:p>
            <w:pPr>
              <w:spacing w:before="108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16.88</w:t>
            </w:r>
          </w:p>
        </w:tc>
        <w:tc>
          <w:tcPr>
            <w:tcW w:w="701" w:type="dxa"/>
            <w:vAlign w:val="top"/>
          </w:tcPr>
          <w:p>
            <w:pPr>
              <w:spacing w:before="108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13.81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13.40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1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11.12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26.60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4" w:line="228" w:lineRule="auto"/>
              <w:ind w:left="217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盛天网络</w:t>
            </w:r>
          </w:p>
        </w:tc>
        <w:tc>
          <w:tcPr>
            <w:tcW w:w="964" w:type="dxa"/>
            <w:vAlign w:val="top"/>
          </w:tcPr>
          <w:p>
            <w:pPr>
              <w:spacing w:before="106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300494.SZ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7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19.06</w:t>
            </w:r>
          </w:p>
        </w:tc>
        <w:tc>
          <w:tcPr>
            <w:tcW w:w="953" w:type="dxa"/>
            <w:vAlign w:val="top"/>
          </w:tcPr>
          <w:p>
            <w:pPr>
              <w:spacing w:before="107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4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7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24.05</w:t>
            </w:r>
          </w:p>
        </w:tc>
        <w:tc>
          <w:tcPr>
            <w:tcW w:w="622" w:type="dxa"/>
            <w:vAlign w:val="top"/>
          </w:tcPr>
          <w:p>
            <w:pPr>
              <w:spacing w:before="107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0.45</w:t>
            </w:r>
          </w:p>
        </w:tc>
        <w:tc>
          <w:tcPr>
            <w:tcW w:w="630" w:type="dxa"/>
            <w:vAlign w:val="top"/>
          </w:tcPr>
          <w:p>
            <w:pPr>
              <w:spacing w:before="107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0.65</w:t>
            </w:r>
          </w:p>
        </w:tc>
        <w:tc>
          <w:tcPr>
            <w:tcW w:w="687" w:type="dxa"/>
            <w:vAlign w:val="top"/>
          </w:tcPr>
          <w:p>
            <w:pPr>
              <w:spacing w:before="107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42.36</w:t>
            </w:r>
          </w:p>
        </w:tc>
        <w:tc>
          <w:tcPr>
            <w:tcW w:w="701" w:type="dxa"/>
            <w:vAlign w:val="top"/>
          </w:tcPr>
          <w:p>
            <w:pPr>
              <w:spacing w:before="107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29.32</w:t>
            </w:r>
          </w:p>
        </w:tc>
        <w:tc>
          <w:tcPr>
            <w:tcW w:w="708" w:type="dxa"/>
            <w:vAlign w:val="top"/>
          </w:tcPr>
          <w:p>
            <w:pPr>
              <w:spacing w:before="107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26.75</w:t>
            </w:r>
          </w:p>
        </w:tc>
        <w:tc>
          <w:tcPr>
            <w:tcW w:w="693" w:type="dxa"/>
            <w:vAlign w:val="top"/>
          </w:tcPr>
          <w:p>
            <w:pPr>
              <w:spacing w:before="107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17.15</w:t>
            </w:r>
          </w:p>
        </w:tc>
        <w:tc>
          <w:tcPr>
            <w:tcW w:w="665" w:type="dxa"/>
            <w:vAlign w:val="top"/>
          </w:tcPr>
          <w:p>
            <w:pPr>
              <w:spacing w:before="107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12.70</w:t>
            </w:r>
          </w:p>
        </w:tc>
        <w:tc>
          <w:tcPr>
            <w:tcW w:w="661" w:type="dxa"/>
            <w:vAlign w:val="top"/>
          </w:tcPr>
          <w:p>
            <w:pPr>
              <w:spacing w:before="107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1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分众传媒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002027.SZ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6.14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2023/12/12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8.40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0.35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0.44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17.54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13.95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14.67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18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11.11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24.10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24.40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0" w:lineRule="auto"/>
              <w:ind w:left="299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天下秀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600556.SH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6.43</w:t>
            </w:r>
          </w:p>
        </w:tc>
        <w:tc>
          <w:tcPr>
            <w:tcW w:w="953" w:type="dxa"/>
            <w:vAlign w:val="top"/>
          </w:tcPr>
          <w:p>
            <w:pPr>
              <w:spacing w:before="111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6.85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0.08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0.14</w:t>
            </w:r>
          </w:p>
        </w:tc>
        <w:tc>
          <w:tcPr>
            <w:tcW w:w="687" w:type="dxa"/>
            <w:vAlign w:val="top"/>
          </w:tcPr>
          <w:p>
            <w:pPr>
              <w:spacing w:before="111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80.38</w:t>
            </w:r>
          </w:p>
        </w:tc>
        <w:tc>
          <w:tcPr>
            <w:tcW w:w="701" w:type="dxa"/>
            <w:vAlign w:val="top"/>
          </w:tcPr>
          <w:p>
            <w:pPr>
              <w:spacing w:before="111" w:line="197" w:lineRule="auto"/>
              <w:ind w:left="1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45.93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46.87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28.41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3.70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18" w:lineRule="auto"/>
              <w:ind w:left="225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兆讯传媒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301102.SZ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4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8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20.54</w:t>
            </w:r>
          </w:p>
        </w:tc>
        <w:tc>
          <w:tcPr>
            <w:tcW w:w="953" w:type="dxa"/>
            <w:vAlign w:val="top"/>
          </w:tcPr>
          <w:p>
            <w:pPr>
              <w:spacing w:before="108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5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8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25.05</w:t>
            </w:r>
          </w:p>
        </w:tc>
        <w:tc>
          <w:tcPr>
            <w:tcW w:w="622" w:type="dxa"/>
            <w:vAlign w:val="top"/>
          </w:tcPr>
          <w:p>
            <w:pPr>
              <w:spacing w:before="108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0.70</w:t>
            </w:r>
          </w:p>
        </w:tc>
        <w:tc>
          <w:tcPr>
            <w:tcW w:w="630" w:type="dxa"/>
            <w:vAlign w:val="top"/>
          </w:tcPr>
          <w:p>
            <w:pPr>
              <w:spacing w:before="108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1.00</w:t>
            </w:r>
          </w:p>
        </w:tc>
        <w:tc>
          <w:tcPr>
            <w:tcW w:w="687" w:type="dxa"/>
            <w:vAlign w:val="top"/>
          </w:tcPr>
          <w:p>
            <w:pPr>
              <w:spacing w:before="108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29.34</w:t>
            </w:r>
          </w:p>
        </w:tc>
        <w:tc>
          <w:tcPr>
            <w:tcW w:w="701" w:type="dxa"/>
            <w:vAlign w:val="top"/>
          </w:tcPr>
          <w:p>
            <w:pPr>
              <w:spacing w:before="108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20.54</w:t>
            </w:r>
          </w:p>
        </w:tc>
        <w:tc>
          <w:tcPr>
            <w:tcW w:w="708" w:type="dxa"/>
            <w:vAlign w:val="top"/>
          </w:tcPr>
          <w:p>
            <w:pPr>
              <w:spacing w:before="108" w:line="197" w:lineRule="auto"/>
              <w:ind w:left="20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6.29</w:t>
            </w:r>
          </w:p>
        </w:tc>
        <w:tc>
          <w:tcPr>
            <w:tcW w:w="693" w:type="dxa"/>
            <w:vAlign w:val="top"/>
          </w:tcPr>
          <w:p>
            <w:pPr>
              <w:spacing w:before="108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5.59</w:t>
            </w:r>
          </w:p>
        </w:tc>
        <w:tc>
          <w:tcPr>
            <w:tcW w:w="665" w:type="dxa"/>
            <w:vAlign w:val="top"/>
          </w:tcPr>
          <w:p>
            <w:pPr>
              <w:spacing w:before="108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6.40</w:t>
            </w:r>
          </w:p>
        </w:tc>
        <w:tc>
          <w:tcPr>
            <w:tcW w:w="661" w:type="dxa"/>
            <w:vAlign w:val="top"/>
          </w:tcPr>
          <w:p>
            <w:pPr>
              <w:spacing w:before="108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8.50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16" w:lineRule="auto"/>
              <w:ind w:left="21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华策影视</w:t>
            </w:r>
          </w:p>
        </w:tc>
        <w:tc>
          <w:tcPr>
            <w:tcW w:w="964" w:type="dxa"/>
            <w:vAlign w:val="top"/>
          </w:tcPr>
          <w:p>
            <w:pPr>
              <w:spacing w:before="110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300133.SZ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8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16.06</w:t>
            </w:r>
          </w:p>
        </w:tc>
        <w:tc>
          <w:tcPr>
            <w:tcW w:w="953" w:type="dxa"/>
            <w:vAlign w:val="top"/>
          </w:tcPr>
          <w:p>
            <w:pPr>
              <w:spacing w:before="111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2022/4/29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14.26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0.39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0.47</w:t>
            </w:r>
          </w:p>
        </w:tc>
        <w:tc>
          <w:tcPr>
            <w:tcW w:w="687" w:type="dxa"/>
            <w:vAlign w:val="top"/>
          </w:tcPr>
          <w:p>
            <w:pPr>
              <w:spacing w:before="111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41.18</w:t>
            </w:r>
          </w:p>
        </w:tc>
        <w:tc>
          <w:tcPr>
            <w:tcW w:w="701" w:type="dxa"/>
            <w:vAlign w:val="top"/>
          </w:tcPr>
          <w:p>
            <w:pPr>
              <w:spacing w:before="111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34.17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19.06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15.13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7.40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9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新经典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603096.SH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7.50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2022/12/4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15.34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0.44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0.57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17.05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13.16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10.56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9.36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8.10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9.70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8" w:lineRule="auto"/>
              <w:ind w:left="23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中南传媒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601098.SH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7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6.57</w:t>
            </w:r>
          </w:p>
        </w:tc>
        <w:tc>
          <w:tcPr>
            <w:tcW w:w="953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7.88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0.26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0.32</w:t>
            </w:r>
          </w:p>
        </w:tc>
        <w:tc>
          <w:tcPr>
            <w:tcW w:w="687" w:type="dxa"/>
            <w:vAlign w:val="top"/>
          </w:tcPr>
          <w:p>
            <w:pPr>
              <w:spacing w:before="110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25.27</w:t>
            </w:r>
          </w:p>
        </w:tc>
        <w:tc>
          <w:tcPr>
            <w:tcW w:w="701" w:type="dxa"/>
            <w:vAlign w:val="top"/>
          </w:tcPr>
          <w:p>
            <w:pPr>
              <w:spacing w:before="11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20.53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10.76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8.60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6.80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3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中信出版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300788.SZ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20.91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25.09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0.95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1.14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22.01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18.34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10.13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8.43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8" w:lineRule="auto"/>
              <w:ind w:left="232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中国科传</w:t>
            </w:r>
          </w:p>
        </w:tc>
        <w:tc>
          <w:tcPr>
            <w:tcW w:w="964" w:type="dxa"/>
            <w:vAlign w:val="top"/>
          </w:tcPr>
          <w:p>
            <w:pPr>
              <w:spacing w:before="108" w:line="199" w:lineRule="auto"/>
              <w:ind w:left="10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601858.SH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6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11.32</w:t>
            </w:r>
          </w:p>
        </w:tc>
        <w:tc>
          <w:tcPr>
            <w:tcW w:w="953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14.73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0.89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0.98</w:t>
            </w:r>
          </w:p>
        </w:tc>
        <w:tc>
          <w:tcPr>
            <w:tcW w:w="687" w:type="dxa"/>
            <w:vAlign w:val="top"/>
          </w:tcPr>
          <w:p>
            <w:pPr>
              <w:spacing w:before="110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12.72</w:t>
            </w:r>
          </w:p>
        </w:tc>
        <w:tc>
          <w:tcPr>
            <w:tcW w:w="701" w:type="dxa"/>
            <w:vAlign w:val="top"/>
          </w:tcPr>
          <w:p>
            <w:pPr>
              <w:spacing w:before="110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11.55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4.21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3.34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85" w:line="223" w:lineRule="auto"/>
              <w:ind w:left="209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视源股份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002841.SZ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31.94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32.18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0.89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1.24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35.89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25.76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10.67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8.87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7.90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18" w:lineRule="auto"/>
              <w:ind w:left="21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华立科技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301011.SZ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26.16</w:t>
            </w:r>
          </w:p>
        </w:tc>
        <w:tc>
          <w:tcPr>
            <w:tcW w:w="953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2022/10/30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9.32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0.67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0.71</w:t>
            </w:r>
          </w:p>
        </w:tc>
        <w:tc>
          <w:tcPr>
            <w:tcW w:w="687" w:type="dxa"/>
            <w:vAlign w:val="top"/>
          </w:tcPr>
          <w:p>
            <w:pPr>
              <w:spacing w:before="110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39.04</w:t>
            </w:r>
          </w:p>
        </w:tc>
        <w:tc>
          <w:tcPr>
            <w:tcW w:w="701" w:type="dxa"/>
            <w:vAlign w:val="top"/>
          </w:tcPr>
          <w:p>
            <w:pPr>
              <w:spacing w:before="110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36.85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4.85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3.46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9.80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9.40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6" w:line="218" w:lineRule="auto"/>
              <w:ind w:left="230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电广传媒</w:t>
            </w:r>
          </w:p>
        </w:tc>
        <w:tc>
          <w:tcPr>
            <w:tcW w:w="964" w:type="dxa"/>
            <w:vAlign w:val="top"/>
          </w:tcPr>
          <w:p>
            <w:pPr>
              <w:spacing w:before="107" w:line="199" w:lineRule="auto"/>
              <w:ind w:left="1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000917.SZ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5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09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9.73</w:t>
            </w:r>
          </w:p>
        </w:tc>
        <w:tc>
          <w:tcPr>
            <w:tcW w:w="953" w:type="dxa"/>
            <w:vAlign w:val="top"/>
          </w:tcPr>
          <w:p>
            <w:pPr>
              <w:spacing w:before="109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6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09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15.58</w:t>
            </w:r>
          </w:p>
        </w:tc>
        <w:tc>
          <w:tcPr>
            <w:tcW w:w="622" w:type="dxa"/>
            <w:vAlign w:val="top"/>
          </w:tcPr>
          <w:p>
            <w:pPr>
              <w:spacing w:before="109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0.87</w:t>
            </w:r>
          </w:p>
        </w:tc>
        <w:tc>
          <w:tcPr>
            <w:tcW w:w="630" w:type="dxa"/>
            <w:vAlign w:val="top"/>
          </w:tcPr>
          <w:p>
            <w:pPr>
              <w:spacing w:before="109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0.95</w:t>
            </w:r>
          </w:p>
        </w:tc>
        <w:tc>
          <w:tcPr>
            <w:tcW w:w="687" w:type="dxa"/>
            <w:vAlign w:val="top"/>
          </w:tcPr>
          <w:p>
            <w:pPr>
              <w:spacing w:before="109" w:line="197" w:lineRule="auto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11.18</w:t>
            </w:r>
          </w:p>
        </w:tc>
        <w:tc>
          <w:tcPr>
            <w:tcW w:w="701" w:type="dxa"/>
            <w:vAlign w:val="top"/>
          </w:tcPr>
          <w:p>
            <w:pPr>
              <w:spacing w:before="109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10.24</w:t>
            </w:r>
          </w:p>
        </w:tc>
        <w:tc>
          <w:tcPr>
            <w:tcW w:w="708" w:type="dxa"/>
            <w:vAlign w:val="top"/>
          </w:tcPr>
          <w:p>
            <w:pPr>
              <w:spacing w:before="109" w:line="197" w:lineRule="auto"/>
              <w:ind w:left="20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6.64</w:t>
            </w:r>
          </w:p>
        </w:tc>
        <w:tc>
          <w:tcPr>
            <w:tcW w:w="693" w:type="dxa"/>
            <w:vAlign w:val="top"/>
          </w:tcPr>
          <w:p>
            <w:pPr>
              <w:spacing w:before="109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5.53</w:t>
            </w:r>
          </w:p>
        </w:tc>
        <w:tc>
          <w:tcPr>
            <w:tcW w:w="665" w:type="dxa"/>
            <w:vAlign w:val="top"/>
          </w:tcPr>
          <w:p>
            <w:pPr>
              <w:spacing w:before="109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12.10</w:t>
            </w:r>
          </w:p>
        </w:tc>
        <w:tc>
          <w:tcPr>
            <w:tcW w:w="661" w:type="dxa"/>
            <w:vAlign w:val="top"/>
          </w:tcPr>
          <w:p>
            <w:pPr>
              <w:spacing w:before="109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12.60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1" w:lineRule="auto"/>
              <w:ind w:left="231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易点天下</w:t>
            </w:r>
          </w:p>
        </w:tc>
        <w:tc>
          <w:tcPr>
            <w:tcW w:w="964" w:type="dxa"/>
            <w:vAlign w:val="top"/>
          </w:tcPr>
          <w:p>
            <w:pPr>
              <w:spacing w:before="109" w:line="199" w:lineRule="auto"/>
              <w:ind w:left="12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301171.SZ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18" w:lineRule="auto"/>
              <w:ind w:left="73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人民币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2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43.70</w:t>
            </w:r>
          </w:p>
        </w:tc>
        <w:tc>
          <w:tcPr>
            <w:tcW w:w="953" w:type="dxa"/>
            <w:vAlign w:val="top"/>
          </w:tcPr>
          <w:p>
            <w:pPr>
              <w:spacing w:before="110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63.27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2.15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3.16</w:t>
            </w:r>
          </w:p>
        </w:tc>
        <w:tc>
          <w:tcPr>
            <w:tcW w:w="687" w:type="dxa"/>
            <w:vAlign w:val="top"/>
          </w:tcPr>
          <w:p>
            <w:pPr>
              <w:spacing w:before="110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20.33</w:t>
            </w:r>
          </w:p>
        </w:tc>
        <w:tc>
          <w:tcPr>
            <w:tcW w:w="701" w:type="dxa"/>
            <w:vAlign w:val="top"/>
          </w:tcPr>
          <w:p>
            <w:pPr>
              <w:spacing w:before="110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13.83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15.01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10.16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11.20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2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4" w:lineRule="auto"/>
              <w:ind w:left="2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猫眼娱乐</w:t>
            </w:r>
          </w:p>
        </w:tc>
        <w:tc>
          <w:tcPr>
            <w:tcW w:w="964" w:type="dxa"/>
            <w:vAlign w:val="top"/>
          </w:tcPr>
          <w:p>
            <w:pPr>
              <w:spacing w:before="111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01896.HK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22.63</w:t>
            </w:r>
          </w:p>
        </w:tc>
        <w:tc>
          <w:tcPr>
            <w:tcW w:w="953" w:type="dxa"/>
            <w:vAlign w:val="top"/>
          </w:tcPr>
          <w:p>
            <w:pPr>
              <w:spacing w:before="111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2023/10/30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27.62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0.38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0.69</w:t>
            </w:r>
          </w:p>
        </w:tc>
        <w:tc>
          <w:tcPr>
            <w:tcW w:w="687" w:type="dxa"/>
            <w:vAlign w:val="top"/>
          </w:tcPr>
          <w:p>
            <w:pPr>
              <w:spacing w:before="111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59.55</w:t>
            </w:r>
          </w:p>
        </w:tc>
        <w:tc>
          <w:tcPr>
            <w:tcW w:w="701" w:type="dxa"/>
            <w:vAlign w:val="top"/>
          </w:tcPr>
          <w:p>
            <w:pPr>
              <w:spacing w:before="111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32.80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19.84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15.17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7.60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7"/>
        </w:trPr>
        <w:tc>
          <w:tcPr>
            <w:tcW w:w="1036" w:type="dxa"/>
            <w:vAlign w:val="top"/>
          </w:tcPr>
          <w:p>
            <w:pPr>
              <w:pStyle w:val="TableText"/>
              <w:spacing w:before="92" w:line="220" w:lineRule="auto"/>
              <w:ind w:left="22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阿里健康</w:t>
            </w:r>
          </w:p>
        </w:tc>
        <w:tc>
          <w:tcPr>
            <w:tcW w:w="964" w:type="dxa"/>
            <w:vAlign w:val="top"/>
          </w:tcPr>
          <w:p>
            <w:pPr>
              <w:spacing w:before="115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00241.HK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2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5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6.11</w:t>
            </w:r>
          </w:p>
        </w:tc>
        <w:tc>
          <w:tcPr>
            <w:tcW w:w="953" w:type="dxa"/>
            <w:vAlign w:val="top"/>
          </w:tcPr>
          <w:p>
            <w:pPr>
              <w:spacing w:before="115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2023/12/13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2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5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8.17</w:t>
            </w:r>
          </w:p>
        </w:tc>
        <w:tc>
          <w:tcPr>
            <w:tcW w:w="622" w:type="dxa"/>
            <w:vAlign w:val="top"/>
          </w:tcPr>
          <w:p>
            <w:pPr>
              <w:spacing w:before="115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0.14</w:t>
            </w:r>
          </w:p>
        </w:tc>
        <w:tc>
          <w:tcPr>
            <w:tcW w:w="630" w:type="dxa"/>
            <w:vAlign w:val="top"/>
          </w:tcPr>
          <w:p>
            <w:pPr>
              <w:spacing w:before="115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0.27</w:t>
            </w:r>
          </w:p>
        </w:tc>
        <w:tc>
          <w:tcPr>
            <w:tcW w:w="687" w:type="dxa"/>
            <w:vAlign w:val="top"/>
          </w:tcPr>
          <w:p>
            <w:pPr>
              <w:spacing w:before="115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43.64</w:t>
            </w:r>
          </w:p>
        </w:tc>
        <w:tc>
          <w:tcPr>
            <w:tcW w:w="701" w:type="dxa"/>
            <w:vAlign w:val="top"/>
          </w:tcPr>
          <w:p>
            <w:pPr>
              <w:spacing w:before="115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22.63</w:t>
            </w:r>
          </w:p>
        </w:tc>
        <w:tc>
          <w:tcPr>
            <w:tcW w:w="708" w:type="dxa"/>
            <w:vAlign w:val="top"/>
          </w:tcPr>
          <w:p>
            <w:pPr>
              <w:spacing w:before="115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34.04</w:t>
            </w:r>
          </w:p>
        </w:tc>
        <w:tc>
          <w:tcPr>
            <w:tcW w:w="693" w:type="dxa"/>
            <w:vAlign w:val="top"/>
          </w:tcPr>
          <w:p>
            <w:pPr>
              <w:spacing w:before="115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15.06</w:t>
            </w:r>
          </w:p>
        </w:tc>
        <w:tc>
          <w:tcPr>
            <w:tcW w:w="665" w:type="dxa"/>
            <w:vAlign w:val="top"/>
          </w:tcPr>
          <w:p>
            <w:pPr>
              <w:spacing w:before="115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1.95</w:t>
            </w:r>
          </w:p>
        </w:tc>
        <w:tc>
          <w:tcPr>
            <w:tcW w:w="661" w:type="dxa"/>
            <w:vAlign w:val="top"/>
          </w:tcPr>
          <w:p>
            <w:pPr>
              <w:spacing w:before="115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3.58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91" w:line="221" w:lineRule="auto"/>
              <w:ind w:left="2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美团</w:t>
            </w: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-W</w:t>
            </w:r>
          </w:p>
        </w:tc>
        <w:tc>
          <w:tcPr>
            <w:tcW w:w="964" w:type="dxa"/>
            <w:vAlign w:val="top"/>
          </w:tcPr>
          <w:p>
            <w:pPr>
              <w:spacing w:before="114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03690.HK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1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4" w:line="197" w:lineRule="auto"/>
              <w:ind w:left="12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21.84</w:t>
            </w:r>
          </w:p>
        </w:tc>
        <w:tc>
          <w:tcPr>
            <w:tcW w:w="953" w:type="dxa"/>
            <w:vAlign w:val="top"/>
          </w:tcPr>
          <w:p>
            <w:pPr>
              <w:spacing w:before="114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1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5" w:line="197" w:lineRule="auto"/>
              <w:ind w:left="23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27.11</w:t>
            </w:r>
          </w:p>
        </w:tc>
        <w:tc>
          <w:tcPr>
            <w:tcW w:w="622" w:type="dxa"/>
            <w:vAlign w:val="top"/>
          </w:tcPr>
          <w:p>
            <w:pPr>
              <w:spacing w:before="114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0.51</w:t>
            </w:r>
          </w:p>
        </w:tc>
        <w:tc>
          <w:tcPr>
            <w:tcW w:w="630" w:type="dxa"/>
            <w:vAlign w:val="top"/>
          </w:tcPr>
          <w:p>
            <w:pPr>
              <w:spacing w:before="114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0.64</w:t>
            </w:r>
          </w:p>
        </w:tc>
        <w:tc>
          <w:tcPr>
            <w:tcW w:w="687" w:type="dxa"/>
            <w:vAlign w:val="top"/>
          </w:tcPr>
          <w:p>
            <w:pPr>
              <w:spacing w:before="114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42.82</w:t>
            </w:r>
          </w:p>
        </w:tc>
        <w:tc>
          <w:tcPr>
            <w:tcW w:w="701" w:type="dxa"/>
            <w:vAlign w:val="top"/>
          </w:tcPr>
          <w:p>
            <w:pPr>
              <w:spacing w:before="114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34.13</w:t>
            </w:r>
          </w:p>
        </w:tc>
        <w:tc>
          <w:tcPr>
            <w:tcW w:w="708" w:type="dxa"/>
            <w:vAlign w:val="top"/>
          </w:tcPr>
          <w:p>
            <w:pPr>
              <w:spacing w:before="114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29.18</w:t>
            </w:r>
          </w:p>
        </w:tc>
        <w:tc>
          <w:tcPr>
            <w:tcW w:w="693" w:type="dxa"/>
            <w:vAlign w:val="top"/>
          </w:tcPr>
          <w:p>
            <w:pPr>
              <w:spacing w:before="114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23.20</w:t>
            </w:r>
          </w:p>
        </w:tc>
        <w:tc>
          <w:tcPr>
            <w:tcW w:w="665" w:type="dxa"/>
            <w:vAlign w:val="top"/>
          </w:tcPr>
          <w:p>
            <w:pPr>
              <w:spacing w:before="114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7.00</w:t>
            </w:r>
          </w:p>
        </w:tc>
        <w:tc>
          <w:tcPr>
            <w:tcW w:w="661" w:type="dxa"/>
            <w:vAlign w:val="top"/>
          </w:tcPr>
          <w:p>
            <w:pPr>
              <w:spacing w:before="114" w:line="197" w:lineRule="auto"/>
              <w:ind w:left="1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0" w:lineRule="auto"/>
              <w:ind w:left="22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心动公司</w:t>
            </w:r>
          </w:p>
        </w:tc>
        <w:tc>
          <w:tcPr>
            <w:tcW w:w="964" w:type="dxa"/>
            <w:vAlign w:val="top"/>
          </w:tcPr>
          <w:p>
            <w:pPr>
              <w:spacing w:before="112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02400.HK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3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32.01</w:t>
            </w:r>
          </w:p>
        </w:tc>
        <w:tc>
          <w:tcPr>
            <w:tcW w:w="953" w:type="dxa"/>
            <w:vAlign w:val="top"/>
          </w:tcPr>
          <w:p>
            <w:pPr>
              <w:spacing w:before="112" w:line="197" w:lineRule="auto"/>
              <w:ind w:left="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2022/10/28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163.78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3.64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5.56</w:t>
            </w:r>
          </w:p>
        </w:tc>
        <w:tc>
          <w:tcPr>
            <w:tcW w:w="687" w:type="dxa"/>
            <w:vAlign w:val="top"/>
          </w:tcPr>
          <w:p>
            <w:pPr>
              <w:spacing w:before="112" w:line="197" w:lineRule="auto"/>
              <w:ind w:left="17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8.79</w:t>
            </w:r>
          </w:p>
        </w:tc>
        <w:tc>
          <w:tcPr>
            <w:tcW w:w="701" w:type="dxa"/>
            <w:vAlign w:val="top"/>
          </w:tcPr>
          <w:p>
            <w:pPr>
              <w:spacing w:before="112" w:line="197" w:lineRule="auto"/>
              <w:ind w:left="19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5.76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19.27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11.86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25.2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27.8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18" w:lineRule="auto"/>
              <w:ind w:left="313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中手游</w:t>
            </w:r>
          </w:p>
        </w:tc>
        <w:tc>
          <w:tcPr>
            <w:tcW w:w="964" w:type="dxa"/>
            <w:vAlign w:val="top"/>
          </w:tcPr>
          <w:p>
            <w:pPr>
              <w:spacing w:before="112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00302.HK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8.45</w:t>
            </w:r>
          </w:p>
        </w:tc>
        <w:tc>
          <w:tcPr>
            <w:tcW w:w="953" w:type="dxa"/>
            <w:vAlign w:val="top"/>
          </w:tcPr>
          <w:p>
            <w:pPr>
              <w:spacing w:before="11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2023/8/21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16.85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0.77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0.95</w:t>
            </w:r>
          </w:p>
        </w:tc>
        <w:tc>
          <w:tcPr>
            <w:tcW w:w="687" w:type="dxa"/>
            <w:vAlign w:val="top"/>
          </w:tcPr>
          <w:p>
            <w:pPr>
              <w:spacing w:before="112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9.98</w:t>
            </w:r>
          </w:p>
        </w:tc>
        <w:tc>
          <w:tcPr>
            <w:tcW w:w="701" w:type="dxa"/>
            <w:vAlign w:val="top"/>
          </w:tcPr>
          <w:p>
            <w:pPr>
              <w:spacing w:before="112" w:line="197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8.09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7.21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5.28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9.90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11.00</w:t>
            </w:r>
          </w:p>
        </w:tc>
      </w:tr>
    </w:tbl>
    <w:p>
      <w:pPr>
        <w:sectPr>
          <w:headerReference w:type="default" r:id="rId14"/>
          <w:footerReference w:type="default" r:id="rId15"/>
          <w:pgSz w:w="11907" w:h="16839"/>
          <w:pgMar w:top="1383" w:right="497" w:bottom="1289" w:left="492" w:header="794" w:footer="723" w:gutter="0"/>
          <w:pgNumType w:start="3"/>
          <w:cols w:space="708"/>
        </w:sectPr>
      </w:pPr>
    </w:p>
    <w:tbl>
      <w:tblPr>
        <w:tblStyle w:val="TableNormal2"/>
        <w:tblW w:w="1091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36"/>
        <w:gridCol w:w="964"/>
        <w:gridCol w:w="610"/>
        <w:gridCol w:w="635"/>
        <w:gridCol w:w="953"/>
        <w:gridCol w:w="517"/>
        <w:gridCol w:w="835"/>
        <w:gridCol w:w="622"/>
        <w:gridCol w:w="630"/>
        <w:gridCol w:w="687"/>
        <w:gridCol w:w="701"/>
        <w:gridCol w:w="708"/>
        <w:gridCol w:w="693"/>
        <w:gridCol w:w="665"/>
        <w:gridCol w:w="661"/>
      </w:tblGrid>
      <w:tr>
        <w:tblPrEx>
          <w:tblW w:w="1091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3"/>
        </w:trPr>
        <w:tc>
          <w:tcPr>
            <w:tcW w:w="1036" w:type="dxa"/>
            <w:vAlign w:val="top"/>
          </w:tcPr>
          <w:p>
            <w:pPr>
              <w:pStyle w:val="TableText"/>
              <w:spacing w:before="87" w:line="221" w:lineRule="auto"/>
              <w:ind w:left="22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泡泡玛特</w:t>
            </w:r>
          </w:p>
        </w:tc>
        <w:tc>
          <w:tcPr>
            <w:tcW w:w="964" w:type="dxa"/>
            <w:vAlign w:val="top"/>
          </w:tcPr>
          <w:p>
            <w:pPr>
              <w:spacing w:before="110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09992.HK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7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0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4.11</w:t>
            </w:r>
          </w:p>
        </w:tc>
        <w:tc>
          <w:tcPr>
            <w:tcW w:w="953" w:type="dxa"/>
            <w:vAlign w:val="top"/>
          </w:tcPr>
          <w:p>
            <w:pPr>
              <w:spacing w:before="110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2023/2/25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7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0" w:line="197" w:lineRule="auto"/>
              <w:ind w:left="28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7.87</w:t>
            </w:r>
          </w:p>
        </w:tc>
        <w:tc>
          <w:tcPr>
            <w:tcW w:w="622" w:type="dxa"/>
            <w:vAlign w:val="top"/>
          </w:tcPr>
          <w:p>
            <w:pPr>
              <w:spacing w:before="110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0.02</w:t>
            </w:r>
          </w:p>
        </w:tc>
        <w:tc>
          <w:tcPr>
            <w:tcW w:w="630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0.05</w:t>
            </w:r>
          </w:p>
        </w:tc>
        <w:tc>
          <w:tcPr>
            <w:tcW w:w="687" w:type="dxa"/>
            <w:vAlign w:val="top"/>
          </w:tcPr>
          <w:p>
            <w:pPr>
              <w:spacing w:before="110" w:line="197" w:lineRule="auto"/>
              <w:ind w:left="10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174.68</w:t>
            </w:r>
          </w:p>
        </w:tc>
        <w:tc>
          <w:tcPr>
            <w:tcW w:w="701" w:type="dxa"/>
            <w:vAlign w:val="top"/>
          </w:tcPr>
          <w:p>
            <w:pPr>
              <w:spacing w:before="110" w:line="197" w:lineRule="auto"/>
              <w:ind w:left="15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74.79</w:t>
            </w:r>
          </w:p>
        </w:tc>
        <w:tc>
          <w:tcPr>
            <w:tcW w:w="708" w:type="dxa"/>
            <w:vAlign w:val="top"/>
          </w:tcPr>
          <w:p>
            <w:pPr>
              <w:spacing w:before="110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22.15</w:t>
            </w:r>
          </w:p>
        </w:tc>
        <w:tc>
          <w:tcPr>
            <w:tcW w:w="693" w:type="dxa"/>
            <w:vAlign w:val="top"/>
          </w:tcPr>
          <w:p>
            <w:pPr>
              <w:spacing w:before="110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16.73</w:t>
            </w:r>
          </w:p>
        </w:tc>
        <w:tc>
          <w:tcPr>
            <w:tcW w:w="665" w:type="dxa"/>
            <w:vAlign w:val="top"/>
          </w:tcPr>
          <w:p>
            <w:pPr>
              <w:spacing w:before="110" w:line="197" w:lineRule="auto"/>
              <w:ind w:left="18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2.01</w:t>
            </w:r>
          </w:p>
        </w:tc>
        <w:tc>
          <w:tcPr>
            <w:tcW w:w="661" w:type="dxa"/>
            <w:vAlign w:val="top"/>
          </w:tcPr>
          <w:p>
            <w:pPr>
              <w:spacing w:before="110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4.10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91" w:line="223" w:lineRule="auto"/>
              <w:ind w:left="215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哔哩哔哩</w:t>
            </w:r>
          </w:p>
        </w:tc>
        <w:tc>
          <w:tcPr>
            <w:tcW w:w="964" w:type="dxa"/>
            <w:vAlign w:val="top"/>
          </w:tcPr>
          <w:p>
            <w:pPr>
              <w:spacing w:before="112" w:line="199" w:lineRule="auto"/>
              <w:ind w:left="28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BILI.O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1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4" w:line="197" w:lineRule="auto"/>
              <w:ind w:left="13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79.70</w:t>
            </w:r>
          </w:p>
        </w:tc>
        <w:tc>
          <w:tcPr>
            <w:tcW w:w="953" w:type="dxa"/>
            <w:vAlign w:val="top"/>
          </w:tcPr>
          <w:p>
            <w:pPr>
              <w:spacing w:before="114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2023/11/29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1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4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191.56</w:t>
            </w:r>
          </w:p>
        </w:tc>
        <w:tc>
          <w:tcPr>
            <w:tcW w:w="622" w:type="dxa"/>
            <w:vAlign w:val="top"/>
          </w:tcPr>
          <w:p>
            <w:pPr>
              <w:spacing w:before="114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2.58</w:t>
            </w:r>
          </w:p>
        </w:tc>
        <w:tc>
          <w:tcPr>
            <w:tcW w:w="630" w:type="dxa"/>
            <w:vAlign w:val="top"/>
          </w:tcPr>
          <w:p>
            <w:pPr>
              <w:spacing w:before="114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3.94</w:t>
            </w:r>
          </w:p>
        </w:tc>
        <w:tc>
          <w:tcPr>
            <w:tcW w:w="687" w:type="dxa"/>
            <w:vAlign w:val="top"/>
          </w:tcPr>
          <w:p>
            <w:pPr>
              <w:spacing w:before="114" w:line="197" w:lineRule="auto"/>
              <w:ind w:left="13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28.11</w:t>
            </w:r>
          </w:p>
        </w:tc>
        <w:tc>
          <w:tcPr>
            <w:tcW w:w="701" w:type="dxa"/>
            <w:vAlign w:val="top"/>
          </w:tcPr>
          <w:p>
            <w:pPr>
              <w:spacing w:before="114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18.40</w:t>
            </w:r>
          </w:p>
        </w:tc>
        <w:tc>
          <w:tcPr>
            <w:tcW w:w="708" w:type="dxa"/>
            <w:vAlign w:val="top"/>
          </w:tcPr>
          <w:p>
            <w:pPr>
              <w:spacing w:before="114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59.38</w:t>
            </w:r>
          </w:p>
        </w:tc>
        <w:tc>
          <w:tcPr>
            <w:tcW w:w="693" w:type="dxa"/>
            <w:vAlign w:val="top"/>
          </w:tcPr>
          <w:p>
            <w:pPr>
              <w:spacing w:before="114" w:line="197" w:lineRule="auto"/>
              <w:ind w:left="16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26.36</w:t>
            </w:r>
          </w:p>
        </w:tc>
        <w:tc>
          <w:tcPr>
            <w:tcW w:w="665" w:type="dxa"/>
            <w:vAlign w:val="top"/>
          </w:tcPr>
          <w:p>
            <w:pPr>
              <w:spacing w:before="114" w:line="196" w:lineRule="auto"/>
              <w:ind w:left="19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5.74</w:t>
            </w:r>
          </w:p>
        </w:tc>
        <w:tc>
          <w:tcPr>
            <w:tcW w:w="661" w:type="dxa"/>
            <w:vAlign w:val="top"/>
          </w:tcPr>
          <w:p>
            <w:pPr>
              <w:spacing w:before="114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14.28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18" w:lineRule="auto"/>
              <w:ind w:left="302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爱奇艺</w:t>
            </w:r>
          </w:p>
        </w:tc>
        <w:tc>
          <w:tcPr>
            <w:tcW w:w="964" w:type="dxa"/>
            <w:vAlign w:val="top"/>
          </w:tcPr>
          <w:p>
            <w:pPr>
              <w:spacing w:before="111" w:line="199" w:lineRule="auto"/>
              <w:ind w:left="34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IQ.O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11.10</w:t>
            </w:r>
          </w:p>
        </w:tc>
        <w:tc>
          <w:tcPr>
            <w:tcW w:w="953" w:type="dxa"/>
            <w:vAlign w:val="top"/>
          </w:tcPr>
          <w:p>
            <w:pPr>
              <w:spacing w:before="112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2023/4/3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2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42.60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0.16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0.96</w:t>
            </w:r>
          </w:p>
        </w:tc>
        <w:tc>
          <w:tcPr>
            <w:tcW w:w="687" w:type="dxa"/>
            <w:vAlign w:val="top"/>
          </w:tcPr>
          <w:p>
            <w:pPr>
              <w:spacing w:before="112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63.12</w:t>
            </w:r>
          </w:p>
        </w:tc>
        <w:tc>
          <w:tcPr>
            <w:tcW w:w="701" w:type="dxa"/>
            <w:vAlign w:val="top"/>
          </w:tcPr>
          <w:p>
            <w:pPr>
              <w:spacing w:before="112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10.52</w:t>
            </w:r>
          </w:p>
        </w:tc>
        <w:tc>
          <w:tcPr>
            <w:tcW w:w="708" w:type="dxa"/>
            <w:vAlign w:val="top"/>
          </w:tcPr>
          <w:p>
            <w:pPr>
              <w:spacing w:before="112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37.87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12.44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8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4.10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20.50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9" w:line="221" w:lineRule="auto"/>
              <w:ind w:left="394"/>
              <w:rPr>
                <w:sz w:val="16"/>
                <w:szCs w:val="16"/>
              </w:rPr>
            </w:pPr>
            <w:r>
              <w:rPr>
                <w:color w:val="1F497D"/>
                <w:spacing w:val="-6"/>
                <w:sz w:val="16"/>
                <w:szCs w:val="16"/>
              </w:rPr>
              <w:t>网易</w:t>
            </w:r>
          </w:p>
        </w:tc>
        <w:tc>
          <w:tcPr>
            <w:tcW w:w="964" w:type="dxa"/>
            <w:vAlign w:val="top"/>
          </w:tcPr>
          <w:p>
            <w:pPr>
              <w:spacing w:before="111" w:line="199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NTES.O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0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8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1.43</w:t>
            </w:r>
          </w:p>
        </w:tc>
        <w:tc>
          <w:tcPr>
            <w:tcW w:w="953" w:type="dxa"/>
            <w:vAlign w:val="top"/>
          </w:tcPr>
          <w:p>
            <w:pPr>
              <w:spacing w:before="112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2023/3/28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3.93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0.23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0.28</w:t>
            </w:r>
          </w:p>
        </w:tc>
        <w:tc>
          <w:tcPr>
            <w:tcW w:w="687" w:type="dxa"/>
            <w:vAlign w:val="top"/>
          </w:tcPr>
          <w:p>
            <w:pPr>
              <w:spacing w:before="112" w:line="197" w:lineRule="auto"/>
              <w:ind w:left="17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5.66</w:t>
            </w:r>
          </w:p>
        </w:tc>
        <w:tc>
          <w:tcPr>
            <w:tcW w:w="701" w:type="dxa"/>
            <w:vAlign w:val="top"/>
          </w:tcPr>
          <w:p>
            <w:pPr>
              <w:spacing w:before="112" w:line="197" w:lineRule="auto"/>
              <w:ind w:left="19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4.65</w:t>
            </w:r>
          </w:p>
        </w:tc>
        <w:tc>
          <w:tcPr>
            <w:tcW w:w="708" w:type="dxa"/>
            <w:vAlign w:val="top"/>
          </w:tcPr>
          <w:p>
            <w:pPr>
              <w:spacing w:before="114" w:line="195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5.75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2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5.50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10.90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5"/>
        </w:trPr>
        <w:tc>
          <w:tcPr>
            <w:tcW w:w="1036" w:type="dxa"/>
            <w:vAlign w:val="top"/>
          </w:tcPr>
          <w:p>
            <w:pPr>
              <w:pStyle w:val="TableText"/>
              <w:spacing w:before="90" w:line="220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腾讯音乐</w:t>
            </w:r>
          </w:p>
        </w:tc>
        <w:tc>
          <w:tcPr>
            <w:tcW w:w="964" w:type="dxa"/>
            <w:vAlign w:val="top"/>
          </w:tcPr>
          <w:p>
            <w:pPr>
              <w:spacing w:before="113" w:line="197" w:lineRule="auto"/>
              <w:ind w:left="25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TME.N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0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3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19.90</w:t>
            </w:r>
          </w:p>
        </w:tc>
        <w:tc>
          <w:tcPr>
            <w:tcW w:w="953" w:type="dxa"/>
            <w:vAlign w:val="top"/>
          </w:tcPr>
          <w:p>
            <w:pPr>
              <w:spacing w:before="113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2023/8/27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0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3" w:line="197" w:lineRule="auto"/>
              <w:ind w:left="2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36.44</w:t>
            </w:r>
          </w:p>
        </w:tc>
        <w:tc>
          <w:tcPr>
            <w:tcW w:w="622" w:type="dxa"/>
            <w:vAlign w:val="top"/>
          </w:tcPr>
          <w:p>
            <w:pPr>
              <w:spacing w:before="113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0.83</w:t>
            </w:r>
          </w:p>
        </w:tc>
        <w:tc>
          <w:tcPr>
            <w:tcW w:w="630" w:type="dxa"/>
            <w:vAlign w:val="top"/>
          </w:tcPr>
          <w:p>
            <w:pPr>
              <w:spacing w:before="113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1.05</w:t>
            </w:r>
          </w:p>
        </w:tc>
        <w:tc>
          <w:tcPr>
            <w:tcW w:w="687" w:type="dxa"/>
            <w:vAlign w:val="top"/>
          </w:tcPr>
          <w:p>
            <w:pPr>
              <w:spacing w:before="113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21.81</w:t>
            </w:r>
          </w:p>
        </w:tc>
        <w:tc>
          <w:tcPr>
            <w:tcW w:w="701" w:type="dxa"/>
            <w:vAlign w:val="top"/>
          </w:tcPr>
          <w:p>
            <w:pPr>
              <w:spacing w:before="113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17.24</w:t>
            </w:r>
          </w:p>
        </w:tc>
        <w:tc>
          <w:tcPr>
            <w:tcW w:w="708" w:type="dxa"/>
            <w:vAlign w:val="top"/>
          </w:tcPr>
          <w:p>
            <w:pPr>
              <w:spacing w:before="113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20.19</w:t>
            </w:r>
          </w:p>
        </w:tc>
        <w:tc>
          <w:tcPr>
            <w:tcW w:w="693" w:type="dxa"/>
            <w:vAlign w:val="top"/>
          </w:tcPr>
          <w:p>
            <w:pPr>
              <w:spacing w:before="113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15.89</w:t>
            </w:r>
          </w:p>
        </w:tc>
        <w:tc>
          <w:tcPr>
            <w:tcW w:w="665" w:type="dxa"/>
            <w:vAlign w:val="top"/>
          </w:tcPr>
          <w:p>
            <w:pPr>
              <w:spacing w:before="113" w:line="197" w:lineRule="auto"/>
              <w:ind w:left="16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11.47</w:t>
            </w:r>
          </w:p>
        </w:tc>
        <w:tc>
          <w:tcPr>
            <w:tcW w:w="661" w:type="dxa"/>
            <w:vAlign w:val="top"/>
          </w:tcPr>
          <w:p>
            <w:pPr>
              <w:spacing w:before="113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12.31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6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20" w:lineRule="auto"/>
              <w:ind w:left="138"/>
              <w:rPr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 xml:space="preserve">BOSS </w:t>
            </w:r>
            <w:r>
              <w:rPr>
                <w:color w:val="1F497D"/>
                <w:spacing w:val="-2"/>
                <w:sz w:val="16"/>
                <w:szCs w:val="16"/>
              </w:rPr>
              <w:t>直聘</w:t>
            </w:r>
          </w:p>
        </w:tc>
        <w:tc>
          <w:tcPr>
            <w:tcW w:w="964" w:type="dxa"/>
            <w:vAlign w:val="top"/>
          </w:tcPr>
          <w:p>
            <w:pPr>
              <w:spacing w:before="110" w:line="199" w:lineRule="auto"/>
              <w:ind w:left="3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BZ.O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9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2" w:line="197" w:lineRule="auto"/>
              <w:ind w:left="14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11.00</w:t>
            </w:r>
          </w:p>
        </w:tc>
        <w:tc>
          <w:tcPr>
            <w:tcW w:w="953" w:type="dxa"/>
            <w:vAlign w:val="top"/>
          </w:tcPr>
          <w:p>
            <w:pPr>
              <w:spacing w:before="112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2023/11/30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9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2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25.91</w:t>
            </w:r>
          </w:p>
        </w:tc>
        <w:tc>
          <w:tcPr>
            <w:tcW w:w="622" w:type="dxa"/>
            <w:vAlign w:val="top"/>
          </w:tcPr>
          <w:p>
            <w:pPr>
              <w:spacing w:before="112" w:line="197" w:lineRule="auto"/>
              <w:ind w:left="14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-8.51</w:t>
            </w:r>
          </w:p>
        </w:tc>
        <w:tc>
          <w:tcPr>
            <w:tcW w:w="630" w:type="dxa"/>
            <w:vAlign w:val="top"/>
          </w:tcPr>
          <w:p>
            <w:pPr>
              <w:spacing w:before="112" w:line="197" w:lineRule="auto"/>
              <w:ind w:left="1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-1.53</w:t>
            </w:r>
          </w:p>
        </w:tc>
        <w:tc>
          <w:tcPr>
            <w:tcW w:w="687" w:type="dxa"/>
            <w:vAlign w:val="top"/>
          </w:tcPr>
          <w:p>
            <w:pPr>
              <w:spacing w:before="180" w:line="83" w:lineRule="exact"/>
              <w:ind w:left="30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701" w:type="dxa"/>
            <w:vAlign w:val="top"/>
          </w:tcPr>
          <w:p>
            <w:pPr>
              <w:spacing w:before="180" w:line="83" w:lineRule="exact"/>
              <w:ind w:left="32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708" w:type="dxa"/>
            <w:vAlign w:val="top"/>
          </w:tcPr>
          <w:p>
            <w:pPr>
              <w:spacing w:before="180" w:line="83" w:lineRule="exact"/>
              <w:ind w:left="3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position w:val="-2"/>
                <w:sz w:val="16"/>
                <w:szCs w:val="16"/>
              </w:rPr>
              <w:t>-</w:t>
            </w:r>
          </w:p>
        </w:tc>
        <w:tc>
          <w:tcPr>
            <w:tcW w:w="693" w:type="dxa"/>
            <w:vAlign w:val="top"/>
          </w:tcPr>
          <w:p>
            <w:pPr>
              <w:spacing w:before="112" w:line="197" w:lineRule="auto"/>
              <w:ind w:left="16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35.00</w:t>
            </w:r>
          </w:p>
        </w:tc>
        <w:tc>
          <w:tcPr>
            <w:tcW w:w="665" w:type="dxa"/>
            <w:vAlign w:val="top"/>
          </w:tcPr>
          <w:p>
            <w:pPr>
              <w:spacing w:before="112" w:line="197" w:lineRule="auto"/>
              <w:ind w:left="1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-26.00</w:t>
            </w:r>
          </w:p>
        </w:tc>
        <w:tc>
          <w:tcPr>
            <w:tcW w:w="661" w:type="dxa"/>
            <w:vAlign w:val="top"/>
          </w:tcPr>
          <w:p>
            <w:pPr>
              <w:spacing w:before="112" w:line="197" w:lineRule="auto"/>
              <w:ind w:left="15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-7.00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8"/>
        </w:trPr>
        <w:tc>
          <w:tcPr>
            <w:tcW w:w="1036" w:type="dxa"/>
            <w:vAlign w:val="top"/>
          </w:tcPr>
          <w:p>
            <w:pPr>
              <w:pStyle w:val="TableText"/>
              <w:spacing w:before="90" w:line="219" w:lineRule="auto"/>
              <w:ind w:left="370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微博</w:t>
            </w:r>
          </w:p>
        </w:tc>
        <w:tc>
          <w:tcPr>
            <w:tcW w:w="964" w:type="dxa"/>
            <w:vAlign w:val="top"/>
          </w:tcPr>
          <w:p>
            <w:pPr>
              <w:spacing w:before="111" w:line="199" w:lineRule="auto"/>
              <w:ind w:left="2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z w:val="16"/>
                <w:szCs w:val="16"/>
              </w:rPr>
              <w:t>WB.O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0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3" w:line="197" w:lineRule="auto"/>
              <w:ind w:left="17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4.61</w:t>
            </w:r>
          </w:p>
        </w:tc>
        <w:tc>
          <w:tcPr>
            <w:tcW w:w="953" w:type="dxa"/>
            <w:vAlign w:val="top"/>
          </w:tcPr>
          <w:p>
            <w:pPr>
              <w:spacing w:before="113" w:line="197" w:lineRule="auto"/>
              <w:ind w:left="11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2023/12/5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0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3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9.31</w:t>
            </w:r>
          </w:p>
        </w:tc>
        <w:tc>
          <w:tcPr>
            <w:tcW w:w="622" w:type="dxa"/>
            <w:vAlign w:val="top"/>
          </w:tcPr>
          <w:p>
            <w:pPr>
              <w:spacing w:before="113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2.93</w:t>
            </w:r>
          </w:p>
        </w:tc>
        <w:tc>
          <w:tcPr>
            <w:tcW w:w="630" w:type="dxa"/>
            <w:vAlign w:val="top"/>
          </w:tcPr>
          <w:p>
            <w:pPr>
              <w:spacing w:before="113" w:line="197" w:lineRule="auto"/>
              <w:ind w:left="16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3.69</w:t>
            </w:r>
          </w:p>
        </w:tc>
        <w:tc>
          <w:tcPr>
            <w:tcW w:w="687" w:type="dxa"/>
            <w:vAlign w:val="top"/>
          </w:tcPr>
          <w:p>
            <w:pPr>
              <w:spacing w:before="113" w:line="197" w:lineRule="auto"/>
              <w:ind w:left="15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6"/>
                <w:sz w:val="16"/>
                <w:szCs w:val="16"/>
              </w:rPr>
              <w:t>11.17</w:t>
            </w:r>
          </w:p>
        </w:tc>
        <w:tc>
          <w:tcPr>
            <w:tcW w:w="701" w:type="dxa"/>
            <w:vAlign w:val="top"/>
          </w:tcPr>
          <w:p>
            <w:pPr>
              <w:spacing w:before="113" w:line="197" w:lineRule="auto"/>
              <w:ind w:left="1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8.87</w:t>
            </w:r>
          </w:p>
        </w:tc>
        <w:tc>
          <w:tcPr>
            <w:tcW w:w="708" w:type="dxa"/>
            <w:vAlign w:val="top"/>
          </w:tcPr>
          <w:p>
            <w:pPr>
              <w:spacing w:before="113" w:line="197" w:lineRule="auto"/>
              <w:ind w:left="2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1.88</w:t>
            </w:r>
          </w:p>
        </w:tc>
        <w:tc>
          <w:tcPr>
            <w:tcW w:w="693" w:type="dxa"/>
            <w:vAlign w:val="top"/>
          </w:tcPr>
          <w:p>
            <w:pPr>
              <w:spacing w:before="113" w:line="197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1.74</w:t>
            </w:r>
          </w:p>
        </w:tc>
        <w:tc>
          <w:tcPr>
            <w:tcW w:w="665" w:type="dxa"/>
            <w:vAlign w:val="top"/>
          </w:tcPr>
          <w:p>
            <w:pPr>
              <w:spacing w:before="113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  <w:tc>
          <w:tcPr>
            <w:tcW w:w="661" w:type="dxa"/>
            <w:vAlign w:val="top"/>
          </w:tcPr>
          <w:p>
            <w:pPr>
              <w:spacing w:before="113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19.00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88" w:line="220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z w:val="16"/>
                <w:szCs w:val="16"/>
              </w:rPr>
              <w:t>腾讯控股</w:t>
            </w:r>
          </w:p>
        </w:tc>
        <w:tc>
          <w:tcPr>
            <w:tcW w:w="964" w:type="dxa"/>
            <w:vAlign w:val="top"/>
          </w:tcPr>
          <w:p>
            <w:pPr>
              <w:spacing w:before="111" w:line="197" w:lineRule="auto"/>
              <w:ind w:left="15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00700.HK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88" w:line="227" w:lineRule="auto"/>
              <w:ind w:left="15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港元</w:t>
            </w:r>
          </w:p>
        </w:tc>
        <w:tc>
          <w:tcPr>
            <w:tcW w:w="635" w:type="dxa"/>
            <w:vAlign w:val="top"/>
          </w:tcPr>
          <w:p>
            <w:pPr>
              <w:spacing w:before="111" w:line="197" w:lineRule="auto"/>
              <w:ind w:left="9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102.06</w:t>
            </w:r>
          </w:p>
        </w:tc>
        <w:tc>
          <w:tcPr>
            <w:tcW w:w="953" w:type="dxa"/>
            <w:vAlign w:val="top"/>
          </w:tcPr>
          <w:p>
            <w:pPr>
              <w:spacing w:before="111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2023/11/19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88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1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3"/>
                <w:sz w:val="16"/>
                <w:szCs w:val="16"/>
              </w:rPr>
              <w:t>150.48</w:t>
            </w:r>
          </w:p>
        </w:tc>
        <w:tc>
          <w:tcPr>
            <w:tcW w:w="622" w:type="dxa"/>
            <w:vAlign w:val="top"/>
          </w:tcPr>
          <w:p>
            <w:pPr>
              <w:spacing w:before="111" w:line="197" w:lineRule="auto"/>
              <w:ind w:left="12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47.32</w:t>
            </w:r>
          </w:p>
        </w:tc>
        <w:tc>
          <w:tcPr>
            <w:tcW w:w="630" w:type="dxa"/>
            <w:vAlign w:val="top"/>
          </w:tcPr>
          <w:p>
            <w:pPr>
              <w:spacing w:before="111" w:line="197" w:lineRule="auto"/>
              <w:ind w:left="11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49.46</w:t>
            </w:r>
          </w:p>
        </w:tc>
        <w:tc>
          <w:tcPr>
            <w:tcW w:w="687" w:type="dxa"/>
            <w:vAlign w:val="top"/>
          </w:tcPr>
          <w:p>
            <w:pPr>
              <w:spacing w:before="111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15.32</w:t>
            </w:r>
          </w:p>
        </w:tc>
        <w:tc>
          <w:tcPr>
            <w:tcW w:w="701" w:type="dxa"/>
            <w:vAlign w:val="top"/>
          </w:tcPr>
          <w:p>
            <w:pPr>
              <w:spacing w:before="111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14.65</w:t>
            </w:r>
          </w:p>
        </w:tc>
        <w:tc>
          <w:tcPr>
            <w:tcW w:w="708" w:type="dxa"/>
            <w:vAlign w:val="top"/>
          </w:tcPr>
          <w:p>
            <w:pPr>
              <w:spacing w:before="111" w:line="197" w:lineRule="auto"/>
              <w:ind w:left="17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12.20</w:t>
            </w:r>
          </w:p>
        </w:tc>
        <w:tc>
          <w:tcPr>
            <w:tcW w:w="693" w:type="dxa"/>
            <w:vAlign w:val="top"/>
          </w:tcPr>
          <w:p>
            <w:pPr>
              <w:spacing w:before="111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10.90</w:t>
            </w:r>
          </w:p>
        </w:tc>
        <w:tc>
          <w:tcPr>
            <w:tcW w:w="665" w:type="dxa"/>
            <w:vAlign w:val="top"/>
          </w:tcPr>
          <w:p>
            <w:pPr>
              <w:spacing w:before="111" w:line="197" w:lineRule="auto"/>
              <w:ind w:left="14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22.90</w:t>
            </w:r>
          </w:p>
        </w:tc>
        <w:tc>
          <w:tcPr>
            <w:tcW w:w="661" w:type="dxa"/>
            <w:vAlign w:val="top"/>
          </w:tcPr>
          <w:p>
            <w:pPr>
              <w:spacing w:before="111" w:line="197" w:lineRule="auto"/>
              <w:ind w:left="13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20.60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4"/>
        </w:trPr>
        <w:tc>
          <w:tcPr>
            <w:tcW w:w="1036" w:type="dxa"/>
            <w:vAlign w:val="top"/>
          </w:tcPr>
          <w:p>
            <w:pPr>
              <w:pStyle w:val="TableText"/>
              <w:spacing w:before="90" w:line="227" w:lineRule="auto"/>
              <w:ind w:left="379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百度</w:t>
            </w:r>
          </w:p>
        </w:tc>
        <w:tc>
          <w:tcPr>
            <w:tcW w:w="964" w:type="dxa"/>
            <w:vAlign w:val="top"/>
          </w:tcPr>
          <w:p>
            <w:pPr>
              <w:spacing w:before="112" w:line="199" w:lineRule="auto"/>
              <w:ind w:left="23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BIDU.O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1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4" w:line="197" w:lineRule="auto"/>
              <w:ind w:left="1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8.57</w:t>
            </w:r>
          </w:p>
        </w:tc>
        <w:tc>
          <w:tcPr>
            <w:tcW w:w="953" w:type="dxa"/>
            <w:vAlign w:val="top"/>
          </w:tcPr>
          <w:p>
            <w:pPr>
              <w:spacing w:before="114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2023/11/16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1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4" w:line="197" w:lineRule="auto"/>
              <w:ind w:left="279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8.90</w:t>
            </w:r>
          </w:p>
        </w:tc>
        <w:tc>
          <w:tcPr>
            <w:tcW w:w="622" w:type="dxa"/>
            <w:vAlign w:val="top"/>
          </w:tcPr>
          <w:p>
            <w:pPr>
              <w:spacing w:before="114" w:line="197" w:lineRule="auto"/>
              <w:ind w:left="17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3.63</w:t>
            </w:r>
          </w:p>
        </w:tc>
        <w:tc>
          <w:tcPr>
            <w:tcW w:w="630" w:type="dxa"/>
            <w:vAlign w:val="top"/>
          </w:tcPr>
          <w:p>
            <w:pPr>
              <w:spacing w:before="114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4.02</w:t>
            </w:r>
          </w:p>
        </w:tc>
        <w:tc>
          <w:tcPr>
            <w:tcW w:w="687" w:type="dxa"/>
            <w:vAlign w:val="top"/>
          </w:tcPr>
          <w:p>
            <w:pPr>
              <w:spacing w:before="114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16.77</w:t>
            </w:r>
          </w:p>
        </w:tc>
        <w:tc>
          <w:tcPr>
            <w:tcW w:w="701" w:type="dxa"/>
            <w:vAlign w:val="top"/>
          </w:tcPr>
          <w:p>
            <w:pPr>
              <w:spacing w:before="114" w:line="197" w:lineRule="auto"/>
              <w:ind w:left="16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15.14</w:t>
            </w:r>
          </w:p>
        </w:tc>
        <w:tc>
          <w:tcPr>
            <w:tcW w:w="708" w:type="dxa"/>
            <w:vAlign w:val="top"/>
          </w:tcPr>
          <w:p>
            <w:pPr>
              <w:spacing w:before="114" w:line="197" w:lineRule="auto"/>
              <w:ind w:left="21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1.86</w:t>
            </w:r>
          </w:p>
        </w:tc>
        <w:tc>
          <w:tcPr>
            <w:tcW w:w="693" w:type="dxa"/>
            <w:vAlign w:val="top"/>
          </w:tcPr>
          <w:p>
            <w:pPr>
              <w:spacing w:before="114" w:line="197" w:lineRule="auto"/>
              <w:ind w:left="217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5"/>
                <w:sz w:val="16"/>
                <w:szCs w:val="16"/>
              </w:rPr>
              <w:t>1.64</w:t>
            </w:r>
          </w:p>
        </w:tc>
        <w:tc>
          <w:tcPr>
            <w:tcW w:w="665" w:type="dxa"/>
            <w:vAlign w:val="top"/>
          </w:tcPr>
          <w:p>
            <w:pPr>
              <w:spacing w:before="114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16.00</w:t>
            </w:r>
          </w:p>
        </w:tc>
        <w:tc>
          <w:tcPr>
            <w:tcW w:w="661" w:type="dxa"/>
            <w:vAlign w:val="top"/>
          </w:tcPr>
          <w:p>
            <w:pPr>
              <w:spacing w:before="114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29"/>
        </w:trPr>
        <w:tc>
          <w:tcPr>
            <w:tcW w:w="1036" w:type="dxa"/>
            <w:vAlign w:val="top"/>
          </w:tcPr>
          <w:p>
            <w:pPr>
              <w:pStyle w:val="TableText"/>
              <w:spacing w:before="93" w:line="218" w:lineRule="auto"/>
              <w:ind w:left="37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知乎</w:t>
            </w:r>
          </w:p>
        </w:tc>
        <w:tc>
          <w:tcPr>
            <w:tcW w:w="964" w:type="dxa"/>
            <w:vAlign w:val="top"/>
          </w:tcPr>
          <w:p>
            <w:pPr>
              <w:spacing w:before="116" w:line="197" w:lineRule="auto"/>
              <w:ind w:left="31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ZH.N</w:t>
            </w:r>
          </w:p>
        </w:tc>
        <w:tc>
          <w:tcPr>
            <w:tcW w:w="610" w:type="dxa"/>
            <w:vAlign w:val="top"/>
          </w:tcPr>
          <w:p>
            <w:pPr>
              <w:pStyle w:val="TableText"/>
              <w:spacing w:before="93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vAlign w:val="top"/>
          </w:tcPr>
          <w:p>
            <w:pPr>
              <w:spacing w:before="116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15.85</w:t>
            </w:r>
          </w:p>
        </w:tc>
        <w:tc>
          <w:tcPr>
            <w:tcW w:w="953" w:type="dxa"/>
            <w:vAlign w:val="top"/>
          </w:tcPr>
          <w:p>
            <w:pPr>
              <w:spacing w:before="116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2023/11/15</w:t>
            </w:r>
          </w:p>
        </w:tc>
        <w:tc>
          <w:tcPr>
            <w:tcW w:w="517" w:type="dxa"/>
            <w:vAlign w:val="top"/>
          </w:tcPr>
          <w:p>
            <w:pPr>
              <w:pStyle w:val="TableText"/>
              <w:spacing w:before="93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vAlign w:val="top"/>
          </w:tcPr>
          <w:p>
            <w:pPr>
              <w:spacing w:before="116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21.46</w:t>
            </w:r>
          </w:p>
        </w:tc>
        <w:tc>
          <w:tcPr>
            <w:tcW w:w="622" w:type="dxa"/>
            <w:vAlign w:val="top"/>
          </w:tcPr>
          <w:p>
            <w:pPr>
              <w:spacing w:before="116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2.20</w:t>
            </w:r>
          </w:p>
        </w:tc>
        <w:tc>
          <w:tcPr>
            <w:tcW w:w="630" w:type="dxa"/>
            <w:vAlign w:val="top"/>
          </w:tcPr>
          <w:p>
            <w:pPr>
              <w:spacing w:before="116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2.80</w:t>
            </w:r>
          </w:p>
        </w:tc>
        <w:tc>
          <w:tcPr>
            <w:tcW w:w="687" w:type="dxa"/>
            <w:vAlign w:val="top"/>
          </w:tcPr>
          <w:p>
            <w:pPr>
              <w:spacing w:before="116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51.16</w:t>
            </w:r>
          </w:p>
        </w:tc>
        <w:tc>
          <w:tcPr>
            <w:tcW w:w="701" w:type="dxa"/>
            <w:vAlign w:val="top"/>
          </w:tcPr>
          <w:p>
            <w:pPr>
              <w:spacing w:before="116" w:line="197" w:lineRule="auto"/>
              <w:ind w:left="15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40.20</w:t>
            </w:r>
          </w:p>
        </w:tc>
        <w:tc>
          <w:tcPr>
            <w:tcW w:w="708" w:type="dxa"/>
            <w:vAlign w:val="top"/>
          </w:tcPr>
          <w:p>
            <w:pPr>
              <w:spacing w:before="116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47.00</w:t>
            </w:r>
          </w:p>
        </w:tc>
        <w:tc>
          <w:tcPr>
            <w:tcW w:w="693" w:type="dxa"/>
            <w:vAlign w:val="top"/>
          </w:tcPr>
          <w:p>
            <w:pPr>
              <w:spacing w:before="116" w:line="197" w:lineRule="auto"/>
              <w:ind w:left="17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18.00</w:t>
            </w:r>
          </w:p>
        </w:tc>
        <w:tc>
          <w:tcPr>
            <w:tcW w:w="665" w:type="dxa"/>
            <w:vAlign w:val="top"/>
          </w:tcPr>
          <w:p>
            <w:pPr>
              <w:spacing w:before="116" w:line="197" w:lineRule="auto"/>
              <w:ind w:left="15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16.00</w:t>
            </w:r>
          </w:p>
        </w:tc>
        <w:tc>
          <w:tcPr>
            <w:tcW w:w="661" w:type="dxa"/>
            <w:vAlign w:val="top"/>
          </w:tcPr>
          <w:p>
            <w:pPr>
              <w:spacing w:before="116" w:line="197" w:lineRule="auto"/>
              <w:ind w:left="145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17.00</w:t>
            </w:r>
          </w:p>
        </w:tc>
      </w:tr>
      <w:tr>
        <w:tblPrEx>
          <w:tblW w:w="10917" w:type="dxa"/>
          <w:tblInd w:w="0" w:type="dxa"/>
          <w:tblLayout w:type="fixed"/>
        </w:tblPrEx>
        <w:trPr>
          <w:trHeight w:val="331"/>
        </w:trPr>
        <w:tc>
          <w:tcPr>
            <w:tcW w:w="103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218" w:lineRule="auto"/>
              <w:ind w:left="22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满帮集团</w:t>
            </w:r>
          </w:p>
        </w:tc>
        <w:tc>
          <w:tcPr>
            <w:tcW w:w="964" w:type="dxa"/>
            <w:tcBorders>
              <w:bottom w:val="single" w:sz="2" w:space="0" w:color="000000"/>
            </w:tcBorders>
            <w:vAlign w:val="top"/>
          </w:tcPr>
          <w:p>
            <w:pPr>
              <w:spacing w:before="114" w:line="197" w:lineRule="auto"/>
              <w:ind w:left="23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z w:val="16"/>
                <w:szCs w:val="16"/>
              </w:rPr>
              <w:t>YMM</w:t>
            </w:r>
            <w:r>
              <w:rPr>
                <w:rFonts w:ascii="Arial" w:eastAsia="Arial" w:hAnsi="Arial" w:cs="Arial"/>
                <w:color w:val="1F497D"/>
                <w:spacing w:val="1"/>
                <w:sz w:val="16"/>
                <w:szCs w:val="16"/>
              </w:rPr>
              <w:t>.N</w:t>
            </w:r>
          </w:p>
        </w:tc>
        <w:tc>
          <w:tcPr>
            <w:tcW w:w="6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1" w:line="225" w:lineRule="auto"/>
              <w:ind w:left="166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美元</w:t>
            </w:r>
          </w:p>
        </w:tc>
        <w:tc>
          <w:tcPr>
            <w:tcW w:w="635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4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4"/>
                <w:sz w:val="16"/>
                <w:szCs w:val="16"/>
              </w:rPr>
              <w:t>10.03</w:t>
            </w:r>
          </w:p>
        </w:tc>
        <w:tc>
          <w:tcPr>
            <w:tcW w:w="953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76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2023/11/10</w:t>
            </w:r>
          </w:p>
        </w:tc>
        <w:tc>
          <w:tcPr>
            <w:tcW w:w="517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90" w:line="226" w:lineRule="auto"/>
              <w:ind w:left="10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35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23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23.52</w:t>
            </w:r>
          </w:p>
        </w:tc>
        <w:tc>
          <w:tcPr>
            <w:tcW w:w="622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70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2.20</w:t>
            </w:r>
          </w:p>
        </w:tc>
        <w:tc>
          <w:tcPr>
            <w:tcW w:w="630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58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2.50</w:t>
            </w:r>
          </w:p>
        </w:tc>
        <w:tc>
          <w:tcPr>
            <w:tcW w:w="687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34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32.38</w:t>
            </w:r>
          </w:p>
        </w:tc>
        <w:tc>
          <w:tcPr>
            <w:tcW w:w="701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53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28.49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20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4.40</w:t>
            </w:r>
          </w:p>
        </w:tc>
        <w:tc>
          <w:tcPr>
            <w:tcW w:w="693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202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1"/>
                <w:sz w:val="16"/>
                <w:szCs w:val="16"/>
              </w:rPr>
              <w:t>4.00</w:t>
            </w:r>
          </w:p>
        </w:tc>
        <w:tc>
          <w:tcPr>
            <w:tcW w:w="665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9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7.50</w:t>
            </w:r>
          </w:p>
        </w:tc>
        <w:tc>
          <w:tcPr>
            <w:tcW w:w="661" w:type="dxa"/>
            <w:tcBorders>
              <w:bottom w:val="single" w:sz="2" w:space="0" w:color="000000"/>
            </w:tcBorders>
            <w:vAlign w:val="top"/>
          </w:tcPr>
          <w:p>
            <w:pPr>
              <w:spacing w:before="113" w:line="197" w:lineRule="auto"/>
              <w:ind w:left="181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1F497D"/>
                <w:spacing w:val="-2"/>
                <w:sz w:val="16"/>
                <w:szCs w:val="16"/>
              </w:rPr>
              <w:t>7.80</w:t>
            </w:r>
          </w:p>
        </w:tc>
      </w:tr>
    </w:tbl>
    <w:p>
      <w:pPr>
        <w:spacing w:before="84" w:line="217" w:lineRule="auto"/>
        <w:ind w:left="3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7"/>
          <w:sz w:val="16"/>
          <w:szCs w:val="16"/>
        </w:rPr>
        <w:t>数据来源：</w:t>
      </w:r>
      <w:r>
        <w:rPr>
          <w:rFonts w:ascii="Arial" w:eastAsia="Arial" w:hAnsi="Arial" w:cs="Arial"/>
          <w:color w:val="1F497D"/>
          <w:spacing w:val="-7"/>
          <w:sz w:val="16"/>
          <w:szCs w:val="16"/>
        </w:rPr>
        <w:t>Wind</w:t>
      </w:r>
      <w:r>
        <w:rPr>
          <w:rFonts w:ascii="KaiTi" w:eastAsia="KaiTi" w:hAnsi="KaiTi" w:cs="KaiTi"/>
          <w:color w:val="1F497D"/>
          <w:spacing w:val="-7"/>
          <w:sz w:val="16"/>
          <w:szCs w:val="16"/>
        </w:rPr>
        <w:t>、广发证券发展研究中心</w:t>
      </w:r>
    </w:p>
    <w:p>
      <w:pPr>
        <w:spacing w:before="136" w:line="213" w:lineRule="auto"/>
        <w:ind w:left="11"/>
        <w:rPr>
          <w:rFonts w:ascii="KaiTi" w:eastAsia="KaiTi" w:hAnsi="KaiTi" w:cs="KaiTi"/>
          <w:sz w:val="16"/>
          <w:szCs w:val="16"/>
        </w:rPr>
      </w:pPr>
      <w:r>
        <w:rPr>
          <w:rFonts w:ascii="KaiTi" w:eastAsia="KaiTi" w:hAnsi="KaiTi" w:cs="KaiTi"/>
          <w:color w:val="1F497D"/>
          <w:spacing w:val="-8"/>
          <w:sz w:val="16"/>
          <w:szCs w:val="16"/>
        </w:rPr>
        <w:t>注：美股上市公司货币单位采用美元，港股上市公司货币单位采用港元。（哔哩哔哩、爱奇艺、网易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、腾讯音乐、</w:t>
      </w:r>
      <w:r>
        <w:rPr>
          <w:rFonts w:ascii="Arial" w:eastAsia="Arial" w:hAnsi="Arial" w:cs="Arial"/>
          <w:color w:val="1F497D"/>
          <w:spacing w:val="-9"/>
          <w:sz w:val="16"/>
          <w:szCs w:val="16"/>
        </w:rPr>
        <w:t xml:space="preserve">BOSS 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直聘、知乎的</w:t>
      </w:r>
      <w:r>
        <w:rPr>
          <w:rFonts w:ascii="KaiTi" w:eastAsia="KaiTi" w:hAnsi="KaiTi" w:cs="KaiTi"/>
          <w:color w:val="1F497D"/>
          <w:spacing w:val="-38"/>
          <w:sz w:val="16"/>
          <w:szCs w:val="16"/>
        </w:rPr>
        <w:t xml:space="preserve"> </w:t>
      </w:r>
      <w:r>
        <w:rPr>
          <w:rFonts w:ascii="Arial" w:eastAsia="Arial" w:hAnsi="Arial" w:cs="Arial"/>
          <w:color w:val="1F497D"/>
          <w:spacing w:val="-9"/>
          <w:sz w:val="16"/>
          <w:szCs w:val="16"/>
        </w:rPr>
        <w:t xml:space="preserve">EPS 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单位为美元</w:t>
      </w:r>
      <w:r>
        <w:rPr>
          <w:rFonts w:ascii="Arial" w:eastAsia="Arial" w:hAnsi="Arial" w:cs="Arial"/>
          <w:color w:val="1F497D"/>
          <w:spacing w:val="-9"/>
          <w:sz w:val="16"/>
          <w:szCs w:val="16"/>
        </w:rPr>
        <w:t>/ADS</w:t>
      </w:r>
      <w:r>
        <w:rPr>
          <w:rFonts w:ascii="KaiTi" w:eastAsia="KaiTi" w:hAnsi="KaiTi" w:cs="KaiTi"/>
          <w:color w:val="1F497D"/>
          <w:spacing w:val="-9"/>
          <w:sz w:val="16"/>
          <w:szCs w:val="16"/>
        </w:rPr>
        <w:t>。）</w:t>
      </w:r>
    </w:p>
    <w:p>
      <w:pPr>
        <w:spacing w:line="213" w:lineRule="auto"/>
        <w:rPr>
          <w:rFonts w:ascii="KaiTi" w:eastAsia="KaiTi" w:hAnsi="KaiTi" w:cs="KaiTi"/>
          <w:sz w:val="16"/>
          <w:szCs w:val="16"/>
        </w:rPr>
        <w:sectPr>
          <w:headerReference w:type="default" r:id="rId16"/>
          <w:footerReference w:type="default" r:id="rId17"/>
          <w:type w:val="nextPage"/>
          <w:pgSz w:w="11907" w:h="16839"/>
          <w:pgMar w:top="1383" w:right="497" w:bottom="1289" w:left="492" w:header="794" w:footer="723" w:gutter="0"/>
          <w:pgNumType w:start="4"/>
          <w:cols w:space="708"/>
          <w:titlePg w:val="0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208834621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99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tabs>
              <w:tab w:val="right" w:leader="dot" w:pos="10644"/>
            </w:tabs>
            <w:spacing w:before="170" w:line="213" w:lineRule="auto"/>
            <w:ind w:left="24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一、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VR/AR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进入阶段性瓶颈期，</w:t>
          </w:r>
          <w:r>
            <w:rPr>
              <w:rFonts w:ascii="KaiTi" w:eastAsia="KaiTi" w:hAnsi="KaiTi" w:cs="KaiTi"/>
              <w:spacing w:val="-18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发展较快</w:t>
          </w:r>
          <w:r>
            <w:rPr>
              <w:rFonts w:ascii="KaiTi" w:eastAsia="KaiTi" w:hAnsi="KaiTi" w:cs="KaiTi"/>
              <w:spacing w:val="-8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1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4"/>
            </w:tabs>
            <w:spacing w:before="84" w:line="213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（一）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硬件：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硬件性能边际提升速度放缓，</w:t>
          </w:r>
          <w:r>
            <w:rPr>
              <w:rFonts w:ascii="KaiTi" w:eastAsia="KaiTi" w:hAnsi="KaiTi" w:cs="KaiTi"/>
              <w:spacing w:val="-1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体验和成本需要平衡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28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内容：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28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内容逐步丰富，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M</w:t>
          </w:r>
          <w:r>
            <w:rPr>
              <w:rFonts w:ascii="Arial" w:eastAsia="Arial" w:hAnsi="Arial" w:cs="Arial"/>
              <w:spacing w:val="-6"/>
              <w:sz w:val="17"/>
              <w:szCs w:val="17"/>
            </w:rPr>
            <w:t xml:space="preserve">ETA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>Q</w:t>
          </w:r>
          <w:r>
            <w:rPr>
              <w:rFonts w:ascii="Arial" w:eastAsia="Arial" w:hAnsi="Arial" w:cs="Arial"/>
              <w:spacing w:val="-6"/>
              <w:sz w:val="17"/>
              <w:szCs w:val="17"/>
            </w:rPr>
            <w:t>UEST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仍处于行业领先地位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636"/>
            </w:tabs>
            <w:spacing w:before="84" w:line="213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6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行业：消费级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6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产品贡献增量，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6"/>
              <w:sz w:val="21"/>
              <w:szCs w:val="21"/>
            </w:rPr>
            <w:t>中国厂商市占率提升</w:t>
          </w:r>
          <w:r>
            <w:rPr>
              <w:rFonts w:ascii="KaiTi" w:eastAsia="KaiTi" w:hAnsi="KaiTi" w:cs="KaiTi"/>
              <w:spacing w:val="-3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594"/>
            </w:tabs>
            <w:spacing w:before="83" w:line="217" w:lineRule="auto"/>
            <w:ind w:left="2419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二、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 xml:space="preserve">MR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行业进展及国内公司布局</w:t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5" w:history="1">
            <w:r>
              <w:rPr>
                <w:rFonts w:ascii="Arial" w:eastAsia="Arial" w:hAnsi="Arial" w:cs="Arial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10636"/>
            </w:tabs>
            <w:spacing w:before="77" w:line="213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（一）苹果</w:t>
          </w:r>
          <w:r>
            <w:rPr>
              <w:rFonts w:ascii="KaiTi" w:eastAsia="KaiTi" w:hAnsi="KaiTi" w:cs="KaiTi"/>
              <w:spacing w:val="-4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V</w:t>
          </w:r>
          <w:r>
            <w:rPr>
              <w:rFonts w:ascii="Arial" w:eastAsia="Arial" w:hAnsi="Arial" w:cs="Arial"/>
              <w:spacing w:val="-1"/>
              <w:sz w:val="17"/>
              <w:szCs w:val="17"/>
            </w:rPr>
            <w:t>ISION</w:t>
          </w:r>
          <w:r>
            <w:rPr>
              <w:rFonts w:ascii="Arial" w:eastAsia="Arial" w:hAnsi="Arial" w:cs="Arial"/>
              <w:spacing w:val="17"/>
              <w:sz w:val="17"/>
              <w:szCs w:val="17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P</w:t>
          </w:r>
          <w:r>
            <w:rPr>
              <w:rFonts w:ascii="Arial" w:eastAsia="Arial" w:hAnsi="Arial" w:cs="Arial"/>
              <w:spacing w:val="-1"/>
              <w:sz w:val="17"/>
              <w:szCs w:val="17"/>
            </w:rPr>
            <w:t xml:space="preserve">RO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虚实结合，性能领先</w:t>
          </w:r>
          <w:r>
            <w:rPr>
              <w:rFonts w:ascii="KaiTi" w:eastAsia="KaiTi" w:hAnsi="KaiTi" w:cs="KaiTi"/>
              <w:spacing w:val="-8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6"/>
            </w:tabs>
            <w:spacing w:before="83" w:line="216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8"/>
              <w:sz w:val="21"/>
              <w:szCs w:val="21"/>
            </w:rPr>
            <w:t>（二）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8"/>
              <w:sz w:val="21"/>
              <w:szCs w:val="21"/>
            </w:rPr>
            <w:t>MR</w:t>
          </w:r>
          <w:r>
            <w:rPr>
              <w:rFonts w:ascii="Arial" w:eastAsia="Arial" w:hAnsi="Arial" w:cs="Arial"/>
              <w:spacing w:val="22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交互方式对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8"/>
              <w:sz w:val="21"/>
              <w:szCs w:val="21"/>
            </w:rPr>
            <w:t>MR</w:t>
          </w:r>
          <w:r>
            <w:rPr>
              <w:rFonts w:ascii="Arial" w:eastAsia="Arial" w:hAnsi="Arial" w:cs="Arial"/>
              <w:spacing w:val="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8"/>
              <w:sz w:val="21"/>
              <w:szCs w:val="21"/>
            </w:rPr>
            <w:t>内容呈现形式影响较大</w:t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6"/>
            </w:tabs>
            <w:spacing w:before="81" w:line="218" w:lineRule="auto"/>
            <w:ind w:left="289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5"/>
              <w:sz w:val="21"/>
              <w:szCs w:val="21"/>
            </w:rPr>
            <w:t>（三）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国内公司在</w:t>
          </w:r>
          <w:r>
            <w:rPr>
              <w:rFonts w:ascii="KaiTi" w:eastAsia="KaiTi" w:hAnsi="KaiTi" w:cs="KaiTi"/>
              <w:spacing w:val="-5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5"/>
              <w:sz w:val="21"/>
              <w:szCs w:val="21"/>
            </w:rPr>
            <w:t xml:space="preserve">VR/AR/MR </w:t>
          </w:r>
          <w:r>
            <w:rPr>
              <w:rFonts w:ascii="KaiTi" w:eastAsia="KaiTi" w:hAnsi="KaiTi" w:cs="KaiTi"/>
              <w:spacing w:val="-5"/>
              <w:sz w:val="21"/>
              <w:szCs w:val="21"/>
            </w:rPr>
            <w:t>领域布局</w:t>
          </w:r>
          <w:r>
            <w:rPr>
              <w:rFonts w:ascii="KaiTi" w:eastAsia="KaiTi" w:hAnsi="KaiTi" w:cs="KaiTi"/>
              <w:spacing w:val="-5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10636"/>
            </w:tabs>
            <w:spacing w:before="79" w:line="223" w:lineRule="auto"/>
            <w:ind w:left="2422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三、风险提示</w:t>
          </w:r>
          <w:r>
            <w:rPr>
              <w:rFonts w:ascii="KaiTi" w:eastAsia="KaiTi" w:hAnsi="KaiTi" w:cs="KaiTi"/>
              <w:spacing w:val="-6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2"/>
                <w:sz w:val="21"/>
                <w:szCs w:val="21"/>
              </w:rPr>
              <w:t>24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  <w:sz w:val="21"/>
          <w:szCs w:val="21"/>
        </w:rPr>
        <w:sectPr>
          <w:headerReference w:type="default" r:id="rId18"/>
          <w:footerReference w:type="default" r:id="rId19"/>
          <w:pgSz w:w="11907" w:h="16839"/>
          <w:pgMar w:top="1383" w:right="638" w:bottom="1289" w:left="622" w:header="794" w:footer="723" w:gutter="0"/>
          <w:pgNumType w:start="5"/>
          <w:cols w:space="708"/>
        </w:sectPr>
      </w:pPr>
    </w:p>
    <w:p>
      <w:pPr>
        <w:spacing w:line="354" w:lineRule="auto"/>
        <w:rPr>
          <w:rFonts w:ascii="Arial"/>
          <w:sz w:val="21"/>
        </w:rPr>
      </w:pPr>
    </w:p>
    <w:p>
      <w:pPr>
        <w:spacing w:line="354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77231961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spacing w:before="101" w:line="221" w:lineRule="auto"/>
            <w:ind w:left="6273"/>
            <w:rPr>
              <w:rFonts w:ascii="KaiTi" w:eastAsia="KaiTi" w:hAnsi="KaiTi" w:cs="KaiTi"/>
              <w:sz w:val="31"/>
              <w:szCs w:val="31"/>
            </w:rPr>
          </w:pPr>
          <w:r>
            <w:rPr>
              <w:rFonts w:ascii="KaiTi" w:eastAsia="KaiTi" w:hAnsi="KaiTi" w:cs="KaiTi"/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tabs>
              <w:tab w:val="right" w:leader="dot" w:pos="10634"/>
            </w:tabs>
            <w:spacing w:before="170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9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3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9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：中国及海外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9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1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9"/>
              <w:sz w:val="21"/>
              <w:szCs w:val="21"/>
            </w:rPr>
            <w:t>头显季度出货量（万）</w:t>
          </w:r>
          <w:r>
            <w:rPr>
              <w:rFonts w:ascii="KaiTi" w:eastAsia="KaiTi" w:hAnsi="KaiTi" w:cs="KaiTi"/>
              <w:spacing w:val="5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4"/>
            </w:tabs>
            <w:spacing w:before="78" w:line="229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2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：全球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头显季度出货量（万）及同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比增速（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4"/>
            </w:tabs>
            <w:spacing w:before="66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：全年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头显年度出货量（万）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6"/>
              <w:sz w:val="21"/>
              <w:szCs w:val="21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4"/>
            </w:tabs>
            <w:spacing w:before="78" w:line="213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Reality</w:t>
          </w:r>
          <w:r>
            <w:rPr>
              <w:rFonts w:ascii="Arial" w:eastAsia="Arial" w:hAnsi="Arial" w:cs="Arial"/>
              <w:spacing w:val="14"/>
              <w:w w:val="10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Labs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收入（亿美元）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和同比增速（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4"/>
            </w:tabs>
            <w:spacing w:before="84" w:line="213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Reality</w:t>
          </w:r>
          <w:r>
            <w:rPr>
              <w:rFonts w:ascii="Arial" w:eastAsia="Arial" w:hAnsi="Arial" w:cs="Arial"/>
              <w:spacing w:val="14"/>
              <w:w w:val="10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Labs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经营利润（亿美元）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和同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比增速（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4"/>
            </w:tabs>
            <w:spacing w:before="81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年黑五期间亚马逊所有主要销售地区</w:t>
          </w:r>
          <w:r>
            <w:rPr>
              <w:rFonts w:ascii="KaiTi" w:eastAsia="KaiTi" w:hAnsi="KaiTi" w:cs="KaiTi"/>
              <w:spacing w:val="-3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Quest2</w:t>
          </w:r>
          <w:r>
            <w:rPr>
              <w:rFonts w:ascii="Arial" w:eastAsia="Arial" w:hAnsi="Arial" w:cs="Arial"/>
              <w:spacing w:val="-3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、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Quest3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销量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4"/>
            </w:tabs>
            <w:spacing w:before="79" w:line="231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22Q1-23Q2</w:t>
          </w:r>
          <w:r>
            <w:rPr>
              <w:rFonts w:ascii="Arial" w:eastAsia="Arial" w:hAnsi="Arial" w:cs="Arial"/>
              <w:spacing w:val="2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中国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市场出货量（万）及环比增速（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4"/>
            </w:tabs>
            <w:spacing w:before="63" w:line="231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8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2023H1</w:t>
          </w:r>
          <w:r>
            <w:rPr>
              <w:rFonts w:ascii="Arial" w:eastAsia="Arial" w:hAnsi="Arial" w:cs="Arial"/>
              <w:spacing w:val="37"/>
              <w:w w:val="10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中国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市场出货量占比（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66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5"/>
              <w:sz w:val="21"/>
              <w:szCs w:val="21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6"/>
            </w:tabs>
            <w:spacing w:before="63" w:line="217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9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20-23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年主流封闭式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平台内容数量（款）</w:t>
          </w:r>
          <w:r>
            <w:rPr>
              <w:rFonts w:ascii="KaiTi" w:eastAsia="KaiTi" w:hAnsi="KaiTi" w:cs="KaiTi"/>
              <w:spacing w:val="-5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636"/>
            </w:tabs>
            <w:spacing w:before="80" w:line="217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20-23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年主流开放式</w:t>
          </w:r>
          <w:r>
            <w:rPr>
              <w:rFonts w:ascii="KaiTi" w:eastAsia="KaiTi" w:hAnsi="KaiTi" w:cs="KaiTi"/>
              <w:spacing w:val="-3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平台内容数量（款）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10636"/>
            </w:tabs>
            <w:spacing w:before="79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7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3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>11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 xml:space="preserve">20-23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年</w:t>
          </w:r>
          <w:r>
            <w:rPr>
              <w:rFonts w:ascii="KaiTi" w:eastAsia="KaiTi" w:hAnsi="KaiTi" w:cs="KaiTi"/>
              <w:spacing w:val="-4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7"/>
              <w:sz w:val="21"/>
              <w:szCs w:val="21"/>
            </w:rPr>
            <w:t xml:space="preserve">Quest </w:t>
          </w:r>
          <w:r>
            <w:rPr>
              <w:rFonts w:ascii="KaiTi" w:eastAsia="KaiTi" w:hAnsi="KaiTi" w:cs="KaiTi"/>
              <w:spacing w:val="-7"/>
              <w:sz w:val="21"/>
              <w:szCs w:val="21"/>
            </w:rPr>
            <w:t>应用收入及对应数量（个）</w:t>
          </w:r>
          <w:r>
            <w:rPr>
              <w:rFonts w:ascii="KaiTi" w:eastAsia="KaiTi" w:hAnsi="KaiTi" w:cs="KaiTi"/>
              <w:spacing w:val="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0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636"/>
            </w:tabs>
            <w:spacing w:before="76" w:line="217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12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Quest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商店平均美元内容收入（美元）</w:t>
          </w:r>
          <w:r>
            <w:rPr>
              <w:rFonts w:ascii="KaiTi" w:eastAsia="KaiTi" w:hAnsi="KaiTi" w:cs="KaiTi"/>
              <w:spacing w:val="13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1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10636"/>
            </w:tabs>
            <w:spacing w:before="80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3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13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Meta</w:t>
          </w:r>
          <w:r>
            <w:rPr>
              <w:rFonts w:ascii="Arial" w:eastAsia="Arial" w:hAnsi="Arial" w:cs="Arial"/>
              <w:spacing w:val="1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Quest</w:t>
          </w:r>
          <w:r>
            <w:rPr>
              <w:rFonts w:ascii="Arial" w:eastAsia="Arial" w:hAnsi="Arial" w:cs="Arial"/>
              <w:spacing w:val="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3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3"/>
              <w:sz w:val="21"/>
              <w:szCs w:val="21"/>
            </w:rPr>
            <w:t>游戏上线年份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2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6"/>
            </w:tabs>
            <w:spacing w:before="79" w:line="229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14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Meta Quest</w:t>
          </w:r>
          <w:r>
            <w:rPr>
              <w:rFonts w:ascii="Arial" w:eastAsia="Arial" w:hAnsi="Arial" w:cs="Arial"/>
              <w:spacing w:val="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1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游戏好评率对比（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7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3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6"/>
            </w:tabs>
            <w:spacing w:before="65" w:line="231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15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Meta Quest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40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游戏设备支持情况（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5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4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6"/>
            </w:tabs>
            <w:spacing w:before="63" w:line="231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16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Meta Quest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5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VR</w:t>
          </w:r>
          <w:r>
            <w:rPr>
              <w:rFonts w:ascii="Arial" w:eastAsia="Arial" w:hAnsi="Arial" w:cs="Arial"/>
              <w:spacing w:val="1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游戏价格段分布对比（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5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10636"/>
            </w:tabs>
            <w:spacing w:before="65" w:line="229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17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PICO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商店的不同类型应用占比情况（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3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6" w:history="1">
            <w:r>
              <w:rPr>
                <w:rFonts w:ascii="Arial" w:eastAsia="Arial" w:hAnsi="Arial" w:cs="Arial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10636"/>
            </w:tabs>
            <w:spacing w:before="64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18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：中国和全球</w:t>
          </w:r>
          <w:r>
            <w:rPr>
              <w:rFonts w:ascii="KaiTi" w:eastAsia="KaiTi" w:hAnsi="KaiTi" w:cs="KaiTi"/>
              <w:spacing w:val="-38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设备季度出货量（万台）</w:t>
          </w:r>
          <w:r>
            <w:rPr>
              <w:rFonts w:ascii="KaiTi" w:eastAsia="KaiTi" w:hAnsi="KaiTi" w:cs="KaiTi"/>
              <w:spacing w:val="-8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7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6"/>
            </w:tabs>
            <w:spacing w:before="78" w:line="229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19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：全球</w:t>
          </w:r>
          <w:r>
            <w:rPr>
              <w:rFonts w:ascii="KaiTi" w:eastAsia="KaiTi" w:hAnsi="KaiTi" w:cs="KaiTi"/>
              <w:spacing w:val="-5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头显季度出货量（万）及同比增速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（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3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8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6"/>
            </w:tabs>
            <w:spacing w:before="66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20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硬件历年迭代情况</w:t>
          </w:r>
          <w:r>
            <w:rPr>
              <w:rFonts w:ascii="KaiTi" w:eastAsia="KaiTi" w:hAnsi="KaiTi" w:cs="KaiTi"/>
              <w:spacing w:val="-82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29" w:history="1">
            <w:r>
              <w:rPr>
                <w:rFonts w:ascii="Arial" w:eastAsia="Arial" w:hAnsi="Arial" w:cs="Arial"/>
                <w:spacing w:val="-13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9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10636"/>
            </w:tabs>
            <w:spacing w:before="78" w:line="216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21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：苹果</w:t>
          </w:r>
          <w:r>
            <w:rPr>
              <w:rFonts w:ascii="KaiTi" w:eastAsia="KaiTi" w:hAnsi="KaiTi" w:cs="KaiTi"/>
              <w:spacing w:val="-5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Vision Pro</w:t>
          </w:r>
          <w:r>
            <w:rPr>
              <w:rFonts w:ascii="Arial" w:eastAsia="Arial" w:hAnsi="Arial" w:cs="Arial"/>
              <w:spacing w:val="5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性能介绍</w:t>
          </w:r>
          <w:r>
            <w:rPr>
              <w:rFonts w:ascii="KaiTi" w:eastAsia="KaiTi" w:hAnsi="KaiTi" w:cs="KaiTi"/>
              <w:spacing w:val="-8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0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6"/>
            </w:tabs>
            <w:spacing w:before="80" w:line="231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22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Quest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25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MR</w:t>
          </w:r>
          <w:r>
            <w:rPr>
              <w:rFonts w:ascii="Arial" w:eastAsia="Arial" w:hAnsi="Arial" w:cs="Arial"/>
              <w:spacing w:val="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内容占比情况（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%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）</w:t>
          </w:r>
          <w:r>
            <w:rPr>
              <w:rFonts w:ascii="KaiTi" w:eastAsia="KaiTi" w:hAnsi="KaiTi" w:cs="KaiTi"/>
              <w:spacing w:val="-64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31" w:history="1">
            <w:r>
              <w:rPr>
                <w:rFonts w:ascii="Arial" w:eastAsia="Arial" w:hAnsi="Arial" w:cs="Arial"/>
                <w:spacing w:val="1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10636"/>
            </w:tabs>
            <w:spacing w:before="64" w:line="218" w:lineRule="auto"/>
            <w:ind w:left="3124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4"/>
              <w:sz w:val="21"/>
              <w:szCs w:val="21"/>
            </w:rPr>
            <w:t>图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23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 xml:space="preserve">Quest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商店</w:t>
          </w:r>
          <w:r>
            <w:rPr>
              <w:rFonts w:ascii="KaiTi" w:eastAsia="KaiTi" w:hAnsi="KaiTi" w:cs="KaiTi"/>
              <w:spacing w:val="-29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4"/>
              <w:sz w:val="21"/>
              <w:szCs w:val="21"/>
            </w:rPr>
            <w:t>MR</w:t>
          </w:r>
          <w:r>
            <w:rPr>
              <w:rFonts w:ascii="Arial" w:eastAsia="Arial" w:hAnsi="Arial" w:cs="Arial"/>
              <w:spacing w:val="3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pacing w:val="-4"/>
              <w:sz w:val="21"/>
              <w:szCs w:val="21"/>
            </w:rPr>
            <w:t>内容标签出现次数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hyperlink w:anchor="bookmark32" w:history="1">
            <w:r>
              <w:rPr>
                <w:rFonts w:ascii="Arial" w:eastAsia="Arial" w:hAnsi="Arial" w:cs="Arial"/>
                <w:spacing w:val="11"/>
                <w:sz w:val="21"/>
                <w:szCs w:val="21"/>
              </w:rPr>
              <w:t>20</w:t>
            </w:r>
          </w:hyperlink>
        </w:p>
      </w:sdtContent>
    </w:sdt>
    <w:p>
      <w:pPr>
        <w:spacing w:line="255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145634314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tabs>
              <w:tab w:val="right" w:leader="dot" w:pos="10634"/>
            </w:tabs>
            <w:spacing w:before="69" w:line="216" w:lineRule="auto"/>
            <w:ind w:left="309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1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2023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年新上市的主要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VR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产品性能</w:t>
          </w:r>
          <w:r>
            <w:rPr>
              <w:rFonts w:ascii="KaiTi" w:eastAsia="KaiTi" w:hAnsi="KaiTi" w:cs="KaiTi"/>
              <w:spacing w:val="-71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4"/>
              <w:sz w:val="21"/>
              <w:szCs w:val="21"/>
            </w:rPr>
            <w:t xml:space="preserve"> </w:t>
          </w:r>
          <w:hyperlink w:anchor="bookmark33" w:history="1"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10634"/>
            </w:tabs>
            <w:spacing w:before="80" w:line="215" w:lineRule="auto"/>
            <w:ind w:left="3098"/>
            <w:rPr>
              <w:rFonts w:ascii="Arial" w:eastAsia="Arial" w:hAnsi="Arial" w:cs="Arial"/>
              <w:sz w:val="21"/>
              <w:szCs w:val="21"/>
            </w:rPr>
            <w:sectPr>
              <w:headerReference w:type="default" r:id="rId20"/>
              <w:footerReference w:type="default" r:id="rId21"/>
              <w:pgSz w:w="11907" w:h="16839"/>
              <w:pgMar w:top="1383" w:right="646" w:bottom="1289" w:left="622" w:header="794" w:footer="723" w:gutter="0"/>
              <w:pgNumType w:start="6"/>
              <w:cols w:space="708"/>
            </w:sectPr>
          </w:pPr>
          <w:r>
            <w:rPr>
              <w:rFonts w:ascii="KaiTi" w:eastAsia="KaiTi" w:hAnsi="KaiTi" w:cs="KaiTi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z w:val="21"/>
              <w:szCs w:val="21"/>
            </w:rPr>
            <w:t>2</w:t>
          </w:r>
          <w:r>
            <w:rPr>
              <w:rFonts w:ascii="KaiTi" w:eastAsia="KaiTi" w:hAnsi="KaiTi" w:cs="KaiTi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z w:val="21"/>
              <w:szCs w:val="21"/>
            </w:rPr>
            <w:t>Meta Quest+</w:t>
          </w:r>
          <w:r>
            <w:rPr>
              <w:rFonts w:ascii="KaiTi" w:eastAsia="KaiTi" w:hAnsi="KaiTi" w:cs="KaiTi"/>
              <w:sz w:val="21"/>
              <w:szCs w:val="21"/>
            </w:rPr>
            <w:t>订阅制每月免费游戏</w:t>
          </w:r>
          <w:r>
            <w:rPr>
              <w:rFonts w:ascii="KaiTi" w:eastAsia="KaiTi" w:hAnsi="KaiTi" w:cs="KaiTi"/>
              <w:spacing w:val="-59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46"/>
              <w:sz w:val="21"/>
              <w:szCs w:val="21"/>
            </w:rPr>
            <w:t xml:space="preserve"> </w:t>
          </w:r>
          <w:hyperlink w:anchor="bookmark34" w:history="1">
            <w:r>
              <w:rPr>
                <w:rFonts w:ascii="Arial" w:eastAsia="Arial" w:hAnsi="Arial" w:cs="Arial"/>
                <w:spacing w:val="-20"/>
                <w:sz w:val="21"/>
                <w:szCs w:val="21"/>
              </w:rPr>
              <w:t>11</w:t>
            </w:r>
          </w:hyperlink>
        </w:p>
      </w:sdtContent>
    </w:sdt>
    <w:sdt>
      <w:sdtPr>
        <w:rPr>
          <w:rFonts w:ascii="KaiTi" w:eastAsia="KaiTi" w:hAnsi="KaiTi" w:cs="KaiTi"/>
          <w:sz w:val="21"/>
          <w:szCs w:val="21"/>
        </w:rPr>
        <w:id w:val="155623299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tabs>
              <w:tab w:val="right" w:leader="dot" w:pos="10636"/>
            </w:tabs>
            <w:spacing w:before="82" w:line="220" w:lineRule="auto"/>
            <w:ind w:left="309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3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OST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和</w:t>
          </w:r>
          <w:r>
            <w:rPr>
              <w:rFonts w:ascii="KaiTi" w:eastAsia="KaiTi" w:hAnsi="KaiTi" w:cs="KaiTi"/>
              <w:spacing w:val="-44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VST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原理及优缺点对比</w:t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5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10636"/>
            </w:tabs>
            <w:spacing w:before="74" w:line="223" w:lineRule="auto"/>
            <w:ind w:left="309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4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Vision</w:t>
          </w:r>
          <w:r>
            <w:rPr>
              <w:rFonts w:ascii="Arial" w:eastAsia="Arial" w:hAnsi="Arial" w:cs="Arial"/>
              <w:spacing w:val="16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 xml:space="preserve">Pro 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及</w:t>
          </w:r>
          <w:r>
            <w:rPr>
              <w:rFonts w:ascii="KaiTi" w:eastAsia="KaiTi" w:hAnsi="KaiTi" w:cs="KaiTi"/>
              <w:spacing w:val="-4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Oculus Qu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est3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性能对比</w:t>
          </w:r>
          <w:r>
            <w:rPr>
              <w:rFonts w:ascii="KaiTi" w:eastAsia="KaiTi" w:hAnsi="KaiTi" w:cs="KaiTi"/>
              <w:spacing w:val="-50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6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10636"/>
            </w:tabs>
            <w:spacing w:before="73" w:line="218" w:lineRule="auto"/>
            <w:ind w:left="309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1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1"/>
              <w:sz w:val="21"/>
              <w:szCs w:val="21"/>
            </w:rPr>
            <w:t>5</w:t>
          </w:r>
          <w:r>
            <w:rPr>
              <w:rFonts w:ascii="KaiTi" w:eastAsia="KaiTi" w:hAnsi="KaiTi" w:cs="KaiTi"/>
              <w:spacing w:val="-1"/>
              <w:sz w:val="21"/>
              <w:szCs w:val="21"/>
            </w:rPr>
            <w:t>：自然交互方式及其特点</w:t>
          </w:r>
          <w:r>
            <w:rPr>
              <w:rFonts w:ascii="KaiTi" w:eastAsia="KaiTi" w:hAnsi="KaiTi" w:cs="KaiTi"/>
              <w:spacing w:val="-27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61"/>
              <w:sz w:val="21"/>
              <w:szCs w:val="21"/>
            </w:rPr>
            <w:t xml:space="preserve"> </w:t>
          </w:r>
          <w:hyperlink w:anchor="bookmark37" w:history="1">
            <w:r>
              <w:rPr>
                <w:rFonts w:ascii="Arial" w:eastAsia="Arial" w:hAnsi="Arial" w:cs="Arial"/>
                <w:spacing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pacing w:val="-10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10636"/>
            </w:tabs>
            <w:spacing w:before="79" w:line="219" w:lineRule="auto"/>
            <w:ind w:left="3098"/>
            <w:rPr>
              <w:rFonts w:ascii="Arial" w:eastAsia="Arial" w:hAnsi="Arial" w:cs="Arial"/>
              <w:sz w:val="21"/>
              <w:szCs w:val="21"/>
            </w:rPr>
          </w:pPr>
          <w:r>
            <w:rPr>
              <w:rFonts w:ascii="KaiTi" w:eastAsia="KaiTi" w:hAnsi="KaiTi" w:cs="KaiTi"/>
              <w:spacing w:val="-2"/>
              <w:sz w:val="21"/>
              <w:szCs w:val="21"/>
            </w:rPr>
            <w:t>表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>6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：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A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股</w:t>
          </w:r>
          <w:r>
            <w:rPr>
              <w:rFonts w:ascii="KaiTi" w:eastAsia="KaiTi" w:hAnsi="KaiTi" w:cs="KaiTi"/>
              <w:spacing w:val="-22"/>
              <w:sz w:val="21"/>
              <w:szCs w:val="21"/>
            </w:rPr>
            <w:t xml:space="preserve"> </w:t>
          </w:r>
          <w:r>
            <w:rPr>
              <w:rFonts w:ascii="Arial" w:eastAsia="Arial" w:hAnsi="Arial" w:cs="Arial"/>
              <w:spacing w:val="-2"/>
              <w:sz w:val="21"/>
              <w:szCs w:val="21"/>
            </w:rPr>
            <w:t xml:space="preserve">MR </w:t>
          </w:r>
          <w:r>
            <w:rPr>
              <w:rFonts w:ascii="KaiTi" w:eastAsia="KaiTi" w:hAnsi="KaiTi" w:cs="KaiTi"/>
              <w:spacing w:val="-2"/>
              <w:sz w:val="21"/>
              <w:szCs w:val="21"/>
            </w:rPr>
            <w:t>相关标的及布局情况梳理</w:t>
          </w:r>
          <w:r>
            <w:rPr>
              <w:rFonts w:ascii="KaiTi" w:eastAsia="KaiTi" w:hAnsi="KaiTi" w:cs="KaiTi"/>
              <w:spacing w:val="-48"/>
              <w:sz w:val="21"/>
              <w:szCs w:val="21"/>
            </w:rPr>
            <w:t xml:space="preserve"> </w:t>
          </w:r>
          <w:r>
            <w:rPr>
              <w:rFonts w:ascii="KaiTi" w:eastAsia="KaiTi" w:hAnsi="KaiTi" w:cs="KaiTi"/>
              <w:sz w:val="21"/>
              <w:szCs w:val="21"/>
            </w:rPr>
            <w:tab/>
          </w:r>
          <w:r>
            <w:rPr>
              <w:rFonts w:ascii="KaiTi" w:eastAsia="KaiTi" w:hAnsi="KaiTi" w:cs="KaiTi"/>
              <w:spacing w:val="-78"/>
              <w:sz w:val="21"/>
              <w:szCs w:val="21"/>
            </w:rPr>
            <w:t xml:space="preserve"> </w:t>
          </w:r>
          <w:hyperlink w:anchor="bookmark38" w:history="1">
            <w:r>
              <w:rPr>
                <w:rFonts w:ascii="Arial" w:eastAsia="Arial" w:hAnsi="Arial" w:cs="Arial"/>
                <w:spacing w:val="-3"/>
                <w:sz w:val="21"/>
                <w:szCs w:val="21"/>
              </w:rPr>
              <w:t>21</w:t>
            </w:r>
          </w:hyperlink>
        </w:p>
      </w:sdtContent>
    </w:sdt>
    <w:p>
      <w:pPr>
        <w:spacing w:line="219" w:lineRule="auto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https://d.book118.com/427146164020006034</w:t>
        </w:r>
      </w:hyperlink>
    </w:p>
    <w:p>
      <w:pPr>
        <w:spacing w:line="219" w:lineRule="auto"/>
        <w:rPr>
          <w:rFonts w:ascii="Arial" w:eastAsia="Arial" w:hAnsi="Arial" w:cs="Arial"/>
          <w:sz w:val="21"/>
          <w:szCs w:val="21"/>
        </w:rPr>
      </w:pPr>
    </w:p>
    <w:sectPr>
      <w:headerReference w:type="default" r:id="rId23"/>
      <w:footerReference w:type="default" r:id="rId24"/>
      <w:type w:val="nextPage"/>
      <w:pgSz w:w="11907" w:h="16839"/>
      <w:pgMar w:top="1383" w:right="646" w:bottom="1289" w:left="622" w:header="794" w:footer="723" w:gutter="0"/>
      <w:pgNumType w:start="7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49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pStyle w:val="BodyText"/>
      <w:spacing w:after="58" w:line="218" w:lineRule="auto"/>
      <w:ind w:left="848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2.7pt;height:12.35pt;margin-top:-1pt;margin-left:0.07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5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9" w:line="20" w:lineRule="exact"/>
      <w:ind w:firstLine="1"/>
    </w:pPr>
    <w:r>
      <w:pict>
        <v:shape id="_x0000_i2051" style="width:529.55pt;height:1pt;mso-position-horizontal-relative:char;mso-position-vertical-relative:line" coordorigin="0,0" coordsize="10590,20" path="m,10l10590,10e" filled="f" strokecolor="#009ee1" strokeweight="1pt">
          <w10:wrap type="none"/>
        </v:shape>
      </w:pict>
    </w:r>
  </w:p>
  <w:p>
    <w:pPr>
      <w:pStyle w:val="BodyText"/>
      <w:spacing w:after="58" w:line="218" w:lineRule="auto"/>
      <w:ind w:left="848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2.7pt;height:12.35pt;margin-top:-1pt;margin-left:0.07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393" w:lineRule="auto"/>
      <w:rPr>
        <w:rFonts w:ascii="Arial"/>
        <w:sz w:val="21"/>
      </w:rPr>
    </w:pPr>
  </w:p>
  <w:p>
    <w:pPr>
      <w:spacing w:line="175" w:lineRule="auto"/>
      <w:ind w:left="505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</w:rPr>
      <w:t xml:space="preserve"> /</w:t>
    </w:r>
    <w:r>
      <w:rPr>
        <w:rFonts w:ascii="Malgun Gothic" w:eastAsia="Malgun Gothic" w:hAnsi="Malgun Gothic" w:cs="Malgun Gothic"/>
        <w:color w:val="003F8A"/>
        <w:spacing w:val="3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9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72" w:line="218" w:lineRule="auto"/>
      <w:ind w:left="8613"/>
    </w:pPr>
    <w:r>
      <w:pict>
        <v:shape id="_x0000_s2053" style="width:529.55pt;height:1pt;margin-top:777.44pt;margin-left:31.15pt;mso-position-horizontal-relative:page;mso-position-vertical-relative:page;position:absolute;z-index:251661312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35pt;margin-top:2.45pt;margin-left:6.55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175" w:lineRule="auto"/>
      <w:ind w:left="517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72" w:line="218" w:lineRule="auto"/>
      <w:ind w:left="8613"/>
    </w:pPr>
    <w:r>
      <w:pict>
        <v:shape id="_x0000_s2055" style="width:529.55pt;height:1pt;margin-top:777.44pt;margin-left:31.15pt;mso-position-horizontal-relative:page;mso-position-vertical-relative:page;position:absolute;z-index:251663360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2.7pt;height:12.35pt;margin-top:2.45pt;margin-left:6.55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175" w:lineRule="auto"/>
      <w:ind w:left="5171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72" w:line="218" w:lineRule="auto"/>
      <w:ind w:right="9"/>
      <w:jc w:val="right"/>
    </w:pPr>
    <w:r>
      <w:pict>
        <v:shape id="_x0000_s2057" style="width:529.55pt;height:1pt;margin-top:777.44pt;margin-left:31.15pt;mso-position-horizontal-relative:page;mso-position-vertical-relative:page;position:absolute;z-index:251665408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2.7pt;height:12.35pt;margin-top:2.45pt;margin-left:0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175" w:lineRule="auto"/>
      <w:ind w:left="5042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</w:rPr>
      <w:t xml:space="preserve"> / </w:t>
    </w:r>
    <w:r>
      <w:rPr>
        <w:rFonts w:ascii="Malgun Gothic" w:eastAsia="Malgun Gothic" w:hAnsi="Malgun Gothic" w:cs="Malgun Gothic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72" w:line="218" w:lineRule="auto"/>
      <w:ind w:right="2"/>
      <w:jc w:val="right"/>
    </w:pPr>
    <w:r>
      <w:pict>
        <v:shape id="_x0000_s2059" style="width:529.55pt;height:1pt;margin-top:777.44pt;margin-left:31.15pt;mso-position-horizontal-relative:page;mso-position-vertical-relative:page;position:absolute;z-index:251667456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35pt;margin-top:2.45pt;margin-left:0;position:absolute;z-index:251666432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175" w:lineRule="auto"/>
      <w:ind w:left="503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"/>
        <w:sz w:val="16"/>
        <w:szCs w:val="16"/>
      </w:rPr>
      <w:t xml:space="preserve">/ </w:t>
    </w:r>
    <w:r>
      <w:rPr>
        <w:rFonts w:ascii="Malgun Gothic" w:eastAsia="Malgun Gothic" w:hAnsi="Malgun Gothic" w:cs="Malgun Gothic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68" w:after="72" w:line="218" w:lineRule="auto"/>
      <w:ind w:right="2"/>
      <w:jc w:val="right"/>
    </w:pPr>
    <w:r>
      <w:pict>
        <v:shape id="_x0000_s2061" style="width:529.55pt;height:1pt;margin-top:777.44pt;margin-left:31.15pt;mso-position-horizontal-relative:page;mso-position-vertical-relative:page;position:absolute;z-index:251669504" coordorigin="0,0" coordsize="10590,20" o:allowincell="f" path="m,9l10590,9e" filled="f" strokecolor="#009ee1" strokeweight="1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2.7pt;height:12.35pt;margin-top:2.45pt;margin-left:0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19" w:line="212" w:lineRule="auto"/>
                  <w:ind w:left="20"/>
                </w:pPr>
                <w:r>
                  <w:rPr>
                    <w:color w:val="003F8A"/>
                    <w:spacing w:val="-1"/>
                  </w:rPr>
                  <w:t>识别风险，发现价值</w:t>
                </w:r>
              </w:p>
            </w:txbxContent>
          </v:textbox>
        </v:shape>
      </w:pict>
    </w:r>
    <w:r>
      <w:rPr>
        <w:color w:val="004892"/>
        <w:spacing w:val="-1"/>
      </w:rPr>
      <w:t>请务必阅读末页的免责声明</w:t>
    </w:r>
  </w:p>
  <w:p>
    <w:pPr>
      <w:spacing w:line="175" w:lineRule="auto"/>
      <w:ind w:left="5034"/>
      <w:rPr>
        <w:rFonts w:ascii="Malgun Gothic" w:eastAsia="Malgun Gothic" w:hAnsi="Malgun Gothic" w:cs="Malgun Gothic"/>
        <w:sz w:val="16"/>
        <w:szCs w:val="16"/>
      </w:rPr>
    </w:pPr>
    <w:r>
      <w:rPr>
        <w:rFonts w:ascii="Malgun Gothic" w:eastAsia="Malgun Gothic" w:hAnsi="Malgun Gothic" w:cs="Malgun Gothic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Malgun Gothic" w:eastAsia="Malgun Gothic" w:hAnsi="Malgun Gothic" w:cs="Malgun Gothic"/>
        <w:color w:val="003F8A"/>
        <w:spacing w:val="-5"/>
        <w:sz w:val="16"/>
        <w:szCs w:val="16"/>
      </w:rPr>
      <w:t xml:space="preserve"> </w:t>
    </w:r>
    <w:r>
      <w:rPr>
        <w:rFonts w:ascii="Malgun Gothic" w:eastAsia="Malgun Gothic" w:hAnsi="Malgun Gothic" w:cs="Malgun Gothic"/>
        <w:color w:val="003F8A"/>
        <w:spacing w:val="-1"/>
        <w:sz w:val="16"/>
        <w:szCs w:val="16"/>
      </w:rPr>
      <w:t xml:space="preserve">/ </w:t>
    </w:r>
    <w:r>
      <w:rPr>
        <w:rFonts w:ascii="Malgun Gothic" w:eastAsia="Malgun Gothic" w:hAnsi="Malgun Gothic" w:cs="Malgun Gothic"/>
        <w:color w:val="003F8A"/>
        <w:spacing w:val="-1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26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71" w:lineRule="auto"/>
      <w:ind w:left="8892" w:right="381" w:hanging="551"/>
      <w:jc w:val="right"/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行业专题研究|传媒</w:t>
    </w:r>
    <w:r>
      <w:rPr>
        <w:color w:val="1F497D"/>
        <w:sz w:val="24"/>
        <w:szCs w:val="24"/>
      </w:rPr>
      <w:t xml:space="preserve"> </w:t>
    </w:r>
    <w:r>
      <w:rPr>
        <w:color w:val="1F497D"/>
        <w:spacing w:val="-8"/>
      </w:rPr>
      <w:t>2023</w:t>
    </w:r>
    <w:r>
      <w:rPr>
        <w:color w:val="1F497D"/>
        <w:spacing w:val="-32"/>
      </w:rPr>
      <w:t xml:space="preserve"> </w:t>
    </w:r>
    <w:r>
      <w:rPr>
        <w:color w:val="1F497D"/>
        <w:spacing w:val="-8"/>
      </w:rPr>
      <w:t>年</w:t>
    </w:r>
    <w:r>
      <w:rPr>
        <w:color w:val="1F497D"/>
        <w:spacing w:val="-30"/>
      </w:rPr>
      <w:t xml:space="preserve"> </w:t>
    </w:r>
    <w:r>
      <w:rPr>
        <w:color w:val="1F497D"/>
        <w:spacing w:val="-8"/>
      </w:rPr>
      <w:t>12</w:t>
    </w:r>
    <w:r>
      <w:rPr>
        <w:color w:val="1F497D"/>
        <w:spacing w:val="-32"/>
      </w:rPr>
      <w:t xml:space="preserve"> </w:t>
    </w:r>
    <w:r>
      <w:rPr>
        <w:color w:val="1F497D"/>
        <w:spacing w:val="-8"/>
      </w:rPr>
      <w:t>月</w:t>
    </w:r>
    <w:r>
      <w:rPr>
        <w:color w:val="1F497D"/>
        <w:spacing w:val="-39"/>
      </w:rPr>
      <w:t xml:space="preserve"> </w:t>
    </w:r>
    <w:r>
      <w:rPr>
        <w:color w:val="1F497D"/>
        <w:spacing w:val="-8"/>
      </w:rPr>
      <w:t>21</w:t>
    </w:r>
    <w:r>
      <w:rPr>
        <w:color w:val="1F497D"/>
        <w:spacing w:val="-8"/>
      </w:rPr>
      <w:t xml:space="preserve"> </w:t>
    </w:r>
    <w:r>
      <w:rPr>
        <w:color w:val="1F497D"/>
        <w:spacing w:val="-8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71" w:lineRule="auto"/>
      <w:ind w:left="8892" w:right="381" w:hanging="551"/>
      <w:jc w:val="right"/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403225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368711783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8711783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4"/>
        <w:szCs w:val="24"/>
      </w:rPr>
      <w:t>行业专题研究|传媒</w:t>
    </w:r>
    <w:r>
      <w:rPr>
        <w:color w:val="1F497D"/>
        <w:sz w:val="24"/>
        <w:szCs w:val="24"/>
      </w:rPr>
      <w:t xml:space="preserve"> </w:t>
    </w:r>
    <w:r>
      <w:rPr>
        <w:color w:val="1F497D"/>
        <w:spacing w:val="-8"/>
      </w:rPr>
      <w:t>2023</w:t>
    </w:r>
    <w:r>
      <w:rPr>
        <w:color w:val="1F497D"/>
        <w:spacing w:val="-32"/>
      </w:rPr>
      <w:t xml:space="preserve"> </w:t>
    </w:r>
    <w:r>
      <w:rPr>
        <w:color w:val="1F497D"/>
        <w:spacing w:val="-8"/>
      </w:rPr>
      <w:t>年</w:t>
    </w:r>
    <w:r>
      <w:rPr>
        <w:color w:val="1F497D"/>
        <w:spacing w:val="-30"/>
      </w:rPr>
      <w:t xml:space="preserve"> </w:t>
    </w:r>
    <w:r>
      <w:rPr>
        <w:color w:val="1F497D"/>
        <w:spacing w:val="-8"/>
      </w:rPr>
      <w:t>12</w:t>
    </w:r>
    <w:r>
      <w:rPr>
        <w:color w:val="1F497D"/>
        <w:spacing w:val="-32"/>
      </w:rPr>
      <w:t xml:space="preserve"> </w:t>
    </w:r>
    <w:r>
      <w:rPr>
        <w:color w:val="1F497D"/>
        <w:spacing w:val="-8"/>
      </w:rPr>
      <w:t>月</w:t>
    </w:r>
    <w:r>
      <w:rPr>
        <w:color w:val="1F497D"/>
        <w:spacing w:val="-39"/>
      </w:rPr>
      <w:t xml:space="preserve"> </w:t>
    </w:r>
    <w:r>
      <w:rPr>
        <w:color w:val="1F497D"/>
        <w:spacing w:val="-8"/>
      </w:rPr>
      <w:t>21</w:t>
    </w:r>
    <w:r>
      <w:rPr>
        <w:color w:val="1F497D"/>
        <w:spacing w:val="-8"/>
      </w:rPr>
      <w:t xml:space="preserve"> </w:t>
    </w:r>
    <w:r>
      <w:rPr>
        <w:color w:val="1F497D"/>
        <w:spacing w:val="-8"/>
      </w:rPr>
      <w:t>日</w:t>
    </w:r>
    <w:r>
      <w:rPr>
        <w:color w:val="1F497D"/>
      </w:rPr>
      <w:t xml:space="preserve"> </w:t>
    </w:r>
    <w:r>
      <w:rPr>
        <w:color w:val="1F497D"/>
        <w:spacing w:val="-1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875"/>
      <w:rPr>
        <w:sz w:val="21"/>
        <w:szCs w:val="21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行业专题研究|传媒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875"/>
      <w:rPr>
        <w:sz w:val="21"/>
        <w:szCs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528127286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8127286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行业专题研究|传媒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744"/>
      <w:rPr>
        <w:sz w:val="21"/>
        <w:szCs w:val="21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2" name="IM 2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 2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行业专题研究|传媒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744"/>
      <w:rPr>
        <w:sz w:val="21"/>
        <w:szCs w:val="21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行业专题研究|传媒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03" w:line="215" w:lineRule="auto"/>
      <w:ind w:left="8744"/>
      <w:rPr>
        <w:sz w:val="21"/>
        <w:szCs w:val="21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422275</wp:posOffset>
          </wp:positionH>
          <wp:positionV relativeFrom="page">
            <wp:posOffset>504443</wp:posOffset>
          </wp:positionV>
          <wp:extent cx="1162050" cy="352044"/>
          <wp:effectExtent l="0" t="0" r="0" b="0"/>
          <wp:wrapNone/>
          <wp:docPr id="1654820966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820966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050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1F497D"/>
        <w:spacing w:val="-1"/>
        <w:sz w:val="21"/>
        <w:szCs w:val="21"/>
      </w:rPr>
      <w:t>行业专题研究|传媒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Hei" w:eastAsia="SimHei" w:hAnsi="SimHei" w:cs="SimHe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header" Target="header2.xml" /><Relationship Id="rId13" Type="http://schemas.openxmlformats.org/officeDocument/2006/relationships/footer" Target="footer2.xml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yperlink" Target="https://d.book118.com/427146164020006034" TargetMode="External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theme" Target="theme/theme1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广发证券-传媒行业专题研究：向MR迈进，期待行业突破-231221.pdf</dc:title>
  <cp:revision>0</cp:revision>
  <dcterms:created xsi:type="dcterms:W3CDTF">2024-01-25T09:21:37Z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2024-01-25T09:28:49Z</vt:filetime>
  </property>
  <property fmtid="{D5CDD505-2E9C-101B-9397-08002B2CF9AE}" pid="3" name="CRO">
    <vt:lpwstr>wqlLaW5nc29mdCBQREYgdG8gV1BTIDkw</vt:lpwstr>
  </property>
</Properties>
</file>