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pStyle w:val="Title"/>
      </w:pPr>
      <w:r>
        <w:rPr>
          <w:color w:val="70AD47"/>
          <w:spacing w:val="-1"/>
        </w:rPr>
        <w:t>华阳钢结构厂房全寿命周期评估</w:t>
      </w: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rPr>
          <w:rFonts w:ascii="Microsoft JhengHei"/>
          <w:b/>
          <w:sz w:val="20"/>
        </w:rPr>
      </w:pPr>
    </w:p>
    <w:p>
      <w:pPr>
        <w:pStyle w:val="BodyText"/>
        <w:spacing w:before="11"/>
        <w:rPr>
          <w:rFonts w:ascii="Microsoft JhengHei"/>
          <w:b/>
          <w:sz w:val="11"/>
        </w:rPr>
      </w:pPr>
      <w: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3313176</wp:posOffset>
            </wp:positionH>
            <wp:positionV relativeFrom="paragraph">
              <wp:posOffset>151156</wp:posOffset>
            </wp:positionV>
            <wp:extent cx="935516" cy="398145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png"/>
                    <pic:cNvPicPr/>
                  </pic:nvPicPr>
                  <pic:blipFill>
                    <a:blip xmlns:r="http://schemas.openxmlformats.org/officeDocument/2006/relationships"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5516" cy="3981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"/>
        <w:rPr>
          <w:rFonts w:ascii="Microsoft JhengHei"/>
          <w:b/>
          <w:sz w:val="14"/>
        </w:rPr>
      </w:pPr>
    </w:p>
    <w:sdt>
      <w:sdtPr>
        <w:id w:val="1421198934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left" w:pos="1589"/>
              <w:tab w:val="right" w:leader="dot" w:pos="8415"/>
            </w:tabs>
            <w:spacing w:before="77"/>
            <w:rPr>
              <w:rFonts w:ascii="Times New Roman" w:eastAsia="Times New Roman"/>
            </w:rPr>
          </w:pPr>
          <w:r>
            <w:fldChar w:fldCharType="begin"/>
          </w:r>
          <w:r>
            <w:instrText xml:space="preserve">TOC \o "1-1" \h \z \u </w:instrText>
          </w:r>
          <w:r>
            <w:fldChar w:fldCharType="separate"/>
          </w:r>
          <w:hyperlink w:anchor="_bookmark0" w:history="1">
            <w:r>
              <w:t>第一部</w:t>
            </w:r>
            <w:r>
              <w:rPr>
                <w:spacing w:val="-10"/>
              </w:rPr>
              <w:t>分</w:t>
            </w:r>
            <w:r>
              <w:tab/>
              <w:t>华阳钢结构厂房全寿命周期评估目的及意</w:t>
            </w:r>
            <w:r>
              <w:rPr>
                <w:spacing w:val="-10"/>
              </w:rPr>
              <w:t>义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2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bookmark1" w:history="1">
            <w:r>
              <w:t>第二部</w:t>
            </w:r>
            <w:r>
              <w:rPr>
                <w:spacing w:val="-10"/>
              </w:rPr>
              <w:t>分</w:t>
            </w:r>
            <w:r>
              <w:tab/>
              <w:t>钢结构厂房全寿命周期评估范围划</w:t>
            </w:r>
            <w:r>
              <w:rPr>
                <w:spacing w:val="-10"/>
              </w:rPr>
              <w:t>定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3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5" w:history="1">
            <w:r>
              <w:t>第三部</w:t>
            </w:r>
            <w:r>
              <w:rPr>
                <w:spacing w:val="-10"/>
              </w:rPr>
              <w:t>分</w:t>
            </w:r>
            <w:r>
              <w:tab/>
              <w:t>钢结构厂房全寿命周期评价指标体系构</w:t>
            </w:r>
            <w:r>
              <w:rPr>
                <w:spacing w:val="-10"/>
              </w:rPr>
              <w:t>建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6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4" w:history="1">
            <w:r>
              <w:t>第四部</w:t>
            </w:r>
            <w:r>
              <w:rPr>
                <w:spacing w:val="-10"/>
              </w:rPr>
              <w:t>分</w:t>
            </w:r>
            <w:r>
              <w:tab/>
              <w:t>钢结构厂房全寿命周期环境影响评</w:t>
            </w:r>
            <w:r>
              <w:rPr>
                <w:spacing w:val="-10"/>
              </w:rPr>
              <w:t>价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10"/>
              </w:rPr>
              <w:t>8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3" w:history="1">
            <w:r>
              <w:t>第五部</w:t>
            </w:r>
            <w:r>
              <w:rPr>
                <w:spacing w:val="-10"/>
              </w:rPr>
              <w:t>分</w:t>
            </w:r>
            <w:r>
              <w:tab/>
              <w:t>钢结构厂房全寿命周期经济效益评</w:t>
            </w:r>
            <w:r>
              <w:rPr>
                <w:spacing w:val="-10"/>
              </w:rPr>
              <w:t>价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10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2" w:history="1">
            <w:r>
              <w:t>第六部</w:t>
            </w:r>
            <w:r>
              <w:rPr>
                <w:spacing w:val="-10"/>
              </w:rPr>
              <w:t>分</w:t>
            </w:r>
            <w:r>
              <w:tab/>
              <w:t>钢结构厂房全寿命周期社会效应评</w:t>
            </w:r>
            <w:r>
              <w:rPr>
                <w:spacing w:val="-10"/>
              </w:rPr>
              <w:t>价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15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spacing w:before="354"/>
            <w:rPr>
              <w:rFonts w:ascii="Times New Roman" w:eastAsia="Times New Roman"/>
            </w:rPr>
          </w:pPr>
          <w:hyperlink w:anchor="_TOC_250001" w:history="1">
            <w:r>
              <w:t>第七部</w:t>
            </w:r>
            <w:r>
              <w:rPr>
                <w:spacing w:val="-10"/>
              </w:rPr>
              <w:t>分</w:t>
            </w:r>
            <w:r>
              <w:tab/>
              <w:t>钢结构厂房全寿命周期效益综合评</w:t>
            </w:r>
            <w:r>
              <w:rPr>
                <w:spacing w:val="-10"/>
              </w:rPr>
              <w:t>价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17</w:t>
            </w:r>
          </w:hyperlink>
        </w:p>
        <w:p>
          <w:pPr>
            <w:pStyle w:val="TOC1"/>
            <w:tabs>
              <w:tab w:val="left" w:pos="1589"/>
              <w:tab w:val="right" w:leader="dot" w:pos="8415"/>
            </w:tabs>
            <w:rPr>
              <w:rFonts w:ascii="Times New Roman" w:eastAsia="Times New Roman"/>
            </w:rPr>
          </w:pPr>
          <w:hyperlink w:anchor="_TOC_250000" w:history="1">
            <w:r>
              <w:t>第八部</w:t>
            </w:r>
            <w:r>
              <w:rPr>
                <w:spacing w:val="-10"/>
              </w:rPr>
              <w:t>分</w:t>
            </w:r>
            <w:r>
              <w:tab/>
              <w:t>钢结构厂房全寿命周期评估结果分</w:t>
            </w:r>
            <w:r>
              <w:rPr>
                <w:spacing w:val="-10"/>
              </w:rPr>
              <w:t>析</w:t>
            </w:r>
            <w:r>
              <w:rPr>
                <w:rFonts w:ascii="Times New Roman" w:eastAsia="Times New Roman"/>
              </w:rPr>
              <w:tab/>
            </w:r>
            <w:r>
              <w:rPr>
                <w:rFonts w:ascii="Times New Roman" w:eastAsia="Times New Roman"/>
                <w:spacing w:val="-5"/>
              </w:rPr>
              <w:t>20</w:t>
            </w:r>
          </w:hyperlink>
        </w:p>
        <w:p>
          <w:r>
            <w:fldChar w:fldCharType="end"/>
          </w:r>
        </w:p>
      </w:sdtContent>
    </w:sdt>
    <w:p>
      <w:pPr>
        <w:spacing w:after="0"/>
        <w:sectPr>
          <w:footerReference w:type="default" r:id="rId5"/>
          <w:type w:val="continuous"/>
          <w:pgSz w:w="11910" w:h="16840"/>
          <w:pgMar w:top="1480" w:right="1280" w:bottom="1380" w:left="1680" w:header="0" w:footer="1198"/>
          <w:pgNumType w:start="1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0" w:name="_bookmark0"/>
      <w:bookmarkEnd w:id="0"/>
      <w:r>
        <w:t>第</w:t>
      </w:r>
      <w:r>
        <w:t>一</w:t>
      </w:r>
      <w:r>
        <w:t>部</w:t>
      </w:r>
      <w:r>
        <w:rPr>
          <w:spacing w:val="-10"/>
        </w:rPr>
        <w:t>分</w:t>
      </w:r>
      <w:r>
        <w:tab/>
        <w:t>华</w:t>
      </w:r>
      <w:r>
        <w:t>阳</w:t>
      </w:r>
      <w:r>
        <w:t>钢</w:t>
      </w:r>
      <w:r>
        <w:t>结</w:t>
      </w:r>
      <w:r>
        <w:t>构</w:t>
      </w:r>
      <w:r>
        <w:t>厂</w:t>
      </w:r>
      <w:r>
        <w:t>房</w:t>
      </w:r>
      <w:r>
        <w:t>全</w:t>
      </w:r>
      <w:r>
        <w:t>寿</w:t>
      </w:r>
      <w:r>
        <w:t>命</w:t>
      </w:r>
      <w:r>
        <w:t>周</w:t>
      </w:r>
      <w:r>
        <w:t>期</w:t>
      </w:r>
      <w:r>
        <w:t>评</w:t>
      </w:r>
      <w:r>
        <w:t>估</w:t>
      </w:r>
      <w:r>
        <w:t>目</w:t>
      </w:r>
      <w:r>
        <w:t>的</w:t>
      </w:r>
      <w:r>
        <w:t>及</w:t>
      </w:r>
      <w:r>
        <w:t>意</w:t>
      </w:r>
      <w:r>
        <w:rPr>
          <w:spacing w:val="-10"/>
        </w:rPr>
        <w:t>义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0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4"/>
        <w:gridCol w:w="5522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4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2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0"/>
          <w:jc w:val="left"/>
        </w:trPr>
        <w:tc>
          <w:tcPr>
            <w:tcW w:w="2774" w:type="dxa"/>
            <w:tcBorders>
              <w:bottom w:val="nil"/>
            </w:tcBorders>
          </w:tcPr>
          <w:p>
            <w:pPr>
              <w:pStyle w:val="TableParagraph"/>
              <w:spacing w:before="23" w:line="267" w:lineRule="exact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【钢结构厂房全寿命周期评</w:t>
            </w:r>
          </w:p>
        </w:tc>
        <w:tc>
          <w:tcPr>
            <w:tcW w:w="5522" w:type="dxa"/>
            <w:tcBorders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9"/>
          <w:jc w:val="left"/>
        </w:trPr>
        <w:tc>
          <w:tcPr>
            <w:tcW w:w="2774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ind w:left="108"/>
              <w:rPr>
                <w:sz w:val="21"/>
              </w:rPr>
            </w:pPr>
            <w:r>
              <w:rPr>
                <w:spacing w:val="-2"/>
                <w:sz w:val="21"/>
              </w:rPr>
              <w:t>估目的】：</w:t>
            </w:r>
          </w:p>
        </w:tc>
        <w:tc>
          <w:tcPr>
            <w:tcW w:w="552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1.</w:t>
            </w:r>
            <w:r>
              <w:rPr>
                <w:rFonts w:ascii="Times New Roman" w:eastAsia="Times New Roman"/>
                <w:spacing w:val="5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识别和量化环境影响，其中包括采用国际生命周期评估</w:t>
            </w:r>
          </w:p>
          <w:p>
            <w:pPr>
              <w:pStyle w:val="TableParagraph"/>
              <w:spacing w:before="2" w:line="310" w:lineRule="atLeast"/>
              <w:ind w:right="95"/>
              <w:rPr>
                <w:sz w:val="21"/>
              </w:rPr>
            </w:pPr>
            <w:r>
              <w:rPr>
                <w:spacing w:val="-4"/>
                <w:sz w:val="21"/>
              </w:rPr>
              <w:t>标准，并遵循国际标准化组织（</w:t>
            </w:r>
            <w:r>
              <w:rPr>
                <w:rFonts w:ascii="Times New Roman" w:eastAsia="Times New Roman"/>
                <w:spacing w:val="-4"/>
                <w:sz w:val="21"/>
              </w:rPr>
              <w:t>ISO</w:t>
            </w:r>
            <w:r>
              <w:rPr>
                <w:spacing w:val="-4"/>
                <w:sz w:val="21"/>
              </w:rPr>
              <w:t>）为生命周期评估制定</w:t>
            </w:r>
            <w:r>
              <w:rPr>
                <w:spacing w:val="-1"/>
                <w:sz w:val="21"/>
              </w:rPr>
              <w:t>的一系列标准，可对钢结构厂房环境影响进行全方位的量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08"/>
          <w:jc w:val="left"/>
        </w:trPr>
        <w:tc>
          <w:tcPr>
            <w:tcW w:w="27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1" w:line="267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化与评估。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3"/>
          <w:jc w:val="left"/>
        </w:trPr>
        <w:tc>
          <w:tcPr>
            <w:tcW w:w="27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2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2.</w:t>
            </w:r>
            <w:r>
              <w:rPr>
                <w:rFonts w:ascii="Times New Roman" w:eastAsia="Times New Roman"/>
                <w:spacing w:val="5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识别和评估经济影响，全面了解钢结构厂房在不同生命</w:t>
            </w:r>
          </w:p>
          <w:p>
            <w:pPr>
              <w:pStyle w:val="TableParagraph"/>
              <w:spacing w:before="42" w:line="267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周期阶段的具体经济影响，以提高钢结构厂房经济效益。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7"/>
          <w:jc w:val="left"/>
        </w:trPr>
        <w:tc>
          <w:tcPr>
            <w:tcW w:w="2774" w:type="dxa"/>
            <w:tcBorders>
              <w:top w:val="nil"/>
              <w:bottom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22" w:type="dxa"/>
            <w:tcBorders>
              <w:top w:val="nil"/>
              <w:bottom w:val="nil"/>
            </w:tcBorders>
          </w:tcPr>
          <w:p>
            <w:pPr>
              <w:pStyle w:val="TableParagraph"/>
              <w:spacing w:before="25"/>
              <w:rPr>
                <w:sz w:val="21"/>
              </w:rPr>
            </w:pPr>
            <w:r>
              <w:rPr>
                <w:rFonts w:ascii="Times New Roman" w:eastAsia="Times New Roman"/>
                <w:sz w:val="21"/>
              </w:rPr>
              <w:t>3.</w:t>
            </w:r>
            <w:r>
              <w:rPr>
                <w:rFonts w:ascii="Times New Roman" w:eastAsia="Times New Roman"/>
                <w:spacing w:val="52"/>
                <w:sz w:val="21"/>
              </w:rPr>
              <w:t xml:space="preserve"> </w:t>
            </w:r>
            <w:r>
              <w:rPr>
                <w:spacing w:val="-1"/>
                <w:sz w:val="21"/>
              </w:rPr>
              <w:t>识别和量化社会影响，评估钢结构厂房对员工、社区和</w:t>
            </w:r>
          </w:p>
          <w:p>
            <w:pPr>
              <w:pStyle w:val="TableParagraph"/>
              <w:spacing w:before="42"/>
              <w:rPr>
                <w:sz w:val="21"/>
              </w:rPr>
            </w:pPr>
            <w:r>
              <w:rPr>
                <w:spacing w:val="-1"/>
                <w:sz w:val="21"/>
              </w:rPr>
              <w:t>公众的社会影响，并提出减轻负面影响的措施。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622"/>
          <w:jc w:val="left"/>
        </w:trPr>
        <w:tc>
          <w:tcPr>
            <w:tcW w:w="2774" w:type="dxa"/>
            <w:tcBorders>
              <w:top w:val="nil"/>
            </w:tcBorders>
          </w:tcPr>
          <w:p>
            <w:pPr>
              <w:pStyle w:val="TableParagraph"/>
              <w:ind w:left="0"/>
              <w:rPr>
                <w:rFonts w:ascii="Times New Roman"/>
                <w:sz w:val="24"/>
              </w:rPr>
            </w:pPr>
          </w:p>
        </w:tc>
        <w:tc>
          <w:tcPr>
            <w:tcW w:w="5522" w:type="dxa"/>
            <w:tcBorders>
              <w:top w:val="nil"/>
            </w:tcBorders>
          </w:tcPr>
          <w:p>
            <w:pPr>
              <w:pStyle w:val="TableParagraph"/>
              <w:spacing w:before="21"/>
              <w:rPr>
                <w:sz w:val="21"/>
              </w:rPr>
            </w:pPr>
            <w:r>
              <w:rPr>
                <w:spacing w:val="-1"/>
                <w:sz w:val="21"/>
              </w:rPr>
              <w:t>【钢结构厂房全寿命周期评估意义】：</w:t>
            </w:r>
          </w:p>
        </w:tc>
      </w:tr>
    </w:tbl>
    <w:p>
      <w:pPr>
        <w:pStyle w:val="BodyText"/>
        <w:spacing w:before="138" w:line="417" w:lineRule="auto"/>
        <w:ind w:left="120" w:right="2945" w:firstLine="560"/>
      </w:pPr>
      <w:r>
        <w:rPr>
          <w:spacing w:val="-2"/>
        </w:rPr>
        <w:t>华阳钢结构厂房全寿命周期评估目的及意义</w:t>
      </w:r>
      <w:r>
        <w:rPr>
          <w:spacing w:val="-2"/>
        </w:rPr>
        <w:t>一、评估目的</w:t>
      </w:r>
    </w:p>
    <w:p>
      <w:pPr>
        <w:pStyle w:val="ListParagraph"/>
        <w:numPr>
          <w:ilvl w:val="0"/>
          <w:numId w:val="24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了解钢结构厂房全寿命周期各阶段的环境影响：通过对华阳钢结</w:t>
      </w:r>
      <w:r>
        <w:rPr>
          <w:spacing w:val="-4"/>
          <w:sz w:val="28"/>
        </w:rPr>
        <w:t>构厂房从原料开采、材料制造、建造、使用、维护、拆除等全寿命周</w:t>
      </w:r>
      <w:r>
        <w:rPr>
          <w:spacing w:val="-4"/>
          <w:sz w:val="28"/>
        </w:rPr>
        <w:t>期的环境影响进行评估，可以了解钢结构厂房对环境的总影响，为制</w:t>
      </w:r>
      <w:r>
        <w:rPr>
          <w:spacing w:val="-2"/>
          <w:sz w:val="28"/>
        </w:rPr>
        <w:t>定环境保护措施提供科学依据。</w:t>
      </w:r>
    </w:p>
    <w:p>
      <w:pPr>
        <w:pStyle w:val="ListParagraph"/>
        <w:numPr>
          <w:ilvl w:val="0"/>
          <w:numId w:val="24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识别钢结构厂房全寿命周期各阶段的环境影响热点：通过对钢结</w:t>
      </w:r>
      <w:r>
        <w:rPr>
          <w:spacing w:val="-8"/>
          <w:sz w:val="28"/>
        </w:rPr>
        <w:t>构厂房全寿命周期的环境影响进行评估，可以识别出对环境影响较大</w:t>
      </w:r>
      <w:r>
        <w:rPr>
          <w:spacing w:val="-2"/>
          <w:sz w:val="28"/>
        </w:rPr>
        <w:t>的阶段和环节，从而可以针对性地采取措施减少环境影响。</w:t>
      </w:r>
    </w:p>
    <w:p>
      <w:pPr>
        <w:pStyle w:val="ListParagraph"/>
        <w:numPr>
          <w:ilvl w:val="0"/>
          <w:numId w:val="24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为钢结构厂房的设计、建造和运营提供环境信息：通过对钢结构</w:t>
      </w:r>
      <w:r>
        <w:rPr>
          <w:spacing w:val="-4"/>
          <w:sz w:val="28"/>
        </w:rPr>
        <w:t>厂房全寿命周期的环境影响进行评估，可以为钢结构厂房的设计、建</w:t>
      </w:r>
      <w:r>
        <w:rPr>
          <w:spacing w:val="-4"/>
          <w:sz w:val="28"/>
        </w:rPr>
        <w:t>造和运营提供环境信息，帮助设计人员和运营人员在设计、建造和运</w:t>
      </w:r>
      <w:r>
        <w:rPr>
          <w:spacing w:val="-2"/>
          <w:sz w:val="28"/>
        </w:rPr>
        <w:t>营过程中考虑环境因素，降低钢结构厂房对环境的影响。</w:t>
      </w:r>
    </w:p>
    <w:p>
      <w:pPr>
        <w:pStyle w:val="ListParagraph"/>
        <w:numPr>
          <w:ilvl w:val="0"/>
          <w:numId w:val="24"/>
        </w:numPr>
        <w:tabs>
          <w:tab w:val="left" w:pos="542"/>
        </w:tabs>
        <w:spacing w:before="0" w:after="0" w:line="358" w:lineRule="exact"/>
        <w:ind w:left="541" w:right="0" w:hanging="422"/>
        <w:jc w:val="both"/>
        <w:rPr>
          <w:sz w:val="28"/>
        </w:rPr>
      </w:pPr>
      <w:r>
        <w:rPr>
          <w:spacing w:val="-1"/>
          <w:sz w:val="28"/>
        </w:rPr>
        <w:t>为钢结构厂房的环境管理提供决策支持：通过对钢结构厂房全寿</w:t>
      </w:r>
    </w:p>
    <w:p>
      <w:pPr>
        <w:pStyle w:val="BodyText"/>
        <w:spacing w:before="6"/>
        <w:rPr>
          <w:sz w:val="20"/>
        </w:rPr>
      </w:pPr>
    </w:p>
    <w:p>
      <w:pPr>
        <w:pStyle w:val="BodyText"/>
        <w:ind w:left="120"/>
      </w:pPr>
      <w:r>
        <w:rPr>
          <w:spacing w:val="-9"/>
        </w:rPr>
        <w:t>命周期的环境影响进行评估，可以为钢结构厂房的环境管理提供决策</w:t>
      </w:r>
    </w:p>
    <w:p>
      <w:pPr>
        <w:spacing w:after="0"/>
        <w:sectPr>
          <w:footerReference w:type="default" r:id="rId6"/>
          <w:pgSz w:w="11910" w:h="16840"/>
          <w:pgMar w:top="1500" w:right="1280" w:bottom="1380" w:left="1680" w:header="0" w:footer="1198"/>
          <w:pgNumType w:start="2"/>
          <w:cols w:space="708"/>
        </w:sectPr>
      </w:pPr>
    </w:p>
    <w:p>
      <w:pPr>
        <w:pStyle w:val="BodyText"/>
        <w:spacing w:before="37" w:line="417" w:lineRule="auto"/>
        <w:ind w:left="120" w:right="518"/>
      </w:pPr>
      <w:r>
        <w:rPr>
          <w:spacing w:val="-4"/>
        </w:rPr>
        <w:t>支持，帮助环境管理人员制定有效的环境管理措施，减少钢结构厂房</w:t>
      </w:r>
      <w:r>
        <w:rPr>
          <w:spacing w:val="-2"/>
        </w:rPr>
        <w:t>对环境的影响。</w:t>
      </w:r>
    </w:p>
    <w:p>
      <w:pPr>
        <w:pStyle w:val="BodyText"/>
        <w:spacing w:line="358" w:lineRule="exact"/>
        <w:ind w:left="120"/>
      </w:pPr>
      <w:r>
        <w:rPr>
          <w:spacing w:val="-2"/>
        </w:rPr>
        <w:t>二、评估意义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23"/>
        </w:numPr>
        <w:tabs>
          <w:tab w:val="left" w:pos="542"/>
        </w:tabs>
        <w:spacing w:before="1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有助于对钢结构厂房进行环境管理：通过全寿命周期评估，可以</w:t>
      </w:r>
      <w:r>
        <w:rPr>
          <w:spacing w:val="-9"/>
          <w:sz w:val="28"/>
        </w:rPr>
        <w:t>了解到钢结构厂房对环境的影响，进而制定相应的环境管理措施和政</w:t>
      </w:r>
      <w:r>
        <w:rPr>
          <w:spacing w:val="-2"/>
          <w:sz w:val="28"/>
        </w:rPr>
        <w:t>策，以最大限度地减少对环境的影响。</w:t>
      </w:r>
    </w:p>
    <w:p>
      <w:pPr>
        <w:pStyle w:val="ListParagraph"/>
        <w:numPr>
          <w:ilvl w:val="0"/>
          <w:numId w:val="23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有助于提高钢结构厂房的环境绩效：通过全寿命周期评估，可以</w:t>
      </w:r>
      <w:r>
        <w:rPr>
          <w:spacing w:val="-6"/>
          <w:sz w:val="28"/>
        </w:rPr>
        <w:t>识别出钢结构厂房全寿命周期各阶段的环境影响热点，并针对性地采</w:t>
      </w:r>
      <w:r>
        <w:rPr>
          <w:spacing w:val="-2"/>
          <w:sz w:val="28"/>
        </w:rPr>
        <w:t>取措施来减少环境影响，从而提高钢结构厂房的环境绩效。</w:t>
      </w:r>
    </w:p>
    <w:p>
      <w:pPr>
        <w:pStyle w:val="ListParagraph"/>
        <w:numPr>
          <w:ilvl w:val="0"/>
          <w:numId w:val="23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有助于为政府制定相关政策提供依据：通过对华阳钢结构厂房全</w:t>
      </w:r>
      <w:r>
        <w:rPr>
          <w:spacing w:val="-4"/>
          <w:sz w:val="28"/>
        </w:rPr>
        <w:t>寿命周期评估，可以为政府制定相关政策提供依据，例如制定有关钢</w:t>
      </w:r>
      <w:r>
        <w:rPr>
          <w:spacing w:val="-9"/>
          <w:sz w:val="28"/>
        </w:rPr>
        <w:t>结构厂房环境影响评价的政策、制定有关钢结构厂房绿色建筑的政策</w:t>
      </w:r>
      <w:r>
        <w:rPr>
          <w:spacing w:val="-6"/>
          <w:sz w:val="28"/>
        </w:rPr>
        <w:t>等。</w:t>
      </w:r>
    </w:p>
    <w:p>
      <w:pPr>
        <w:pStyle w:val="ListParagraph"/>
        <w:numPr>
          <w:ilvl w:val="0"/>
          <w:numId w:val="23"/>
        </w:numPr>
        <w:tabs>
          <w:tab w:val="left" w:pos="542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2"/>
          <w:sz w:val="28"/>
        </w:rPr>
        <w:t>有助于促进钢结构厂房的绿色发展：通过对华阳钢结构厂房全寿</w:t>
      </w:r>
      <w:r>
        <w:rPr>
          <w:spacing w:val="-4"/>
          <w:sz w:val="28"/>
        </w:rPr>
        <w:t>命周期评估，可以提高钢结构厂房的环境绩效，从而促进钢结构厂房</w:t>
      </w:r>
      <w:r>
        <w:rPr>
          <w:spacing w:val="-2"/>
          <w:sz w:val="28"/>
        </w:rPr>
        <w:t>的绿色发展。</w:t>
      </w:r>
    </w:p>
    <w:p>
      <w:pPr>
        <w:pStyle w:val="BodyText"/>
      </w:pPr>
    </w:p>
    <w:p>
      <w:pPr>
        <w:pStyle w:val="Heading1"/>
        <w:tabs>
          <w:tab w:val="left" w:pos="1725"/>
        </w:tabs>
        <w:spacing w:before="235"/>
      </w:pPr>
      <w:bookmarkStart w:id="1" w:name="_bookmark1"/>
      <w:bookmarkEnd w:id="1"/>
      <w:r>
        <w:t>第</w:t>
      </w:r>
      <w:r>
        <w:t>二</w:t>
      </w:r>
      <w:r>
        <w:t>部</w:t>
      </w:r>
      <w:r>
        <w:rPr>
          <w:spacing w:val="-10"/>
        </w:rPr>
        <w:t>分</w:t>
      </w:r>
      <w:r>
        <w:tab/>
        <w:t>钢</w:t>
      </w:r>
      <w:r>
        <w:t>结</w:t>
      </w:r>
      <w:r>
        <w:t>构</w:t>
      </w:r>
      <w:r>
        <w:t>厂</w:t>
      </w:r>
      <w:r>
        <w:t>房</w:t>
      </w:r>
      <w:r>
        <w:t>全</w:t>
      </w:r>
      <w:r>
        <w:t>寿</w:t>
      </w:r>
      <w:r>
        <w:t>命</w:t>
      </w:r>
      <w:r>
        <w:t>周</w:t>
      </w:r>
      <w:r>
        <w:t>期</w:t>
      </w:r>
      <w:r>
        <w:t>评</w:t>
      </w:r>
      <w:r>
        <w:t>估</w:t>
      </w:r>
      <w:r>
        <w:t>范</w:t>
      </w:r>
      <w:r>
        <w:t>围</w:t>
      </w:r>
      <w:r>
        <w:t>划</w:t>
      </w:r>
      <w:r>
        <w:rPr>
          <w:spacing w:val="-10"/>
        </w:rPr>
        <w:t>定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1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551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77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1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1871"/>
          <w:jc w:val="left"/>
        </w:trPr>
        <w:tc>
          <w:tcPr>
            <w:tcW w:w="2777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20"/>
                <w:sz w:val="21"/>
              </w:rPr>
              <w:t>【钢结构厂房寿命周期范</w:t>
            </w:r>
            <w:r>
              <w:rPr>
                <w:spacing w:val="-4"/>
                <w:sz w:val="21"/>
              </w:rPr>
              <w:t>围】：</w:t>
            </w:r>
          </w:p>
        </w:tc>
        <w:tc>
          <w:tcPr>
            <w:tcW w:w="5519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spacing w:before="0" w:after="0" w:line="278" w:lineRule="auto"/>
              <w:ind w:left="108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全寿命周期评估应从钢结构厂房概念设计阶段开始，一</w:t>
            </w:r>
            <w:r>
              <w:rPr>
                <w:spacing w:val="-2"/>
                <w:sz w:val="21"/>
              </w:rPr>
              <w:t>直到最终拆除或改造。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spacing w:before="0" w:after="0" w:line="278" w:lineRule="auto"/>
              <w:ind w:left="108" w:right="-15" w:firstLine="0"/>
              <w:jc w:val="left"/>
              <w:rPr>
                <w:sz w:val="21"/>
              </w:rPr>
            </w:pPr>
            <w:r>
              <w:rPr>
                <w:spacing w:val="-6"/>
                <w:sz w:val="21"/>
              </w:rPr>
              <w:t>评估范围应包括钢结构厂房的选址、设计、施工、使用、</w:t>
            </w:r>
            <w:r>
              <w:rPr>
                <w:spacing w:val="-2"/>
                <w:sz w:val="21"/>
              </w:rPr>
              <w:t>维护、翻新以及拆除等各个阶段。</w:t>
            </w:r>
          </w:p>
          <w:p>
            <w:pPr>
              <w:pStyle w:val="TableParagraph"/>
              <w:numPr>
                <w:ilvl w:val="0"/>
                <w:numId w:val="22"/>
              </w:numPr>
              <w:tabs>
                <w:tab w:val="left" w:pos="371"/>
              </w:tabs>
              <w:spacing w:before="0" w:after="0" w:line="269" w:lineRule="exact"/>
              <w:ind w:left="370" w:right="0" w:hanging="263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评估内容应涵盖环境影响、经济效益、社会影响等多个</w:t>
            </w:r>
          </w:p>
        </w:tc>
      </w:tr>
    </w:tbl>
    <w:p>
      <w:pPr>
        <w:spacing w:after="0" w:line="269" w:lineRule="exact"/>
        <w:jc w:val="left"/>
        <w:rPr>
          <w:sz w:val="21"/>
        </w:rPr>
        <w:sectPr>
          <w:footerReference w:type="default" r:id="rId7"/>
          <w:pgSz w:w="11910" w:h="16840"/>
          <w:pgMar w:top="1520" w:right="1280" w:bottom="1380" w:left="1680" w:header="0" w:footer="1198"/>
          <w:pgNumType w:start="3"/>
          <w:cols w:space="708"/>
        </w:sectPr>
      </w:pPr>
    </w:p>
    <w:tbl>
      <w:tblPr>
        <w:tblStyle w:val="TableNormal2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77"/>
        <w:gridCol w:w="5519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935"/>
          <w:jc w:val="left"/>
        </w:trPr>
        <w:tc>
          <w:tcPr>
            <w:tcW w:w="2777" w:type="dxa"/>
          </w:tcPr>
          <w:p>
            <w:pPr>
              <w:pStyle w:val="TableParagraph"/>
              <w:ind w:left="0"/>
              <w:rPr>
                <w:rFonts w:ascii="Times New Roman"/>
                <w:sz w:val="26"/>
              </w:rPr>
            </w:pPr>
          </w:p>
        </w:tc>
        <w:tc>
          <w:tcPr>
            <w:tcW w:w="551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方面。</w:t>
            </w:r>
          </w:p>
          <w:p>
            <w:pPr>
              <w:pStyle w:val="TableParagraph"/>
              <w:spacing w:before="43"/>
              <w:ind w:left="108"/>
              <w:rPr>
                <w:sz w:val="21"/>
              </w:rPr>
            </w:pPr>
            <w:r>
              <w:rPr>
                <w:spacing w:val="-1"/>
                <w:sz w:val="21"/>
              </w:rPr>
              <w:t>【钢结构厂房环境影响评估】：</w:t>
            </w:r>
          </w:p>
        </w:tc>
      </w:tr>
    </w:tbl>
    <w:p>
      <w:pPr>
        <w:pStyle w:val="BodyText"/>
        <w:spacing w:before="5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一、钢结构厂房全寿命周期评估范围划定原则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378"/>
      </w:pPr>
      <w:r>
        <w:rPr>
          <w:spacing w:val="-2"/>
        </w:rPr>
        <w:t>1、系统性原则：评估范围应涵盖钢结构厂房全寿命周期内所有相关</w:t>
      </w:r>
      <w:r>
        <w:rPr>
          <w:spacing w:val="-2"/>
        </w:rPr>
        <w:t>因素，包括设计、建造、使用、维护、维修、改造、拆除等阶段，以</w:t>
      </w:r>
      <w:r>
        <w:rPr>
          <w:spacing w:val="-15"/>
        </w:rPr>
        <w:t>及与钢结构厂房相关的能源消耗、环境影响、经济效益、社会效益等。</w:t>
      </w:r>
      <w:r>
        <w:rPr>
          <w:spacing w:val="-2"/>
        </w:rPr>
        <w:t xml:space="preserve"> 2、科学性原则：评估范围应以科学理论和方法为基础，准确、客观</w:t>
      </w:r>
      <w:r>
        <w:rPr>
          <w:spacing w:val="-7"/>
        </w:rPr>
        <w:t>地反映钢结构厂房全寿命周期内的各项指标，避免主观臆断和人为因</w:t>
      </w:r>
      <w:r>
        <w:rPr>
          <w:spacing w:val="-2"/>
        </w:rPr>
        <w:t>素的影响。</w:t>
      </w:r>
    </w:p>
    <w:p>
      <w:pPr>
        <w:pStyle w:val="BodyText"/>
        <w:spacing w:line="417" w:lineRule="auto"/>
        <w:ind w:left="120" w:right="518"/>
        <w:jc w:val="both"/>
      </w:pPr>
      <w:r>
        <w:rPr>
          <w:spacing w:val="-2"/>
        </w:rPr>
        <w:t>3、适用性原则：评估范围应根据钢结构厂房的具体情况和评估目的</w:t>
      </w:r>
      <w:r>
        <w:rPr>
          <w:spacing w:val="-4"/>
        </w:rPr>
        <w:t>进行确定，既要全面覆盖所有相关因素，又要避免评估内容过于繁琐</w:t>
      </w:r>
      <w:r>
        <w:rPr>
          <w:spacing w:val="-2"/>
        </w:rPr>
        <w:t>和难以操作。</w:t>
      </w:r>
    </w:p>
    <w:p>
      <w:pPr>
        <w:pStyle w:val="BodyText"/>
        <w:spacing w:line="358" w:lineRule="exact"/>
        <w:ind w:left="120"/>
      </w:pPr>
      <w:r>
        <w:rPr>
          <w:spacing w:val="-1"/>
        </w:rPr>
        <w:t>二、钢结构厂房全寿命周期评估范围具体内容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spacing w:line="417" w:lineRule="auto"/>
        <w:ind w:left="120" w:right="518"/>
      </w:pPr>
      <w:r>
        <w:rPr>
          <w:spacing w:val="-2"/>
        </w:rPr>
        <w:t>1、设计阶段：评估范围包括钢结构厂房的设计方案、结构体系、材</w:t>
      </w:r>
      <w:r>
        <w:rPr>
          <w:spacing w:val="-2"/>
        </w:rPr>
        <w:t>料选择、施工工艺、能源效率、环境影响等。</w:t>
      </w:r>
    </w:p>
    <w:p>
      <w:pPr>
        <w:pStyle w:val="BodyText"/>
        <w:spacing w:line="417" w:lineRule="auto"/>
        <w:ind w:left="120" w:right="518"/>
      </w:pPr>
      <w:r>
        <w:rPr>
          <w:spacing w:val="-2"/>
        </w:rPr>
        <w:t>2、建造阶段：评估范围包括钢结构厂房的施工过程、材料运输、施</w:t>
      </w:r>
      <w:r>
        <w:rPr>
          <w:spacing w:val="-2"/>
        </w:rPr>
        <w:t>工机械使用、能源消耗、环境污染、安全管理等。</w:t>
      </w:r>
    </w:p>
    <w:p>
      <w:pPr>
        <w:pStyle w:val="BodyText"/>
        <w:spacing w:line="417" w:lineRule="auto"/>
        <w:ind w:left="120" w:right="518"/>
      </w:pPr>
      <w:r>
        <w:rPr>
          <w:spacing w:val="-2"/>
        </w:rPr>
        <w:t>3、使用阶段：评估范围包括钢结构厂房的使用功能、能耗情况、维</w:t>
      </w:r>
      <w:r>
        <w:rPr>
          <w:spacing w:val="-2"/>
        </w:rPr>
        <w:t>护保养情况、环境影响、安全管理等。</w:t>
      </w:r>
    </w:p>
    <w:p>
      <w:pPr>
        <w:pStyle w:val="BodyText"/>
        <w:spacing w:line="417" w:lineRule="auto"/>
        <w:ind w:left="120" w:right="518"/>
      </w:pPr>
      <w:r>
        <w:rPr>
          <w:spacing w:val="-2"/>
        </w:rPr>
        <w:t>4、维护阶段：评估范围包括钢结构厂房的定期维护、保养、维修、</w:t>
      </w:r>
      <w:r>
        <w:rPr>
          <w:spacing w:val="-2"/>
        </w:rPr>
        <w:t>改造等，以及相关的人力、物力、财力投入。</w:t>
      </w:r>
    </w:p>
    <w:p>
      <w:pPr>
        <w:pStyle w:val="BodyText"/>
        <w:spacing w:line="358" w:lineRule="exact"/>
        <w:ind w:left="120"/>
      </w:pPr>
      <w:r>
        <w:t>5</w:t>
      </w:r>
      <w:r>
        <w:rPr>
          <w:spacing w:val="-1"/>
        </w:rPr>
        <w:t>、拆除阶段：评估范围包括钢结构厂房的拆除过程、材料回收、环</w:t>
      </w:r>
    </w:p>
    <w:p>
      <w:pPr>
        <w:pStyle w:val="BodyText"/>
        <w:spacing w:before="8"/>
        <w:rPr>
          <w:sz w:val="20"/>
        </w:rPr>
        <w:sectPr>
          <w:footerReference w:type="default" r:id="rId8"/>
          <w:type w:val="continuous"/>
          <w:pgSz w:w="11910" w:h="16840"/>
          <w:pgMar w:top="1400" w:right="1280" w:bottom="1380" w:left="1680" w:header="0" w:footer="1198"/>
          <w:pgNumType w:start="4"/>
          <w:cols w:space="708"/>
        </w:sectPr>
      </w:pPr>
    </w:p>
    <w:p>
      <w:pPr>
        <w:pStyle w:val="BodyText"/>
        <w:ind w:left="120"/>
      </w:pPr>
      <w:r>
        <w:rPr>
          <w:spacing w:val="-1"/>
        </w:rPr>
        <w:t>境污染、安全管理等。</w:t>
      </w:r>
    </w:p>
    <w:p>
      <w:pPr>
        <w:spacing w:after="0"/>
        <w:sectPr>
          <w:footerReference w:type="default" r:id="rId9"/>
          <w:type w:val="nextPage"/>
          <w:pgSz w:w="11910" w:h="16840"/>
          <w:pgMar w:top="1400" w:right="1280" w:bottom="1380" w:left="1680" w:header="0" w:footer="1198"/>
          <w:pgNumType w:start="5"/>
          <w:cols w:space="708"/>
          <w:titlePg w:val="0"/>
        </w:sectPr>
      </w:pPr>
    </w:p>
    <w:p>
      <w:pPr>
        <w:pStyle w:val="BodyText"/>
        <w:spacing w:before="37"/>
        <w:ind w:left="120"/>
      </w:pPr>
      <w:r>
        <w:rPr>
          <w:spacing w:val="-1"/>
        </w:rPr>
        <w:t>三、钢结构厂房全寿命周期评估范围的划分方法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518"/>
        <w:jc w:val="both"/>
      </w:pPr>
      <w:r>
        <w:rPr>
          <w:spacing w:val="-2"/>
        </w:rPr>
        <w:t>1、时间范围划分：钢结构厂房全寿命周期评估的时间范围应从钢结</w:t>
      </w:r>
      <w:r>
        <w:rPr>
          <w:spacing w:val="-4"/>
        </w:rPr>
        <w:t>构厂房的设计开始，到钢结构厂房的拆除结束，中间包括钢结构厂房</w:t>
      </w:r>
      <w:r>
        <w:rPr>
          <w:spacing w:val="-2"/>
        </w:rPr>
        <w:t>的建造、使用、维护等阶段。</w:t>
      </w:r>
    </w:p>
    <w:p>
      <w:pPr>
        <w:pStyle w:val="BodyText"/>
        <w:spacing w:line="417" w:lineRule="auto"/>
        <w:ind w:left="120" w:right="518"/>
      </w:pPr>
      <w:r>
        <w:rPr>
          <w:spacing w:val="-2"/>
        </w:rPr>
        <w:t>2、空间范围划分：钢结构厂房全寿命周期评估的空间范围应包括钢</w:t>
      </w:r>
      <w:r>
        <w:rPr>
          <w:spacing w:val="-2"/>
        </w:rPr>
        <w:t>结构厂房及其附属设施，以及钢结构厂房所在的环境。</w:t>
      </w:r>
    </w:p>
    <w:p>
      <w:pPr>
        <w:pStyle w:val="BodyText"/>
        <w:spacing w:line="417" w:lineRule="auto"/>
        <w:ind w:left="120" w:right="238"/>
      </w:pPr>
      <w:r>
        <w:rPr>
          <w:spacing w:val="-2"/>
        </w:rPr>
        <w:t>3、内容范围划分：钢结构厂房全寿命周期评估的内容范围应包括钢</w:t>
      </w:r>
      <w:r>
        <w:rPr>
          <w:spacing w:val="40"/>
        </w:rPr>
        <w:t xml:space="preserve"> </w:t>
      </w:r>
      <w:r>
        <w:rPr>
          <w:spacing w:val="-2"/>
        </w:rPr>
        <w:t>结构厂房的结构安全、使用功能、能效水平、环境影响、经济效益、</w:t>
      </w:r>
      <w:r>
        <w:rPr>
          <w:spacing w:val="-2"/>
        </w:rPr>
        <w:t>社会效益等。</w:t>
      </w:r>
    </w:p>
    <w:p>
      <w:pPr>
        <w:pStyle w:val="BodyText"/>
        <w:spacing w:line="358" w:lineRule="exact"/>
        <w:ind w:left="120"/>
      </w:pPr>
      <w:r>
        <w:rPr>
          <w:spacing w:val="-1"/>
        </w:rPr>
        <w:t>四、钢结构厂房全寿命周期评估范围的确定</w:t>
      </w:r>
    </w:p>
    <w:p>
      <w:pPr>
        <w:pStyle w:val="BodyText"/>
        <w:spacing w:before="7"/>
        <w:rPr>
          <w:sz w:val="20"/>
        </w:rPr>
      </w:pPr>
    </w:p>
    <w:p>
      <w:pPr>
        <w:pStyle w:val="BodyText"/>
        <w:ind w:left="120"/>
      </w:pPr>
      <w:r>
        <w:rPr>
          <w:spacing w:val="-1"/>
        </w:rPr>
        <w:t>钢结构厂房全寿命周期评估范围的确定应根据以下因素进行：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518"/>
      </w:pPr>
      <w:r>
        <w:rPr>
          <w:spacing w:val="-2"/>
        </w:rPr>
        <w:t>1、钢结构厂房的具体情况：包括钢结构厂房的类型、规模、用途、</w:t>
      </w:r>
      <w:r>
        <w:rPr>
          <w:spacing w:val="-2"/>
        </w:rPr>
        <w:t>使用年限等。</w:t>
      </w:r>
    </w:p>
    <w:p>
      <w:pPr>
        <w:pStyle w:val="BodyText"/>
        <w:spacing w:line="358" w:lineRule="exact"/>
        <w:ind w:left="120"/>
      </w:pPr>
      <w:r>
        <w:t>2</w:t>
      </w:r>
      <w:r>
        <w:rPr>
          <w:spacing w:val="-1"/>
        </w:rPr>
        <w:t>、评估目的：包括钢结构厂房全寿命周期评估的目的、范围和深度。</w:t>
      </w:r>
    </w:p>
    <w:p>
      <w:pPr>
        <w:pStyle w:val="BodyText"/>
        <w:spacing w:before="9"/>
        <w:rPr>
          <w:sz w:val="20"/>
        </w:rPr>
      </w:pPr>
    </w:p>
    <w:p>
      <w:pPr>
        <w:pStyle w:val="BodyText"/>
        <w:spacing w:line="417" w:lineRule="auto"/>
        <w:ind w:left="120" w:right="518"/>
      </w:pPr>
      <w:r>
        <w:rPr>
          <w:spacing w:val="-2"/>
        </w:rPr>
        <w:t>3、评估方法：包括钢结构厂房全寿命周期评估的方法、数据来源和</w:t>
      </w:r>
      <w:r>
        <w:rPr>
          <w:spacing w:val="-2"/>
        </w:rPr>
        <w:t>计算模型。</w:t>
      </w:r>
    </w:p>
    <w:p>
      <w:pPr>
        <w:pStyle w:val="BodyText"/>
        <w:spacing w:line="417" w:lineRule="auto"/>
        <w:ind w:left="120" w:right="518"/>
      </w:pPr>
      <w:r>
        <w:rPr>
          <w:spacing w:val="-2"/>
        </w:rPr>
        <w:t>4、评估资源：包括钢结构厂房全寿命周期评估的人力、物力、财力</w:t>
      </w:r>
      <w:r>
        <w:rPr>
          <w:spacing w:val="-4"/>
        </w:rPr>
        <w:t>等资源。</w:t>
      </w:r>
    </w:p>
    <w:p>
      <w:pPr>
        <w:pStyle w:val="BodyText"/>
        <w:spacing w:line="417" w:lineRule="auto"/>
        <w:ind w:left="120" w:right="238"/>
      </w:pPr>
      <w:r>
        <w:rPr>
          <w:spacing w:val="-2"/>
        </w:rPr>
        <w:t>钢结构厂房全寿命周期评估范围的确定应通过专家咨询、文献调研、</w:t>
      </w:r>
      <w:r>
        <w:rPr>
          <w:spacing w:val="-12"/>
        </w:rPr>
        <w:t>实地调查等方法进行，并应根据评估目的和资源情况进行调整和优化。</w:t>
      </w:r>
    </w:p>
    <w:p>
      <w:pPr>
        <w:spacing w:after="0" w:line="417" w:lineRule="auto"/>
        <w:sectPr>
          <w:footerReference w:type="default" r:id="rId10"/>
          <w:pgSz w:w="11910" w:h="16840"/>
          <w:pgMar w:top="1520" w:right="1280" w:bottom="1380" w:left="1680" w:header="0" w:footer="1198"/>
          <w:pgNumType w:start="6"/>
          <w:cols w:space="708"/>
        </w:sectPr>
      </w:pPr>
    </w:p>
    <w:p>
      <w:pPr>
        <w:pStyle w:val="Heading1"/>
        <w:tabs>
          <w:tab w:val="left" w:pos="1725"/>
        </w:tabs>
        <w:spacing w:line="514" w:lineRule="exact"/>
      </w:pPr>
      <w:bookmarkStart w:id="2" w:name="_TOC_250005"/>
      <w:r>
        <w:t>第</w:t>
      </w:r>
      <w:r>
        <w:t>三</w:t>
      </w:r>
      <w:r>
        <w:t>部</w:t>
      </w:r>
      <w:r>
        <w:rPr>
          <w:spacing w:val="-10"/>
        </w:rPr>
        <w:t>分</w:t>
      </w:r>
      <w:r>
        <w:tab/>
        <w:t>钢</w:t>
      </w:r>
      <w:r>
        <w:t>结</w:t>
      </w:r>
      <w:r>
        <w:t>构</w:t>
      </w:r>
      <w:r>
        <w:t>厂</w:t>
      </w:r>
      <w:r>
        <w:t>房</w:t>
      </w:r>
      <w:r>
        <w:t>全</w:t>
      </w:r>
      <w:r>
        <w:t>寿</w:t>
      </w:r>
      <w:r>
        <w:t>命</w:t>
      </w:r>
      <w:r>
        <w:t>周</w:t>
      </w:r>
      <w:r>
        <w:t>期</w:t>
      </w:r>
      <w:r>
        <w:t>评</w:t>
      </w:r>
      <w:r>
        <w:t>价</w:t>
      </w:r>
      <w:r>
        <w:t>指</w:t>
      </w:r>
      <w:r>
        <w:t>标</w:t>
      </w:r>
      <w:r>
        <w:t>体</w:t>
      </w:r>
      <w:r>
        <w:t>系</w:t>
      </w:r>
      <w:r>
        <w:t>构</w:t>
      </w:r>
      <w:bookmarkEnd w:id="2"/>
      <w:r>
        <w:rPr>
          <w:spacing w:val="-10"/>
        </w:rPr>
        <w:t>建</w:t>
      </w:r>
    </w:p>
    <w:p>
      <w:pPr>
        <w:pStyle w:val="BodyText"/>
        <w:spacing w:before="15" w:after="1"/>
        <w:rPr>
          <w:rFonts w:ascii="Microsoft JhengHei"/>
          <w:b/>
          <w:sz w:val="15"/>
        </w:rPr>
      </w:pPr>
    </w:p>
    <w:tbl>
      <w:tblPr>
        <w:tblStyle w:val="TableNormal3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32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钢结构厂房全寿命周期评价</w:t>
            </w:r>
            <w:r>
              <w:rPr>
                <w:spacing w:val="-2"/>
                <w:sz w:val="21"/>
              </w:rPr>
              <w:t>指标体系概述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钢结构厂房全寿命周期评价指标体系是评价钢结构厂房</w:t>
            </w:r>
            <w:r>
              <w:rPr>
                <w:spacing w:val="-2"/>
                <w:sz w:val="21"/>
              </w:rPr>
              <w:t>全寿命周期内经济、环境和社会效益的指标体系。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该评价指标体系包括三个一级指标：经济效益、环境效</w:t>
            </w:r>
            <w:r>
              <w:rPr>
                <w:spacing w:val="-2"/>
                <w:sz w:val="21"/>
              </w:rPr>
              <w:t>益和社会效益。其中，经济效益指标包括投资成本、运营成本、维修成本和处置成本等指标；环境效益指标包括节能减排、资源利用和废物处置等指标；社会效益指标包括</w:t>
            </w:r>
            <w:r>
              <w:rPr>
                <w:spacing w:val="-2"/>
                <w:sz w:val="21"/>
              </w:rPr>
              <w:t>创造就业机会、带动经济发展和改善生活质量等指标。</w:t>
            </w:r>
          </w:p>
          <w:p>
            <w:pPr>
              <w:pStyle w:val="TableParagraph"/>
              <w:numPr>
                <w:ilvl w:val="0"/>
                <w:numId w:val="21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该评价指标体系具有科学性、全面性和实用性等特点，</w:t>
            </w:r>
            <w:r>
              <w:rPr>
                <w:spacing w:val="-2"/>
                <w:sz w:val="21"/>
              </w:rPr>
              <w:t>可以为政府、企业和个人提供科学合理的决策依据。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432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钢结构厂房全寿命周期经济</w:t>
            </w:r>
            <w:r>
              <w:rPr>
                <w:spacing w:val="-4"/>
                <w:sz w:val="21"/>
              </w:rPr>
              <w:t>评价指标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71"/>
              </w:tabs>
              <w:spacing w:before="0" w:after="0" w:line="240" w:lineRule="auto"/>
              <w:ind w:left="370" w:right="0" w:hanging="264"/>
              <w:jc w:val="left"/>
              <w:rPr>
                <w:sz w:val="21"/>
              </w:rPr>
            </w:pPr>
            <w:r>
              <w:rPr>
                <w:spacing w:val="-1"/>
                <w:sz w:val="21"/>
              </w:rPr>
              <w:t>初始投资成本：包括厂房的设计、建造和安装费用等。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71"/>
              </w:tabs>
              <w:spacing w:before="43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运营成本：主要包括能源消耗、水资源消耗、维修费用</w:t>
            </w:r>
            <w:r>
              <w:rPr>
                <w:spacing w:val="-6"/>
                <w:sz w:val="21"/>
              </w:rPr>
              <w:t>等。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维修成本：主要包括日常维护、定期检修和重大维修等</w:t>
            </w:r>
            <w:r>
              <w:rPr>
                <w:spacing w:val="-4"/>
                <w:sz w:val="21"/>
              </w:rPr>
              <w:t>费用。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处置费用：主要是指厂房拆除、废物处理和场地复垦等</w:t>
            </w:r>
            <w:r>
              <w:rPr>
                <w:spacing w:val="-4"/>
                <w:sz w:val="21"/>
              </w:rPr>
              <w:t>费用。</w:t>
            </w:r>
          </w:p>
          <w:p>
            <w:pPr>
              <w:pStyle w:val="TableParagraph"/>
              <w:numPr>
                <w:ilvl w:val="0"/>
                <w:numId w:val="20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left"/>
              <w:rPr>
                <w:sz w:val="21"/>
              </w:rPr>
            </w:pPr>
            <w:r>
              <w:rPr>
                <w:spacing w:val="-2"/>
                <w:sz w:val="21"/>
              </w:rPr>
              <w:t>全寿命周期成本：是指钢结构厂房在整个生命周期内发</w:t>
            </w:r>
            <w:r>
              <w:rPr>
                <w:spacing w:val="-2"/>
                <w:sz w:val="21"/>
              </w:rPr>
              <w:t>生的所有成本，包括初始投资成本、运营成本、维修成本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2"/>
                <w:sz w:val="21"/>
              </w:rPr>
              <w:t>和处置费用。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rPr>
          <w:rFonts w:ascii="Microsoft JhengHei"/>
          <w:b/>
          <w:sz w:val="4"/>
        </w:rPr>
      </w:pPr>
    </w:p>
    <w:p>
      <w:pPr>
        <w:pStyle w:val="ListParagraph"/>
        <w:numPr>
          <w:ilvl w:val="0"/>
          <w:numId w:val="19"/>
        </w:numPr>
        <w:tabs>
          <w:tab w:val="left" w:pos="1100"/>
        </w:tabs>
        <w:spacing w:before="61" w:after="0" w:line="240" w:lineRule="auto"/>
        <w:ind w:left="1100" w:right="0" w:hanging="420"/>
        <w:jc w:val="both"/>
        <w:rPr>
          <w:sz w:val="28"/>
        </w:rPr>
      </w:pPr>
      <w:r>
        <w:rPr>
          <w:spacing w:val="-2"/>
          <w:sz w:val="28"/>
        </w:rPr>
        <w:t>环境影响评价指标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8"/>
        </w:numPr>
        <w:tabs>
          <w:tab w:val="left" w:pos="400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10"/>
          <w:sz w:val="28"/>
        </w:rPr>
        <w:t>材料和施工: 包括钢结构材料的生产、运输和安装过程中的能源消</w:t>
      </w:r>
      <w:r>
        <w:rPr>
          <w:spacing w:val="-2"/>
          <w:sz w:val="28"/>
        </w:rPr>
        <w:t>耗、温室气体排放、水资源消耗和固体废物产生量。</w:t>
      </w:r>
    </w:p>
    <w:p>
      <w:pPr>
        <w:pStyle w:val="ListParagraph"/>
        <w:numPr>
          <w:ilvl w:val="0"/>
          <w:numId w:val="18"/>
        </w:numPr>
        <w:tabs>
          <w:tab w:val="left" w:pos="400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9"/>
          <w:sz w:val="28"/>
        </w:rPr>
        <w:t>运营和维护: 包括钢结构厂房在使用过程中的能源消耗、温室气体</w:t>
      </w:r>
      <w:r>
        <w:rPr>
          <w:spacing w:val="-2"/>
          <w:sz w:val="28"/>
        </w:rPr>
        <w:t>排放、水资源消耗和固体废物产生量。</w:t>
      </w:r>
    </w:p>
    <w:p>
      <w:pPr>
        <w:pStyle w:val="ListParagraph"/>
        <w:numPr>
          <w:ilvl w:val="0"/>
          <w:numId w:val="18"/>
        </w:numPr>
        <w:tabs>
          <w:tab w:val="left" w:pos="400"/>
        </w:tabs>
        <w:spacing w:before="0" w:after="0" w:line="417" w:lineRule="auto"/>
        <w:ind w:left="120" w:right="518" w:firstLine="0"/>
        <w:jc w:val="both"/>
        <w:rPr>
          <w:sz w:val="28"/>
        </w:rPr>
      </w:pPr>
      <w:r>
        <w:rPr>
          <w:spacing w:val="-9"/>
          <w:sz w:val="28"/>
        </w:rPr>
        <w:t>拆除和处置: 包括钢结构厂房拆除过程中产生的能源消耗、温室气</w:t>
      </w:r>
      <w:r>
        <w:rPr>
          <w:spacing w:val="-4"/>
          <w:sz w:val="28"/>
        </w:rPr>
        <w:t>体排放、水资源消耗和固体废物产生量，以及钢结构材料的回收利用</w:t>
      </w:r>
      <w:r>
        <w:rPr>
          <w:spacing w:val="-6"/>
          <w:sz w:val="28"/>
        </w:rPr>
        <w:t>率。</w:t>
      </w:r>
    </w:p>
    <w:p>
      <w:pPr>
        <w:pStyle w:val="ListParagraph"/>
        <w:numPr>
          <w:ilvl w:val="0"/>
          <w:numId w:val="19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2"/>
          <w:sz w:val="28"/>
        </w:rPr>
        <w:t>经济评价指标</w:t>
      </w:r>
    </w:p>
    <w:p>
      <w:pPr>
        <w:spacing w:after="0" w:line="358" w:lineRule="exact"/>
        <w:jc w:val="both"/>
        <w:rPr>
          <w:sz w:val="28"/>
        </w:rPr>
        <w:sectPr>
          <w:footerReference w:type="default" r:id="rId11"/>
          <w:pgSz w:w="11910" w:h="16840"/>
          <w:pgMar w:top="1500" w:right="1280" w:bottom="1380" w:left="1680" w:header="0" w:footer="1198"/>
          <w:pgNumType w:start="7"/>
          <w:cols w:space="708"/>
        </w:sectPr>
      </w:pPr>
    </w:p>
    <w:p>
      <w:pPr>
        <w:pStyle w:val="ListParagraph"/>
        <w:numPr>
          <w:ilvl w:val="1"/>
          <w:numId w:val="19"/>
        </w:numPr>
        <w:tabs>
          <w:tab w:val="left" w:pos="400"/>
        </w:tabs>
        <w:spacing w:before="37" w:after="0" w:line="240" w:lineRule="auto"/>
        <w:ind w:left="400" w:right="0" w:hanging="280"/>
        <w:jc w:val="left"/>
        <w:rPr>
          <w:sz w:val="28"/>
        </w:rPr>
      </w:pPr>
      <w:r>
        <w:rPr>
          <w:spacing w:val="-1"/>
          <w:sz w:val="28"/>
        </w:rPr>
        <w:t>总投资: 包括钢结构厂房的建设成本、运营成本和维护成本。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1"/>
          <w:numId w:val="19"/>
        </w:numPr>
        <w:tabs>
          <w:tab w:val="left" w:pos="400"/>
        </w:tabs>
        <w:spacing w:before="1" w:after="0" w:line="417" w:lineRule="auto"/>
        <w:ind w:left="120" w:right="518" w:firstLine="0"/>
        <w:jc w:val="left"/>
        <w:rPr>
          <w:sz w:val="28"/>
        </w:rPr>
      </w:pPr>
      <w:r>
        <w:rPr>
          <w:spacing w:val="-6"/>
          <w:sz w:val="28"/>
        </w:rPr>
        <w:t>年运营费用: 包括钢结构厂房的能源费用、水资源费用、维修费用</w:t>
      </w:r>
      <w:r>
        <w:rPr>
          <w:spacing w:val="-2"/>
          <w:sz w:val="28"/>
        </w:rPr>
        <w:t>和管理费用。</w:t>
      </w:r>
    </w:p>
    <w:p>
      <w:pPr>
        <w:pStyle w:val="ListParagraph"/>
        <w:numPr>
          <w:ilvl w:val="1"/>
          <w:numId w:val="19"/>
        </w:numPr>
        <w:tabs>
          <w:tab w:val="left" w:pos="407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z w:val="28"/>
        </w:rPr>
        <w:t>年净收入: 包括钢结构厂房的租金收入减去年运营费用后的净收</w:t>
      </w:r>
      <w:r>
        <w:rPr>
          <w:spacing w:val="-6"/>
          <w:sz w:val="28"/>
        </w:rPr>
        <w:t>入。</w:t>
      </w:r>
    </w:p>
    <w:p>
      <w:pPr>
        <w:pStyle w:val="ListParagraph"/>
        <w:numPr>
          <w:ilvl w:val="1"/>
          <w:numId w:val="19"/>
        </w:numPr>
        <w:tabs>
          <w:tab w:val="left" w:pos="400"/>
        </w:tabs>
        <w:spacing w:before="0" w:after="0" w:line="358" w:lineRule="exact"/>
        <w:ind w:left="400" w:right="0" w:hanging="280"/>
        <w:jc w:val="left"/>
        <w:rPr>
          <w:sz w:val="28"/>
        </w:rPr>
      </w:pPr>
      <w:r>
        <w:rPr>
          <w:spacing w:val="-1"/>
          <w:sz w:val="28"/>
        </w:rPr>
        <w:t>投资回收期: 指钢结构厂房总投资除以年净收入所需的时间。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9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社会评价指标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1"/>
          <w:numId w:val="19"/>
        </w:numPr>
        <w:tabs>
          <w:tab w:val="left" w:pos="400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12"/>
          <w:sz w:val="28"/>
        </w:rPr>
        <w:t>就业机会: 包括钢结构厂房建设、运营和维护过程中创造的就业机</w:t>
      </w:r>
      <w:r>
        <w:rPr>
          <w:spacing w:val="-4"/>
          <w:sz w:val="28"/>
        </w:rPr>
        <w:t>会数量。</w:t>
      </w:r>
    </w:p>
    <w:p>
      <w:pPr>
        <w:pStyle w:val="ListParagraph"/>
        <w:numPr>
          <w:ilvl w:val="1"/>
          <w:numId w:val="19"/>
        </w:numPr>
        <w:tabs>
          <w:tab w:val="left" w:pos="400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9"/>
          <w:sz w:val="28"/>
        </w:rPr>
        <w:t>安全性和健康性: 包括钢结构厂房的设计、施工和运营过程中对人</w:t>
      </w:r>
      <w:r>
        <w:rPr>
          <w:spacing w:val="-2"/>
          <w:sz w:val="28"/>
        </w:rPr>
        <w:t>员安全和健康的影响。</w:t>
      </w:r>
    </w:p>
    <w:p>
      <w:pPr>
        <w:pStyle w:val="ListParagraph"/>
        <w:numPr>
          <w:ilvl w:val="1"/>
          <w:numId w:val="19"/>
        </w:numPr>
        <w:tabs>
          <w:tab w:val="left" w:pos="400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6"/>
          <w:sz w:val="28"/>
        </w:rPr>
        <w:t>舒适性: 包括钢结构厂房内部的温度、湿度、通风、采光和噪音等</w:t>
      </w:r>
      <w:r>
        <w:rPr>
          <w:spacing w:val="-2"/>
          <w:sz w:val="28"/>
        </w:rPr>
        <w:t>因素对人员舒适性的影响。</w:t>
      </w:r>
    </w:p>
    <w:p>
      <w:pPr>
        <w:pStyle w:val="ListParagraph"/>
        <w:numPr>
          <w:ilvl w:val="1"/>
          <w:numId w:val="19"/>
        </w:numPr>
        <w:tabs>
          <w:tab w:val="left" w:pos="400"/>
        </w:tabs>
        <w:spacing w:before="0" w:after="0" w:line="358" w:lineRule="exact"/>
        <w:ind w:left="400" w:right="0" w:hanging="280"/>
        <w:jc w:val="left"/>
        <w:rPr>
          <w:sz w:val="28"/>
        </w:rPr>
      </w:pPr>
      <w:r>
        <w:rPr>
          <w:spacing w:val="-1"/>
          <w:sz w:val="28"/>
        </w:rPr>
        <w:t>美观性: 包括钢结构厂房的外观设计和周围环境的协调性。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9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技术评价指标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1"/>
          <w:numId w:val="19"/>
        </w:numPr>
        <w:tabs>
          <w:tab w:val="left" w:pos="400"/>
        </w:tabs>
        <w:spacing w:before="0" w:after="0" w:line="417" w:lineRule="auto"/>
        <w:ind w:left="120" w:right="518" w:firstLine="0"/>
        <w:jc w:val="left"/>
        <w:rPr>
          <w:sz w:val="28"/>
        </w:rPr>
      </w:pPr>
      <w:r>
        <w:rPr>
          <w:spacing w:val="-6"/>
          <w:sz w:val="28"/>
        </w:rPr>
        <w:t>结构安全性: 包括钢结构厂房的结构承载能力、抗震性能、抗风性</w:t>
      </w:r>
      <w:r>
        <w:rPr>
          <w:spacing w:val="-2"/>
          <w:sz w:val="28"/>
        </w:rPr>
        <w:t>能和防火性能。</w:t>
      </w:r>
    </w:p>
    <w:p>
      <w:pPr>
        <w:pStyle w:val="ListParagraph"/>
        <w:numPr>
          <w:ilvl w:val="1"/>
          <w:numId w:val="19"/>
        </w:numPr>
        <w:tabs>
          <w:tab w:val="left" w:pos="400"/>
        </w:tabs>
        <w:spacing w:before="0" w:after="0" w:line="358" w:lineRule="exact"/>
        <w:ind w:left="400" w:right="0" w:hanging="280"/>
        <w:jc w:val="left"/>
        <w:rPr>
          <w:sz w:val="28"/>
        </w:rPr>
      </w:pPr>
      <w:r>
        <w:rPr>
          <w:spacing w:val="-1"/>
          <w:sz w:val="28"/>
        </w:rPr>
        <w:t>耐久性: 包括钢结构厂房的耐腐蚀性、耐候性和耐老化性。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1"/>
          <w:numId w:val="19"/>
        </w:numPr>
        <w:tabs>
          <w:tab w:val="left" w:pos="400"/>
        </w:tabs>
        <w:spacing w:before="0" w:after="0" w:line="240" w:lineRule="auto"/>
        <w:ind w:left="400" w:right="0" w:hanging="280"/>
        <w:jc w:val="left"/>
        <w:rPr>
          <w:sz w:val="28"/>
        </w:rPr>
      </w:pPr>
      <w:r>
        <w:rPr>
          <w:spacing w:val="-1"/>
          <w:sz w:val="28"/>
        </w:rPr>
        <w:t>可扩展性: 包括钢结构厂房的扩建和改造的难易程度。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1"/>
          <w:numId w:val="19"/>
        </w:numPr>
        <w:tabs>
          <w:tab w:val="left" w:pos="400"/>
        </w:tabs>
        <w:spacing w:before="0" w:after="0" w:line="240" w:lineRule="auto"/>
        <w:ind w:left="400" w:right="0" w:hanging="280"/>
        <w:jc w:val="left"/>
        <w:rPr>
          <w:sz w:val="28"/>
        </w:rPr>
      </w:pPr>
      <w:r>
        <w:rPr>
          <w:spacing w:val="-1"/>
          <w:sz w:val="28"/>
        </w:rPr>
        <w:t>适用性: 包括钢结构厂房对不同用途的适应性。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0"/>
          <w:numId w:val="19"/>
        </w:numPr>
        <w:tabs>
          <w:tab w:val="left" w:pos="540"/>
        </w:tabs>
        <w:spacing w:before="0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管理评价指标</w:t>
      </w:r>
    </w:p>
    <w:p>
      <w:pPr>
        <w:pStyle w:val="BodyText"/>
        <w:spacing w:before="9"/>
        <w:rPr>
          <w:sz w:val="20"/>
        </w:rPr>
      </w:pPr>
    </w:p>
    <w:p>
      <w:pPr>
        <w:pStyle w:val="ListParagraph"/>
        <w:numPr>
          <w:ilvl w:val="1"/>
          <w:numId w:val="19"/>
        </w:numPr>
        <w:tabs>
          <w:tab w:val="left" w:pos="400"/>
        </w:tabs>
        <w:spacing w:before="0" w:after="0" w:line="240" w:lineRule="auto"/>
        <w:ind w:left="400" w:right="0" w:hanging="280"/>
        <w:jc w:val="left"/>
        <w:rPr>
          <w:sz w:val="28"/>
        </w:rPr>
      </w:pPr>
      <w:r>
        <w:rPr>
          <w:spacing w:val="-5"/>
          <w:sz w:val="28"/>
        </w:rPr>
        <w:t>项目管理: 包括钢结构厂房建设项目的时间管理、成本管理、质量</w:t>
      </w:r>
    </w:p>
    <w:p>
      <w:pPr>
        <w:spacing w:after="0" w:line="240" w:lineRule="auto"/>
        <w:jc w:val="left"/>
        <w:rPr>
          <w:sz w:val="28"/>
        </w:rPr>
        <w:sectPr>
          <w:footerReference w:type="default" r:id="rId12"/>
          <w:pgSz w:w="11910" w:h="16840"/>
          <w:pgMar w:top="1520" w:right="1280" w:bottom="1380" w:left="1680" w:header="0" w:footer="1198"/>
          <w:pgNumType w:start="8"/>
          <w:cols w:space="708"/>
        </w:sectPr>
      </w:pPr>
    </w:p>
    <w:p>
      <w:pPr>
        <w:pStyle w:val="BodyText"/>
        <w:spacing w:before="37"/>
        <w:ind w:left="120"/>
      </w:pPr>
      <w:r>
        <w:rPr>
          <w:spacing w:val="-2"/>
        </w:rPr>
        <w:t>管理和安全管理。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1"/>
          <w:numId w:val="19"/>
        </w:numPr>
        <w:tabs>
          <w:tab w:val="left" w:pos="407"/>
        </w:tabs>
        <w:spacing w:before="1" w:after="0" w:line="240" w:lineRule="auto"/>
        <w:ind w:left="407" w:right="0" w:hanging="287"/>
        <w:jc w:val="left"/>
        <w:rPr>
          <w:sz w:val="28"/>
        </w:rPr>
      </w:pPr>
      <w:r>
        <w:rPr>
          <w:spacing w:val="-8"/>
          <w:sz w:val="28"/>
        </w:rPr>
        <w:t>运营管理:  包括钢结构厂房的日常运营管理、维护管理和能源管理。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1"/>
          <w:numId w:val="19"/>
        </w:numPr>
        <w:tabs>
          <w:tab w:val="left" w:pos="400"/>
        </w:tabs>
        <w:spacing w:before="1" w:after="0" w:line="240" w:lineRule="auto"/>
        <w:ind w:left="400" w:right="0" w:hanging="280"/>
        <w:jc w:val="left"/>
        <w:rPr>
          <w:sz w:val="28"/>
        </w:rPr>
      </w:pPr>
      <w:r>
        <w:rPr>
          <w:spacing w:val="-1"/>
          <w:sz w:val="28"/>
        </w:rPr>
        <w:t>信息管理: 包括钢结构厂房的资产管理、数据管理和知识管理。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1"/>
          <w:numId w:val="19"/>
        </w:numPr>
        <w:tabs>
          <w:tab w:val="left" w:pos="407"/>
        </w:tabs>
        <w:spacing w:before="1" w:after="0" w:line="417" w:lineRule="auto"/>
        <w:ind w:left="120" w:right="238" w:firstLine="0"/>
        <w:jc w:val="left"/>
        <w:rPr>
          <w:sz w:val="28"/>
        </w:rPr>
      </w:pPr>
      <w:r>
        <w:rPr>
          <w:sz w:val="28"/>
        </w:rPr>
        <w:t>风险管理: 包括钢结构厂房建设、运营和维护过程中风险的识别、</w:t>
      </w:r>
      <w:r>
        <w:rPr>
          <w:spacing w:val="-2"/>
          <w:sz w:val="28"/>
        </w:rPr>
        <w:t>评估、应对和控制。</w:t>
      </w:r>
    </w:p>
    <w:p>
      <w:pPr>
        <w:pStyle w:val="BodyText"/>
      </w:pPr>
    </w:p>
    <w:p>
      <w:pPr>
        <w:pStyle w:val="Heading1"/>
        <w:tabs>
          <w:tab w:val="left" w:pos="1725"/>
        </w:tabs>
        <w:spacing w:before="237"/>
      </w:pPr>
      <w:bookmarkStart w:id="3" w:name="_TOC_250004"/>
      <w:r>
        <w:t>第</w:t>
      </w:r>
      <w:r>
        <w:t>四</w:t>
      </w:r>
      <w:r>
        <w:t>部</w:t>
      </w:r>
      <w:r>
        <w:rPr>
          <w:spacing w:val="-10"/>
        </w:rPr>
        <w:t>分</w:t>
      </w:r>
      <w:r>
        <w:tab/>
        <w:t>钢</w:t>
      </w:r>
      <w:r>
        <w:t>结</w:t>
      </w:r>
      <w:r>
        <w:t>构</w:t>
      </w:r>
      <w:r>
        <w:t>厂</w:t>
      </w:r>
      <w:r>
        <w:t>房</w:t>
      </w:r>
      <w:r>
        <w:t>全</w:t>
      </w:r>
      <w:r>
        <w:t>寿</w:t>
      </w:r>
      <w:r>
        <w:t>命</w:t>
      </w:r>
      <w:r>
        <w:t>周</w:t>
      </w:r>
      <w:r>
        <w:t>期</w:t>
      </w:r>
      <w:r>
        <w:t>环</w:t>
      </w:r>
      <w:r>
        <w:t>境</w:t>
      </w:r>
      <w:r>
        <w:t>影</w:t>
      </w:r>
      <w:r>
        <w:t>响</w:t>
      </w:r>
      <w:r>
        <w:t>评</w:t>
      </w:r>
      <w:bookmarkEnd w:id="3"/>
      <w:r>
        <w:rPr>
          <w:spacing w:val="-10"/>
        </w:rPr>
        <w:t>价</w:t>
      </w:r>
    </w:p>
    <w:p>
      <w:pPr>
        <w:pStyle w:val="BodyText"/>
        <w:spacing w:before="16"/>
        <w:rPr>
          <w:rFonts w:ascii="Microsoft JhengHei"/>
          <w:b/>
          <w:sz w:val="15"/>
        </w:rPr>
      </w:pPr>
    </w:p>
    <w:tbl>
      <w:tblPr>
        <w:tblStyle w:val="TableNormal4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spacing w:before="23"/>
              <w:ind w:left="108"/>
              <w:rPr>
                <w:sz w:val="21"/>
              </w:rPr>
            </w:pPr>
            <w:r>
              <w:rPr>
                <w:spacing w:val="-4"/>
                <w:sz w:val="21"/>
              </w:rPr>
              <w:t>关键词</w:t>
            </w: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3"/>
                <w:sz w:val="21"/>
              </w:rPr>
              <w:t>关键要点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4992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钢结构厂房全寿命周期环境</w:t>
            </w:r>
            <w:r>
              <w:rPr>
                <w:spacing w:val="-2"/>
                <w:sz w:val="21"/>
              </w:rPr>
              <w:t>影响评价概述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全寿命周期环境影响评价的重要性：钢结构厂房从原材</w:t>
            </w:r>
            <w:r>
              <w:rPr>
                <w:spacing w:val="-2"/>
                <w:sz w:val="21"/>
              </w:rPr>
              <w:t>料开采、生产、施工、使用到拆除，整个生命周期都会对环境产生影响。对其进行全寿命周期环境影响评价，可以系统地识别、量化和评估这些影响，为采取有效措施减少</w:t>
            </w:r>
            <w:r>
              <w:rPr>
                <w:spacing w:val="-2"/>
                <w:sz w:val="21"/>
              </w:rPr>
              <w:t>负面影响提供依据。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z w:val="21"/>
              </w:rPr>
              <w:t>全寿命周期环境影响评价的内容：钢结构厂房全寿命周</w:t>
            </w:r>
            <w:r>
              <w:rPr>
                <w:spacing w:val="-4"/>
                <w:sz w:val="21"/>
              </w:rPr>
              <w:t>期环境影响评价包括碳排放、水资源消耗、固体废物产生、</w:t>
            </w:r>
            <w:r>
              <w:rPr>
                <w:spacing w:val="1"/>
                <w:sz w:val="21"/>
              </w:rPr>
              <w:t>生态破坏、空气污染、噪声污染等方面。需要对每个方面进行定量和定性评价，并综合考虑各方面的影响，才能得出全面的评价结果。</w:t>
            </w:r>
          </w:p>
          <w:p>
            <w:pPr>
              <w:pStyle w:val="TableParagraph"/>
              <w:numPr>
                <w:ilvl w:val="0"/>
                <w:numId w:val="17"/>
              </w:numPr>
              <w:tabs>
                <w:tab w:val="left" w:pos="371"/>
              </w:tabs>
              <w:spacing w:before="0" w:after="0" w:line="278" w:lineRule="auto"/>
              <w:ind w:left="107" w:right="-15" w:firstLine="0"/>
              <w:jc w:val="left"/>
              <w:rPr>
                <w:sz w:val="21"/>
              </w:rPr>
            </w:pPr>
            <w:r>
              <w:rPr>
                <w:sz w:val="21"/>
              </w:rPr>
              <w:t>全寿命周期环境影响评价的方法：钢结构厂房全寿命周</w:t>
            </w:r>
            <w:r>
              <w:rPr>
                <w:spacing w:val="-3"/>
                <w:sz w:val="21"/>
              </w:rPr>
              <w:t>期环境影响评价可以采用多种方法，包括生命周期评价法、</w:t>
            </w:r>
            <w:r>
              <w:rPr>
                <w:spacing w:val="1"/>
                <w:sz w:val="21"/>
              </w:rPr>
              <w:t>物质流分析法、环境影响评估法等。需要根据具体情况选择合适的方法，并结合实际数据进行分析和评价。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744"/>
          <w:jc w:val="left"/>
        </w:trPr>
        <w:tc>
          <w:tcPr>
            <w:tcW w:w="2769" w:type="dxa"/>
          </w:tcPr>
          <w:p>
            <w:pPr>
              <w:pStyle w:val="TableParagraph"/>
              <w:spacing w:before="23" w:line="278" w:lineRule="auto"/>
              <w:ind w:left="108" w:right="96"/>
              <w:rPr>
                <w:sz w:val="21"/>
              </w:rPr>
            </w:pPr>
            <w:r>
              <w:rPr>
                <w:spacing w:val="-2"/>
                <w:sz w:val="21"/>
              </w:rPr>
              <w:t>钢结构厂房原材料开采和生</w:t>
            </w:r>
            <w:r>
              <w:rPr>
                <w:spacing w:val="-2"/>
                <w:sz w:val="21"/>
              </w:rPr>
              <w:t>产阶段的环境影响</w:t>
            </w:r>
          </w:p>
        </w:tc>
        <w:tc>
          <w:tcPr>
            <w:tcW w:w="5527" w:type="dxa"/>
          </w:tcPr>
          <w:p>
            <w:pPr>
              <w:pStyle w:val="TableParagraph"/>
              <w:spacing w:before="4"/>
              <w:ind w:left="0"/>
              <w:rPr>
                <w:rFonts w:ascii="Microsoft JhengHei"/>
                <w:b/>
                <w:sz w:val="18"/>
              </w:rPr>
            </w:pP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材料开采对环境的影响：钢结构厂房所需的原材料主要</w:t>
            </w:r>
            <w:r>
              <w:rPr>
                <w:spacing w:val="-2"/>
                <w:sz w:val="21"/>
              </w:rPr>
              <w:t>包括钢材、水泥、混凝土等。这些材料的开采都会对环境产生负面影响，如矿山开采破坏地貌、矿物加工产生废水</w:t>
            </w:r>
            <w:r>
              <w:rPr>
                <w:spacing w:val="-2"/>
                <w:sz w:val="21"/>
              </w:rPr>
              <w:t>和废气等。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材料生产对环境的影响：钢材、水泥、混凝土等材料的</w:t>
            </w:r>
            <w:r>
              <w:rPr>
                <w:spacing w:val="-2"/>
                <w:sz w:val="21"/>
              </w:rPr>
              <w:t>生产过程也会对环境产生影响。如钢铁生产过程会产生大量废气和废水，水泥生产过程会产生粉尘和二氧化碳，混</w:t>
            </w:r>
            <w:r>
              <w:rPr>
                <w:spacing w:val="-2"/>
                <w:sz w:val="21"/>
              </w:rPr>
              <w:t>凝土生产过程会产生废水和废渣等。</w:t>
            </w:r>
          </w:p>
          <w:p>
            <w:pPr>
              <w:pStyle w:val="TableParagraph"/>
              <w:numPr>
                <w:ilvl w:val="0"/>
                <w:numId w:val="16"/>
              </w:numPr>
              <w:tabs>
                <w:tab w:val="left" w:pos="371"/>
              </w:tabs>
              <w:spacing w:before="0" w:after="0" w:line="278" w:lineRule="auto"/>
              <w:ind w:left="107" w:right="96" w:firstLine="0"/>
              <w:jc w:val="both"/>
              <w:rPr>
                <w:sz w:val="21"/>
              </w:rPr>
            </w:pPr>
            <w:r>
              <w:rPr>
                <w:spacing w:val="-2"/>
                <w:sz w:val="21"/>
              </w:rPr>
              <w:t>减少原材料开采和生产阶段的环境影响：为了减少钢结</w:t>
            </w:r>
            <w:r>
              <w:rPr>
                <w:spacing w:val="-2"/>
                <w:sz w:val="21"/>
              </w:rPr>
              <w:t>构厂房原材料开采和生产阶段的环境影响，可以采取以下</w:t>
            </w:r>
          </w:p>
          <w:p>
            <w:pPr>
              <w:pStyle w:val="TableParagraph"/>
              <w:spacing w:line="269" w:lineRule="exact"/>
              <w:rPr>
                <w:sz w:val="21"/>
              </w:rPr>
            </w:pPr>
            <w:r>
              <w:rPr>
                <w:spacing w:val="-1"/>
                <w:sz w:val="21"/>
              </w:rPr>
              <w:t>措施：采用可再生材料，提高材料利用率，采用清洁生产</w:t>
            </w:r>
          </w:p>
        </w:tc>
      </w:tr>
    </w:tbl>
    <w:p>
      <w:pPr>
        <w:spacing w:after="0" w:line="269" w:lineRule="exact"/>
        <w:rPr>
          <w:sz w:val="21"/>
        </w:rPr>
        <w:sectPr>
          <w:footerReference w:type="default" r:id="rId13"/>
          <w:pgSz w:w="11910" w:h="16840"/>
          <w:pgMar w:top="1520" w:right="1280" w:bottom="1380" w:left="1680" w:header="0" w:footer="1198"/>
          <w:pgNumType w:start="9"/>
          <w:cols w:space="708"/>
        </w:sectPr>
      </w:pPr>
    </w:p>
    <w:tbl>
      <w:tblPr>
        <w:tblStyle w:val="TableNormal5"/>
        <w:tblW w:w="0" w:type="auto"/>
        <w:jc w:val="left"/>
        <w:tblInd w:w="1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769"/>
        <w:gridCol w:w="5527"/>
      </w:tblGrid>
      <w:tr>
        <w:tblPrEx>
          <w:tblW w:w="0" w:type="auto"/>
          <w:jc w:val="left"/>
          <w:tblInd w:w="130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spacing w:before="23"/>
              <w:rPr>
                <w:sz w:val="21"/>
              </w:rPr>
            </w:pPr>
            <w:r>
              <w:rPr>
                <w:spacing w:val="-1"/>
                <w:sz w:val="21"/>
              </w:rPr>
              <w:t>技术，加强污染物治理等。</w:t>
            </w:r>
          </w:p>
        </w:tc>
      </w:tr>
      <w:tr>
        <w:tblPrEx>
          <w:tblW w:w="0" w:type="auto"/>
          <w:jc w:val="left"/>
          <w:tblInd w:w="130" w:type="dxa"/>
          <w:tblLayout w:type="fixed"/>
          <w:tblCellMar>
            <w:top w:w="0" w:type="dxa"/>
            <w:left w:w="0" w:type="dxa"/>
            <w:bottom w:w="0" w:type="dxa"/>
            <w:right w:w="0" w:type="dxa"/>
          </w:tblCellMar>
          <w:tblLook w:val="01E0"/>
        </w:tblPrEx>
        <w:trPr>
          <w:trHeight w:val="312"/>
          <w:jc w:val="left"/>
        </w:trPr>
        <w:tc>
          <w:tcPr>
            <w:tcW w:w="2769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  <w:tc>
          <w:tcPr>
            <w:tcW w:w="5527" w:type="dxa"/>
          </w:tcPr>
          <w:p>
            <w:pPr>
              <w:pStyle w:val="TableParagraph"/>
              <w:ind w:left="0"/>
              <w:rPr>
                <w:rFonts w:ascii="Times New Roman"/>
                <w:sz w:val="22"/>
              </w:rPr>
            </w:pPr>
          </w:p>
        </w:tc>
      </w:tr>
    </w:tbl>
    <w:p>
      <w:pPr>
        <w:pStyle w:val="BodyText"/>
        <w:spacing w:before="4"/>
        <w:rPr>
          <w:rFonts w:ascii="Microsoft JhengHei"/>
          <w:b/>
          <w:sz w:val="5"/>
        </w:rPr>
      </w:pPr>
    </w:p>
    <w:p>
      <w:pPr>
        <w:pStyle w:val="BodyText"/>
        <w:spacing w:before="61"/>
        <w:ind w:left="680"/>
      </w:pPr>
      <w:r>
        <w:rPr>
          <w:spacing w:val="-1"/>
        </w:rPr>
        <w:t>钢结构厂房全寿命周期环境影响评价</w:t>
      </w:r>
    </w:p>
    <w:p>
      <w:pPr>
        <w:pStyle w:val="BodyText"/>
        <w:spacing w:before="8"/>
        <w:rPr>
          <w:sz w:val="20"/>
        </w:rPr>
      </w:pPr>
    </w:p>
    <w:p>
      <w:pPr>
        <w:pStyle w:val="ListParagraph"/>
        <w:numPr>
          <w:ilvl w:val="0"/>
          <w:numId w:val="15"/>
        </w:numPr>
        <w:tabs>
          <w:tab w:val="left" w:pos="540"/>
        </w:tabs>
        <w:spacing w:before="1" w:after="0" w:line="240" w:lineRule="auto"/>
        <w:ind w:left="540" w:right="0" w:hanging="420"/>
        <w:jc w:val="left"/>
        <w:rPr>
          <w:sz w:val="28"/>
        </w:rPr>
      </w:pPr>
      <w:r>
        <w:rPr>
          <w:spacing w:val="-2"/>
          <w:sz w:val="28"/>
        </w:rPr>
        <w:t>原材料生产阶段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238"/>
      </w:pPr>
      <w:r>
        <w:rPr>
          <w:spacing w:val="-2"/>
        </w:rPr>
        <w:t>原材料生产阶段是钢结构厂房全寿命周期中对环境影响最大的阶段。</w:t>
      </w:r>
      <w:r>
        <w:rPr>
          <w:spacing w:val="-9"/>
        </w:rPr>
        <w:t>钢结构厂房的主要原材料是钢材，钢材的生产过程会产生大量温室气</w:t>
      </w:r>
      <w:r>
        <w:rPr>
          <w:spacing w:val="-2"/>
        </w:rPr>
        <w:t xml:space="preserve"> </w:t>
      </w:r>
      <w:r>
        <w:rPr>
          <w:spacing w:val="-7"/>
        </w:rPr>
        <w:t>体和污染物。根据《中国钢铁工业环境影响报告书》，</w:t>
      </w:r>
      <w:r>
        <w:t>2019</w:t>
      </w:r>
      <w:r>
        <w:rPr>
          <w:spacing w:val="-9"/>
        </w:rPr>
        <w:t xml:space="preserve"> 年中国粗</w:t>
      </w:r>
      <w:r>
        <w:t xml:space="preserve"> </w:t>
      </w:r>
      <w:r>
        <w:rPr>
          <w:spacing w:val="-4"/>
        </w:rPr>
        <w:t xml:space="preserve">钢产量为 </w:t>
      </w:r>
      <w:r>
        <w:t>9.96</w:t>
      </w:r>
      <w:r>
        <w:rPr>
          <w:spacing w:val="-5"/>
        </w:rPr>
        <w:t xml:space="preserve"> 亿吨，其中钢铁行业直接和间接二氧化碳排放量分别</w:t>
      </w:r>
      <w:r>
        <w:t xml:space="preserve"> </w:t>
      </w:r>
      <w:r>
        <w:rPr>
          <w:spacing w:val="-5"/>
        </w:rPr>
        <w:t xml:space="preserve">为 </w:t>
      </w:r>
      <w:r>
        <w:t>9.75</w:t>
      </w:r>
      <w:r>
        <w:rPr>
          <w:spacing w:val="-3"/>
        </w:rPr>
        <w:t xml:space="preserve"> 亿吨和 </w:t>
      </w:r>
      <w:r>
        <w:t>4.15</w:t>
      </w:r>
      <w:r>
        <w:rPr>
          <w:spacing w:val="9"/>
        </w:rPr>
        <w:t xml:space="preserve"> 亿吨，二者合计占全国二氧化碳排放总量的</w:t>
      </w:r>
      <w:r>
        <w:t xml:space="preserve"> </w:t>
      </w:r>
      <w:r>
        <w:rPr>
          <w:spacing w:val="-2"/>
        </w:rPr>
        <w:t>15.3%。</w:t>
      </w:r>
    </w:p>
    <w:p>
      <w:pPr>
        <w:pStyle w:val="ListParagraph"/>
        <w:numPr>
          <w:ilvl w:val="0"/>
          <w:numId w:val="15"/>
        </w:numPr>
        <w:tabs>
          <w:tab w:val="left" w:pos="540"/>
        </w:tabs>
        <w:spacing w:before="0" w:after="0" w:line="357" w:lineRule="exact"/>
        <w:ind w:left="540" w:right="0" w:hanging="420"/>
        <w:jc w:val="left"/>
        <w:rPr>
          <w:sz w:val="28"/>
        </w:rPr>
      </w:pPr>
      <w:r>
        <w:rPr>
          <w:spacing w:val="-3"/>
          <w:sz w:val="28"/>
        </w:rPr>
        <w:t>施工阶段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518"/>
        <w:jc w:val="both"/>
      </w:pPr>
      <w:r>
        <w:rPr>
          <w:spacing w:val="-6"/>
        </w:rPr>
        <w:t>施工阶段也是钢结构厂房全寿命周期中对环境影响较大的阶段。钢结</w:t>
      </w:r>
      <w:r>
        <w:rPr>
          <w:spacing w:val="-4"/>
        </w:rPr>
        <w:t>构厂房施工过程中会产生扬尘、噪声、固体废物和水污染。根据《中</w:t>
      </w:r>
      <w:r>
        <w:rPr>
          <w:spacing w:val="-12"/>
        </w:rPr>
        <w:t>国建筑业环境影响报告书》，</w:t>
      </w:r>
      <w:r>
        <w:t>2019</w:t>
      </w:r>
      <w:r>
        <w:rPr>
          <w:spacing w:val="-1"/>
        </w:rPr>
        <w:t xml:space="preserve"> 年中国建筑业扬尘排放量为 </w:t>
      </w:r>
      <w:r>
        <w:t>1.26</w:t>
      </w:r>
      <w:r>
        <w:rPr>
          <w:spacing w:val="-11"/>
        </w:rPr>
        <w:t xml:space="preserve">亿吨，噪声排放量为 </w:t>
      </w:r>
      <w:r>
        <w:rPr>
          <w:spacing w:val="-10"/>
        </w:rPr>
        <w:t>1.18</w:t>
      </w:r>
      <w:r>
        <w:rPr>
          <w:spacing w:val="-14"/>
        </w:rPr>
        <w:t xml:space="preserve"> 亿吨，固体废物排放量为 </w:t>
      </w:r>
      <w:r>
        <w:rPr>
          <w:spacing w:val="-10"/>
        </w:rPr>
        <w:t>11.6</w:t>
      </w:r>
      <w:r>
        <w:rPr>
          <w:spacing w:val="-13"/>
        </w:rPr>
        <w:t xml:space="preserve"> 亿吨，水污</w:t>
      </w:r>
      <w:r>
        <w:rPr>
          <w:spacing w:val="-4"/>
        </w:rPr>
        <w:t xml:space="preserve">染排放量为 </w:t>
      </w:r>
      <w:r>
        <w:t>8000</w:t>
      </w:r>
      <w:r>
        <w:rPr>
          <w:spacing w:val="-6"/>
        </w:rPr>
        <w:t xml:space="preserve"> 万吨。</w:t>
      </w:r>
    </w:p>
    <w:p>
      <w:pPr>
        <w:pStyle w:val="ListParagraph"/>
        <w:numPr>
          <w:ilvl w:val="0"/>
          <w:numId w:val="15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3"/>
          <w:sz w:val="28"/>
        </w:rPr>
        <w:t>使用阶段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 w:line="417" w:lineRule="auto"/>
        <w:ind w:left="120" w:right="518"/>
        <w:jc w:val="both"/>
      </w:pPr>
      <w:r>
        <w:rPr>
          <w:spacing w:val="-2"/>
        </w:rPr>
        <w:t>钢结构厂房使用阶段对环境的影响主要体现在能源消耗和温室气体</w:t>
      </w:r>
      <w:r>
        <w:rPr>
          <w:spacing w:val="-4"/>
        </w:rPr>
        <w:t>排放。钢结构厂房的能源消耗主要包括采暖、制冷、照明和设备运行等。钢结构厂房的温室气体排放主要包括二氧化碳、甲烷和氧化亚氮</w:t>
      </w:r>
      <w:r>
        <w:rPr>
          <w:spacing w:val="-6"/>
        </w:rPr>
        <w:t>等。</w:t>
      </w:r>
    </w:p>
    <w:p>
      <w:pPr>
        <w:pStyle w:val="ListParagraph"/>
        <w:numPr>
          <w:ilvl w:val="0"/>
          <w:numId w:val="15"/>
        </w:numPr>
        <w:tabs>
          <w:tab w:val="left" w:pos="540"/>
        </w:tabs>
        <w:spacing w:before="0" w:after="0" w:line="358" w:lineRule="exact"/>
        <w:ind w:left="540" w:right="0" w:hanging="420"/>
        <w:jc w:val="both"/>
        <w:rPr>
          <w:sz w:val="28"/>
        </w:rPr>
      </w:pPr>
      <w:r>
        <w:rPr>
          <w:spacing w:val="-3"/>
          <w:sz w:val="28"/>
        </w:rPr>
        <w:t>拆除阶段</w:t>
      </w:r>
    </w:p>
    <w:p>
      <w:pPr>
        <w:pStyle w:val="BodyText"/>
        <w:spacing w:before="8"/>
        <w:rPr>
          <w:sz w:val="20"/>
        </w:rPr>
      </w:pPr>
    </w:p>
    <w:p>
      <w:pPr>
        <w:pStyle w:val="BodyText"/>
        <w:spacing w:before="1"/>
        <w:ind w:left="120"/>
      </w:pPr>
      <w:r>
        <w:rPr>
          <w:spacing w:val="-1"/>
        </w:rPr>
        <w:t>钢结构厂房拆除阶段对环境的影响主要体现在固体废物排放和污染</w:t>
      </w:r>
    </w:p>
    <w:p>
      <w:pPr>
        <w:spacing w:after="0"/>
      </w:pPr>
      <w:r>
        <w:br/>
      </w:r>
      <w: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1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https://d.book118.com/428002047027006043</w:t>
        </w:r>
      </w:hyperlink>
    </w:p>
    <w:p>
      <w:pPr>
        <w:spacing w:after="0"/>
      </w:pPr>
    </w:p>
    <w:sectPr>
      <w:footerReference w:type="default" r:id="rId15"/>
      <w:type w:val="continuous"/>
      <w:pgSz w:w="11910" w:h="16840"/>
      <w:pgMar w:top="1400" w:right="1280" w:bottom="1380" w:left="1680" w:header="0" w:footer="1198"/>
      <w:pgNumType w:start="1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Microsoft JhengHei">
    <w:altName w:val="Microsoft JhengHei"/>
    <w:charset w:val="00"/>
    <w:family w:val="swiss"/>
    <w:pitch w:val="variable"/>
    <w:sig w:usb0="00000000" w:usb1="00000000" w:usb2="00000000" w:usb3="00000000" w:csb0="00000001" w:csb1="00000000"/>
  </w:font>
  <w:font w:name="仿宋">
    <w:altName w:val="仿宋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29.05pt;height:12pt;margin-top:770.98pt;margin-left:284.4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width:29.05pt;height:12pt;margin-top:770.98pt;margin-left:284.4pt;mso-position-horizontal-relative:page;mso-position-vertical-relative:page;position:absolute;z-index:-25164902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width:29.05pt;height:12pt;margin-top:770.98pt;margin-left:284.4pt;mso-position-horizontal-relative:page;mso-position-vertical-relative:page;position:absolute;z-index:-25165721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2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width:29.05pt;height:12pt;margin-top:770.98pt;margin-left:284.4pt;mso-position-horizontal-relative:page;mso-position-vertical-relative:page;position:absolute;z-index:-25165619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3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width:29.05pt;height:12pt;margin-top:770.98pt;margin-left:284.4pt;mso-position-horizontal-relative:page;mso-position-vertical-relative:page;position:absolute;z-index:-25165516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4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3" type="#_x0000_t202" style="width:29.05pt;height:12pt;margin-top:770.98pt;margin-left:284.4pt;mso-position-horizontal-relative:page;mso-position-vertical-relative:page;position:absolute;z-index:-251654144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5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width:29.05pt;height:12pt;margin-top:770.98pt;margin-left:284.4pt;mso-position-horizontal-relative:page;mso-position-vertical-relative:page;position:absolute;z-index:-251653120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6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width:29.05pt;height:12pt;margin-top:770.98pt;margin-left:284.4pt;mso-position-horizontal-relative:page;mso-position-vertical-relative:page;position:absolute;z-index:-251652096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7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width:29.05pt;height:12pt;margin-top:770.98pt;margin-left:284.4pt;mso-position-horizontal-relative:page;mso-position-vertical-relative:page;position:absolute;z-index:-251651072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8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width:29.05pt;height:12pt;margin-top:770.98pt;margin-left:284.4pt;mso-position-horizontal-relative:page;mso-position-vertical-relative:page;position:absolute;z-index:-251650048" filled="f" stroked="f">
          <v:textbox inset="0,0,0,0">
            <w:txbxContent>
              <w:p>
                <w:pPr>
                  <w:spacing w:before="12"/>
                  <w:ind w:left="60" w:right="0" w:firstLine="0"/>
                  <w:jc w:val="left"/>
                  <w:rPr>
                    <w:rFonts w:ascii="Times New Roman"/>
                    <w:b/>
                    <w:sz w:val="18"/>
                  </w:rPr>
                </w:pPr>
                <w:r>
                  <w:rPr>
                    <w:rFonts w:ascii="Times New Roman"/>
                    <w:b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z w:val="18"/>
                  </w:rPr>
                  <w:instrText xml:space="preserve"> PAGE </w:instrText>
                </w:r>
                <w:r>
                  <w:rPr>
                    <w:rFonts w:ascii="Times New Roman"/>
                    <w:b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z w:val="18"/>
                  </w:rPr>
                  <w:t>9</w:t>
                </w:r>
                <w:r>
                  <w:rPr>
                    <w:rFonts w:ascii="Times New Roman"/>
                    <w:b/>
                    <w:sz w:val="18"/>
                  </w:rPr>
                  <w:fldChar w:fldCharType="end"/>
                </w:r>
                <w:r>
                  <w:rPr>
                    <w:rFonts w:ascii="Times New Roman"/>
                    <w:b/>
                    <w:sz w:val="18"/>
                  </w:rPr>
                  <w:t xml:space="preserve"> </w:t>
                </w:r>
                <w:r>
                  <w:rPr>
                    <w:rFonts w:ascii="Times New Roman"/>
                    <w:sz w:val="18"/>
                  </w:rPr>
                  <w:t xml:space="preserve">/ 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begin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instrText xml:space="preserve"> NUMPAGES </w:instrTex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separate"/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t>10</w:t>
                </w:r>
                <w:r>
                  <w:rPr>
                    <w:rFonts w:ascii="Times New Roman"/>
                    <w:b/>
                    <w:spacing w:val="-5"/>
                    <w:sz w:val="18"/>
                  </w:rP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8DC6E31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*"/>
      <w:lvlJc w:val="left"/>
      <w:pPr>
        <w:ind w:left="120" w:hanging="280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74" w:hanging="28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408" w:hanging="2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342" w:hanging="2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276" w:hanging="2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210" w:hanging="2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144" w:hanging="2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78" w:hanging="280"/>
      </w:pPr>
      <w:rPr>
        <w:rFonts w:hint="default"/>
        <w:lang w:val="en-US" w:eastAsia="zh-CN" w:bidi="ar-SA"/>
      </w:rPr>
    </w:lvl>
  </w:abstractNum>
  <w:abstractNum w:abstractNumId="1">
    <w:nsid w:val="09631978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2">
    <w:nsid w:val="167C2A02"/>
    <w:multiLevelType w:val="hybridMultilevel"/>
    <w:tmpl w:val="00000000"/>
    <w:lvl w:ilvl="0">
      <w:start w:val="2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*"/>
      <w:lvlJc w:val="left"/>
      <w:pPr>
        <w:ind w:left="400" w:hanging="280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74" w:hanging="28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408" w:hanging="2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342" w:hanging="2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276" w:hanging="2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210" w:hanging="2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144" w:hanging="2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078" w:hanging="280"/>
      </w:pPr>
      <w:rPr>
        <w:rFonts w:hint="default"/>
        <w:lang w:val="en-US" w:eastAsia="zh-CN" w:bidi="ar-SA"/>
      </w:rPr>
    </w:lvl>
  </w:abstractNum>
  <w:abstractNum w:abstractNumId="3">
    <w:nsid w:val="18742781"/>
    <w:multiLevelType w:val="hybridMultilevel"/>
    <w:tmpl w:val="00000000"/>
    <w:lvl w:ilvl="0">
      <w:start w:val="0"/>
      <w:numFmt w:val="bullet"/>
      <w:lvlText w:val="*"/>
      <w:lvlJc w:val="left"/>
      <w:pPr>
        <w:ind w:left="120" w:hanging="280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28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28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2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2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2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2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2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280"/>
      </w:pPr>
      <w:rPr>
        <w:rFonts w:hint="default"/>
        <w:lang w:val="en-US" w:eastAsia="zh-CN" w:bidi="ar-SA"/>
      </w:rPr>
    </w:lvl>
  </w:abstractNum>
  <w:abstractNum w:abstractNumId="4">
    <w:nsid w:val="18EE081C"/>
    <w:multiLevelType w:val="hybridMultilevel"/>
    <w:tmpl w:val="00000000"/>
    <w:lvl w:ilvl="0">
      <w:start w:val="1"/>
      <w:numFmt w:val="decimal"/>
      <w:lvlText w:val="%1."/>
      <w:lvlJc w:val="left"/>
      <w:pPr>
        <w:ind w:left="370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893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407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921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434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94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462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975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89" w:hanging="263"/>
      </w:pPr>
      <w:rPr>
        <w:rFonts w:hint="default"/>
        <w:lang w:val="en-US" w:eastAsia="zh-CN" w:bidi="ar-SA"/>
      </w:rPr>
    </w:lvl>
  </w:abstractNum>
  <w:abstractNum w:abstractNumId="5">
    <w:nsid w:val="1F2F420F"/>
    <w:multiLevelType w:val="hybridMultilevel"/>
    <w:tmpl w:val="00000000"/>
    <w:lvl w:ilvl="0">
      <w:start w:val="1"/>
      <w:numFmt w:val="decimal"/>
      <w:lvlText w:val="%1."/>
      <w:lvlJc w:val="left"/>
      <w:pPr>
        <w:ind w:left="120" w:hanging="422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002" w:hanging="422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885" w:hanging="422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767" w:hanging="422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650" w:hanging="422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33" w:hanging="422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15" w:hanging="422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298" w:hanging="422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180" w:hanging="422"/>
      </w:pPr>
      <w:rPr>
        <w:rFonts w:hint="default"/>
        <w:lang w:val="en-US" w:eastAsia="zh-CN" w:bidi="ar-SA"/>
      </w:rPr>
    </w:lvl>
  </w:abstractNum>
  <w:abstractNum w:abstractNumId="6">
    <w:nsid w:val="26CFD1E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7">
    <w:nsid w:val="3243A9A8"/>
    <w:multiLevelType w:val="hybridMultilevel"/>
    <w:tmpl w:val="00000000"/>
    <w:lvl w:ilvl="0">
      <w:start w:val="0"/>
      <w:numFmt w:val="bullet"/>
      <w:lvlText w:val="*"/>
      <w:lvlJc w:val="left"/>
      <w:pPr>
        <w:ind w:left="108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1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1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1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1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1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1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1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13"/>
      </w:pPr>
      <w:rPr>
        <w:rFonts w:hint="default"/>
        <w:lang w:val="en-US" w:eastAsia="zh-CN" w:bidi="ar-SA"/>
      </w:rPr>
    </w:lvl>
  </w:abstractNum>
  <w:abstractNum w:abstractNumId="8">
    <w:nsid w:val="33F8CA8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9">
    <w:nsid w:val="384BEF6C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0">
    <w:nsid w:val="425A6F8D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1">
    <w:nsid w:val="43CAF57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2">
    <w:nsid w:val="4847F3B7"/>
    <w:multiLevelType w:val="hybridMultilevel"/>
    <w:tmpl w:val="00000000"/>
    <w:lvl w:ilvl="0">
      <w:start w:val="0"/>
      <w:numFmt w:val="bullet"/>
      <w:lvlText w:val="*"/>
      <w:lvlJc w:val="left"/>
      <w:pPr>
        <w:ind w:left="108" w:hanging="21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1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1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1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1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1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1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1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10"/>
      </w:pPr>
      <w:rPr>
        <w:rFonts w:hint="default"/>
        <w:lang w:val="en-US" w:eastAsia="zh-CN" w:bidi="ar-SA"/>
      </w:rPr>
    </w:lvl>
  </w:abstractNum>
  <w:abstractNum w:abstractNumId="13">
    <w:nsid w:val="52E1C3E7"/>
    <w:multiLevelType w:val="hybridMultilevel"/>
    <w:tmpl w:val="00000000"/>
    <w:lvl w:ilvl="0">
      <w:start w:val="0"/>
      <w:numFmt w:val="bullet"/>
      <w:lvlText w:val="*"/>
      <w:lvlJc w:val="left"/>
      <w:pPr>
        <w:ind w:left="108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1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1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1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1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1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1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1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13"/>
      </w:pPr>
      <w:rPr>
        <w:rFonts w:hint="default"/>
        <w:lang w:val="en-US" w:eastAsia="zh-CN" w:bidi="ar-SA"/>
      </w:rPr>
    </w:lvl>
  </w:abstractNum>
  <w:abstractNum w:abstractNumId="14">
    <w:nsid w:val="53320014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15">
    <w:nsid w:val="6057F875"/>
    <w:multiLevelType w:val="hybridMultilevel"/>
    <w:tmpl w:val="00000000"/>
    <w:lvl w:ilvl="0">
      <w:start w:val="0"/>
      <w:numFmt w:val="bullet"/>
      <w:lvlText w:val="*"/>
      <w:lvlJc w:val="left"/>
      <w:pPr>
        <w:ind w:left="108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1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1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1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1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1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1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1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13"/>
      </w:pPr>
      <w:rPr>
        <w:rFonts w:hint="default"/>
        <w:lang w:val="en-US" w:eastAsia="zh-CN" w:bidi="ar-SA"/>
      </w:rPr>
    </w:lvl>
  </w:abstractNum>
  <w:abstractNum w:abstractNumId="16">
    <w:nsid w:val="6511620B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*"/>
      <w:lvlJc w:val="left"/>
      <w:pPr>
        <w:ind w:left="400" w:hanging="280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1"/>
      <w:numFmt w:val="decimal"/>
      <w:lvlText w:val="%3."/>
      <w:lvlJc w:val="left"/>
      <w:pPr>
        <w:ind w:left="110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080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042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02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003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6984" w:hanging="420"/>
      </w:pPr>
      <w:rPr>
        <w:rFonts w:hint="default"/>
        <w:lang w:val="en-US" w:eastAsia="zh-CN" w:bidi="ar-SA"/>
      </w:rPr>
    </w:lvl>
  </w:abstractNum>
  <w:abstractNum w:abstractNumId="17">
    <w:nsid w:val="686475AB"/>
    <w:multiLevelType w:val="hybridMultilevel"/>
    <w:tmpl w:val="00000000"/>
    <w:lvl w:ilvl="0">
      <w:start w:val="0"/>
      <w:numFmt w:val="bullet"/>
      <w:lvlText w:val="*"/>
      <w:lvlJc w:val="left"/>
      <w:pPr>
        <w:ind w:left="108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1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1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1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1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1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1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1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13"/>
      </w:pPr>
      <w:rPr>
        <w:rFonts w:hint="default"/>
        <w:lang w:val="en-US" w:eastAsia="zh-CN" w:bidi="ar-SA"/>
      </w:rPr>
    </w:lvl>
  </w:abstractNum>
  <w:abstractNum w:abstractNumId="18">
    <w:nsid w:val="6B1B249D"/>
    <w:multiLevelType w:val="hybridMultilevel"/>
    <w:tmpl w:val="00000000"/>
    <w:lvl w:ilvl="0">
      <w:start w:val="1"/>
      <w:numFmt w:val="decimal"/>
      <w:lvlText w:val="%1."/>
      <w:lvlJc w:val="left"/>
      <w:pPr>
        <w:ind w:left="1100" w:hanging="420"/>
        <w:jc w:val="righ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*"/>
      <w:lvlJc w:val="left"/>
      <w:pPr>
        <w:ind w:left="120" w:hanging="280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971" w:hanging="28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2843" w:hanging="28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715" w:hanging="28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587" w:hanging="28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458" w:hanging="28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330" w:hanging="28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02" w:hanging="280"/>
      </w:pPr>
      <w:rPr>
        <w:rFonts w:hint="default"/>
        <w:lang w:val="en-US" w:eastAsia="zh-CN" w:bidi="ar-SA"/>
      </w:rPr>
    </w:lvl>
  </w:abstractNum>
  <w:abstractNum w:abstractNumId="19">
    <w:nsid w:val="6B4F4EAE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0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1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2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3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4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45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86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27" w:hanging="263"/>
      </w:pPr>
      <w:rPr>
        <w:rFonts w:hint="default"/>
        <w:lang w:val="en-US" w:eastAsia="zh-CN" w:bidi="ar-SA"/>
      </w:rPr>
    </w:lvl>
  </w:abstractNum>
  <w:abstractNum w:abstractNumId="20">
    <w:nsid w:val="6E835AE5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abstractNum w:abstractNumId="21">
    <w:nsid w:val="6F9FC599"/>
    <w:multiLevelType w:val="hybridMultilevel"/>
    <w:tmpl w:val="00000000"/>
    <w:lvl w:ilvl="0">
      <w:start w:val="0"/>
      <w:numFmt w:val="bullet"/>
      <w:lvlText w:val="*"/>
      <w:lvlJc w:val="left"/>
      <w:pPr>
        <w:ind w:left="108" w:hanging="21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1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1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1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1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1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1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1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13"/>
      </w:pPr>
      <w:rPr>
        <w:rFonts w:hint="default"/>
        <w:lang w:val="en-US" w:eastAsia="zh-CN" w:bidi="ar-SA"/>
      </w:rPr>
    </w:lvl>
  </w:abstractNum>
  <w:abstractNum w:abstractNumId="22">
    <w:nsid w:val="7834E16A"/>
    <w:multiLevelType w:val="hybridMultilevel"/>
    <w:tmpl w:val="00000000"/>
    <w:lvl w:ilvl="0">
      <w:start w:val="1"/>
      <w:numFmt w:val="decimal"/>
      <w:lvlText w:val="%1."/>
      <w:lvlJc w:val="left"/>
      <w:pPr>
        <w:ind w:left="540" w:hanging="420"/>
        <w:jc w:val="left"/>
      </w:pPr>
      <w:rPr>
        <w:rFonts w:ascii="仿宋" w:eastAsia="仿宋" w:hAnsi="仿宋" w:cs="仿宋" w:hint="default"/>
        <w:b w:val="0"/>
        <w:bCs w:val="0"/>
        <w:i w:val="0"/>
        <w:iCs w:val="0"/>
        <w:w w:val="100"/>
        <w:sz w:val="28"/>
        <w:szCs w:val="28"/>
        <w:lang w:val="en-US" w:eastAsia="zh-CN" w:bidi="ar-SA"/>
      </w:rPr>
    </w:lvl>
    <w:lvl w:ilvl="1">
      <w:start w:val="0"/>
      <w:numFmt w:val="bullet"/>
      <w:lvlText w:val="•"/>
      <w:lvlJc w:val="left"/>
      <w:pPr>
        <w:ind w:left="1380" w:hanging="420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2221" w:hanging="420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3061" w:hanging="420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3902" w:hanging="420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4743" w:hanging="420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5583" w:hanging="420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6424" w:hanging="420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7264" w:hanging="420"/>
      </w:pPr>
      <w:rPr>
        <w:rFonts w:hint="default"/>
        <w:lang w:val="en-US" w:eastAsia="zh-CN" w:bidi="ar-SA"/>
      </w:rPr>
    </w:lvl>
  </w:abstractNum>
  <w:abstractNum w:abstractNumId="23">
    <w:nsid w:val="7ED46BA2"/>
    <w:multiLevelType w:val="hybridMultilevel"/>
    <w:tmpl w:val="00000000"/>
    <w:lvl w:ilvl="0">
      <w:start w:val="1"/>
      <w:numFmt w:val="decimal"/>
      <w:lvlText w:val="%1."/>
      <w:lvlJc w:val="left"/>
      <w:pPr>
        <w:ind w:left="108" w:hanging="26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1"/>
        <w:szCs w:val="21"/>
        <w:lang w:val="en-US" w:eastAsia="zh-CN" w:bidi="ar-SA"/>
      </w:rPr>
    </w:lvl>
    <w:lvl w:ilvl="1">
      <w:start w:val="0"/>
      <w:numFmt w:val="bullet"/>
      <w:lvlText w:val="•"/>
      <w:lvlJc w:val="left"/>
      <w:pPr>
        <w:ind w:left="641" w:hanging="263"/>
      </w:pPr>
      <w:rPr>
        <w:rFonts w:hint="default"/>
        <w:lang w:val="en-US" w:eastAsia="zh-CN" w:bidi="ar-SA"/>
      </w:rPr>
    </w:lvl>
    <w:lvl w:ilvl="2">
      <w:start w:val="0"/>
      <w:numFmt w:val="bullet"/>
      <w:lvlText w:val="•"/>
      <w:lvlJc w:val="left"/>
      <w:pPr>
        <w:ind w:left="1183" w:hanging="263"/>
      </w:pPr>
      <w:rPr>
        <w:rFonts w:hint="default"/>
        <w:lang w:val="en-US" w:eastAsia="zh-CN" w:bidi="ar-SA"/>
      </w:rPr>
    </w:lvl>
    <w:lvl w:ilvl="3">
      <w:start w:val="0"/>
      <w:numFmt w:val="bullet"/>
      <w:lvlText w:val="•"/>
      <w:lvlJc w:val="left"/>
      <w:pPr>
        <w:ind w:left="1725" w:hanging="263"/>
      </w:pPr>
      <w:rPr>
        <w:rFonts w:hint="default"/>
        <w:lang w:val="en-US" w:eastAsia="zh-CN" w:bidi="ar-SA"/>
      </w:rPr>
    </w:lvl>
    <w:lvl w:ilvl="4">
      <w:start w:val="0"/>
      <w:numFmt w:val="bullet"/>
      <w:lvlText w:val="•"/>
      <w:lvlJc w:val="left"/>
      <w:pPr>
        <w:ind w:left="2266" w:hanging="263"/>
      </w:pPr>
      <w:rPr>
        <w:rFonts w:hint="default"/>
        <w:lang w:val="en-US" w:eastAsia="zh-CN" w:bidi="ar-SA"/>
      </w:rPr>
    </w:lvl>
    <w:lvl w:ilvl="5">
      <w:start w:val="0"/>
      <w:numFmt w:val="bullet"/>
      <w:lvlText w:val="•"/>
      <w:lvlJc w:val="left"/>
      <w:pPr>
        <w:ind w:left="2808" w:hanging="263"/>
      </w:pPr>
      <w:rPr>
        <w:rFonts w:hint="default"/>
        <w:lang w:val="en-US" w:eastAsia="zh-CN" w:bidi="ar-SA"/>
      </w:rPr>
    </w:lvl>
    <w:lvl w:ilvl="6">
      <w:start w:val="0"/>
      <w:numFmt w:val="bullet"/>
      <w:lvlText w:val="•"/>
      <w:lvlJc w:val="left"/>
      <w:pPr>
        <w:ind w:left="3350" w:hanging="263"/>
      </w:pPr>
      <w:rPr>
        <w:rFonts w:hint="default"/>
        <w:lang w:val="en-US" w:eastAsia="zh-CN" w:bidi="ar-SA"/>
      </w:rPr>
    </w:lvl>
    <w:lvl w:ilvl="7">
      <w:start w:val="0"/>
      <w:numFmt w:val="bullet"/>
      <w:lvlText w:val="•"/>
      <w:lvlJc w:val="left"/>
      <w:pPr>
        <w:ind w:left="3891" w:hanging="263"/>
      </w:pPr>
      <w:rPr>
        <w:rFonts w:hint="default"/>
        <w:lang w:val="en-US" w:eastAsia="zh-CN" w:bidi="ar-SA"/>
      </w:rPr>
    </w:lvl>
    <w:lvl w:ilvl="8">
      <w:start w:val="0"/>
      <w:numFmt w:val="bullet"/>
      <w:lvlText w:val="•"/>
      <w:lvlJc w:val="left"/>
      <w:pPr>
        <w:ind w:left="4433" w:hanging="263"/>
      </w:pPr>
      <w:rPr>
        <w:rFonts w:hint="default"/>
        <w:lang w:val="en-US" w:eastAsia="zh-CN" w:bidi="ar-SA"/>
      </w:rPr>
    </w:lvl>
  </w:abstractNum>
  <w:num w:numId="1">
    <w:abstractNumId w:val="0"/>
  </w:num>
  <w:num w:numId="2">
    <w:abstractNumId w:val="6"/>
  </w:num>
  <w:num w:numId="3">
    <w:abstractNumId w:val="20"/>
  </w:num>
  <w:num w:numId="4">
    <w:abstractNumId w:val="10"/>
  </w:num>
  <w:num w:numId="5">
    <w:abstractNumId w:val="22"/>
  </w:num>
  <w:num w:numId="6">
    <w:abstractNumId w:val="9"/>
  </w:num>
  <w:num w:numId="7">
    <w:abstractNumId w:val="23"/>
  </w:num>
  <w:num w:numId="8">
    <w:abstractNumId w:val="2"/>
  </w:num>
  <w:num w:numId="9">
    <w:abstractNumId w:val="13"/>
  </w:num>
  <w:num w:numId="10">
    <w:abstractNumId w:val="15"/>
  </w:num>
  <w:num w:numId="11">
    <w:abstractNumId w:val="12"/>
  </w:num>
  <w:num w:numId="12">
    <w:abstractNumId w:val="21"/>
  </w:num>
  <w:num w:numId="13">
    <w:abstractNumId w:val="17"/>
  </w:num>
  <w:num w:numId="14">
    <w:abstractNumId w:val="7"/>
  </w:num>
  <w:num w:numId="15">
    <w:abstractNumId w:val="16"/>
  </w:num>
  <w:num w:numId="16">
    <w:abstractNumId w:val="11"/>
  </w:num>
  <w:num w:numId="17">
    <w:abstractNumId w:val="14"/>
  </w:num>
  <w:num w:numId="18">
    <w:abstractNumId w:val="3"/>
  </w:num>
  <w:num w:numId="19">
    <w:abstractNumId w:val="18"/>
  </w:num>
  <w:num w:numId="20">
    <w:abstractNumId w:val="4"/>
  </w:num>
  <w:num w:numId="21">
    <w:abstractNumId w:val="8"/>
  </w:num>
  <w:num w:numId="22">
    <w:abstractNumId w:val="19"/>
  </w:num>
  <w:num w:numId="23">
    <w:abstractNumId w:val="1"/>
  </w:num>
  <w:num w:numId="2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name="compatibilityMode" w:uri="http://schemas.microsoft.com/office/word" w:val="14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仿宋" w:eastAsia="仿宋" w:hAnsi="仿宋" w:cs="仿宋"/>
      <w:lang w:val="en-US" w:eastAsia="zh-CN" w:bidi="ar-SA"/>
    </w:rPr>
  </w:style>
  <w:style w:type="paragraph" w:styleId="Heading1">
    <w:name w:val="heading 1"/>
    <w:basedOn w:val="Normal"/>
    <w:uiPriority w:val="1"/>
    <w:qFormat/>
    <w:pPr>
      <w:ind w:left="120"/>
      <w:outlineLvl w:val="0"/>
    </w:pPr>
    <w:rPr>
      <w:rFonts w:ascii="Microsoft JhengHei" w:eastAsia="Microsoft JhengHei" w:hAnsi="Microsoft JhengHei" w:cs="Microsoft JhengHei"/>
      <w:b/>
      <w:bCs/>
      <w:sz w:val="32"/>
      <w:szCs w:val="32"/>
      <w:lang w:val="en-US" w:eastAsia="zh-CN" w:bidi="ar-SA"/>
    </w:rPr>
  </w:style>
  <w:style w:type="character" w:default="1" w:styleId="DefaultParagraphFont">
    <w:name w:val="Default Paragraph Font"/>
    <w:uiPriority w:val="1"/>
    <w:semiHidden/>
    <w:unhideWhenUsed/>
  </w:style>
  <w:style w:type="numbering" w:default="1" w:styleId="NoLi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OC1">
    <w:name w:val="toc 1"/>
    <w:basedOn w:val="Normal"/>
    <w:uiPriority w:val="1"/>
    <w:qFormat/>
    <w:pPr>
      <w:spacing w:before="355"/>
      <w:ind w:left="540"/>
    </w:pPr>
    <w:rPr>
      <w:rFonts w:ascii="仿宋" w:eastAsia="仿宋" w:hAnsi="仿宋" w:cs="仿宋"/>
      <w:sz w:val="21"/>
      <w:szCs w:val="21"/>
      <w:lang w:val="en-US" w:eastAsia="zh-CN" w:bidi="ar-SA"/>
    </w:rPr>
  </w:style>
  <w:style w:type="paragraph" w:styleId="BodyText">
    <w:name w:val="Body Text"/>
    <w:basedOn w:val="Normal"/>
    <w:uiPriority w:val="1"/>
    <w:qFormat/>
    <w:rPr>
      <w:rFonts w:ascii="仿宋" w:eastAsia="仿宋" w:hAnsi="仿宋" w:cs="仿宋"/>
      <w:sz w:val="28"/>
      <w:szCs w:val="28"/>
      <w:lang w:val="en-US" w:eastAsia="zh-CN" w:bidi="ar-SA"/>
    </w:rPr>
  </w:style>
  <w:style w:type="paragraph" w:styleId="Title">
    <w:name w:val="Title"/>
    <w:basedOn w:val="Normal"/>
    <w:uiPriority w:val="1"/>
    <w:qFormat/>
    <w:pPr>
      <w:spacing w:line="569" w:lineRule="exact"/>
      <w:ind w:left="1742" w:right="2141"/>
      <w:jc w:val="center"/>
    </w:pPr>
    <w:rPr>
      <w:rFonts w:ascii="Microsoft JhengHei" w:eastAsia="Microsoft JhengHei" w:hAnsi="Microsoft JhengHei" w:cs="Microsoft JhengHei"/>
      <w:b/>
      <w:bCs/>
      <w:sz w:val="36"/>
      <w:szCs w:val="36"/>
      <w:lang w:val="en-US" w:eastAsia="zh-CN" w:bidi="ar-SA"/>
    </w:rPr>
  </w:style>
  <w:style w:type="paragraph" w:styleId="ListParagraph">
    <w:name w:val="List Paragraph"/>
    <w:basedOn w:val="Normal"/>
    <w:uiPriority w:val="1"/>
    <w:qFormat/>
    <w:pPr>
      <w:spacing w:line="358" w:lineRule="exact"/>
      <w:ind w:left="400" w:hanging="420"/>
    </w:pPr>
    <w:rPr>
      <w:rFonts w:ascii="仿宋" w:eastAsia="仿宋" w:hAnsi="仿宋" w:cs="仿宋"/>
      <w:lang w:val="en-US" w:eastAsia="zh-CN" w:bidi="ar-SA"/>
    </w:rPr>
  </w:style>
  <w:style w:type="paragraph" w:customStyle="1" w:styleId="TableParagraph">
    <w:name w:val="Table Paragraph"/>
    <w:basedOn w:val="Normal"/>
    <w:uiPriority w:val="1"/>
    <w:qFormat/>
    <w:pPr>
      <w:ind w:left="107"/>
    </w:pPr>
    <w:rPr>
      <w:rFonts w:ascii="仿宋" w:eastAsia="仿宋" w:hAnsi="仿宋" w:cs="仿宋"/>
      <w:lang w:val="en-US" w:eastAsia="zh-CN" w:bidi="ar-SA"/>
    </w:rPr>
  </w:style>
  <w:style w:type="table" w:customStyle="1" w:styleId="TableNormal0">
    <w:name w:val="Table Normal_0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_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_2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_3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_4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_5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6.xml" /><Relationship Id="rId11" Type="http://schemas.openxmlformats.org/officeDocument/2006/relationships/footer" Target="footer7.xml" /><Relationship Id="rId12" Type="http://schemas.openxmlformats.org/officeDocument/2006/relationships/footer" Target="footer8.xml" /><Relationship Id="rId13" Type="http://schemas.openxmlformats.org/officeDocument/2006/relationships/footer" Target="footer9.xml" /><Relationship Id="rId14" Type="http://schemas.openxmlformats.org/officeDocument/2006/relationships/hyperlink" Target="https://d.book118.com/428002047027006043" TargetMode="External" /><Relationship Id="rId15" Type="http://schemas.openxmlformats.org/officeDocument/2006/relationships/footer" Target="footer10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footer" Target="footer4.xml" /><Relationship Id="rId9" Type="http://schemas.openxmlformats.org/officeDocument/2006/relationships/footer" Target="footer5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2024-03-05T04:16:08Z</dcterms:created>
  <dcterms:modified xsi:type="dcterms:W3CDTF">2024-03-05T04:16:08Z</dcterms:modified>
</cp:coreProperties>
</file>