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2018-2023年山东外贸职业学院高职单招（数学／语文／英语）历年常考试题库含答案解析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曹雪芹是（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A.宋代文学家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B.明代文学家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C.清代文学家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D.元代现实主义作家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下列诗句中属于远景静态描写的是（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A.操吴戈兮披犀甲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B.车错毂兮短兵接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C.旌蔽日兮敌若云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D.矢交坠兮士争先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下列各句中，“数”作“计算”解的是（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352922" cy="16861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52922" cy="1686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《米龙老爹》在情节叙述上的特点是（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A.第一人称自叙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B.第一、第三人称互换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C.第二人称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D.第三人称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欧阳修《五代史伶官传序》是一篇（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A.传记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B.奏章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C.文论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D.史论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李白是（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A.初唐诗人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B.盛唐诗人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C.中唐诗人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D.晚唐诗人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“茕茕孑立，形影相吊”一语出自（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A.李斯《谏逐客书》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B.李密《陈情表》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C.李清照《声声慢》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D.曹操《短歌行》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受五四新思潮的冲击，巴金最先接受了什么思想的影响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A.革命民主主义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B.俄国民粹派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C.马克思主义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D.自由主义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9.</w:t>
      </w:r>
      <w:r>
        <w:rPr>
          <w:rFonts w:ascii="黑体" w:eastAsia="黑体" w:hAnsi="黑体" w:cs="Times New Roman"/>
          <w:sz w:val="24"/>
          <w:lang w:val="en-US" w:eastAsia="ja-JP" w:bidi="ar-SA"/>
        </w:rPr>
        <w:t>下列画横线的句子翻译正确的是（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A.孟尝君不说，曰：“诺，先生休矣！”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B.今将军尚不得夜行，何乃故也。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C.虏多且近，即有急，奈何。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D.愿陛下矜愍愚诚，听臣微志。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8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《蜀相》是一首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A.山水诗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B.田园诗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C.边塞诗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D.怀古诗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司马迁用“桃李不言，下自成蹊”赞美（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A.冯谖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B.孟尝君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C.李广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D.程不识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“天下为公”“狡兔三窟”两个成语依次出自（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A.《礼记·大同》《冯谖客孟尝君》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B.《季氏将伐颛臾》《李将军列传》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C.《冯谖客孟尝君》《季氏将伐颛失》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D.《李将军列传》《礼记·大同》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下列作家同属于“文学研究会”的是（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A.鲁迅、沈雁冰、冰心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B.郭沫若、沈雁冰、朱自清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C.鲁迅、郁达夫、冰心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D.沈雁冰、朱自清、冰心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https://d.book118.com/428035002132006040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yperlink" Target="https://d.book118.com/428035002132006040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