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6" w:line="234" w:lineRule="auto"/>
        <w:rPr>
          <w:rFonts w:ascii="Calibri" w:eastAsia="Calibri" w:hAnsi="Calibri" w:cs="Calibri"/>
          <w:sz w:val="18"/>
          <w:szCs w:val="18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6181090</wp:posOffset>
            </wp:positionH>
            <wp:positionV relativeFrom="page">
              <wp:posOffset>739879</wp:posOffset>
            </wp:positionV>
            <wp:extent cx="634091" cy="142503"/>
            <wp:effectExtent l="0" t="0" r="0" b="0"/>
            <wp:wrapNone/>
            <wp:docPr id="2" name="IM 2">
              <a:hlinkClick xmlns:a="http://schemas.openxmlformats.org/drawingml/2006/main" xmlns:r="http://schemas.openxmlformats.org/officeDocument/2006/relationships" r:id="rId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4091" cy="142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Open Journal of Transportation Technologies  </w:t>
      </w:r>
      <w:r>
        <w:rPr>
          <w:rFonts w:ascii="SimSun" w:eastAsia="SimSun" w:hAnsi="SimSun" w:cs="SimSun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交通技术</w:t>
      </w:r>
      <w:r>
        <w:rPr>
          <w:rFonts w:ascii="Calibri" w:eastAsia="Calibri" w:hAnsi="Calibri" w:cs="Calibri"/>
          <w:b/>
          <w:bCs/>
          <w:sz w:val="18"/>
          <w:szCs w:val="18"/>
        </w:rPr>
        <w:t>, 20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23,</w:t>
      </w:r>
      <w:r>
        <w:rPr>
          <w:rFonts w:ascii="Calibri" w:eastAsia="Calibri" w:hAnsi="Calibri" w:cs="Calibri"/>
          <w:b/>
          <w:bCs/>
          <w:spacing w:val="12"/>
          <w:w w:val="101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12(4),</w:t>
      </w:r>
      <w:r>
        <w:rPr>
          <w:rFonts w:ascii="Calibri" w:eastAsia="Calibri" w:hAnsi="Calibri" w:cs="Calibri"/>
          <w:b/>
          <w:bCs/>
          <w:spacing w:val="8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322-335</w:t>
      </w:r>
    </w:p>
    <w:p>
      <w:pPr>
        <w:spacing w:line="243" w:lineRule="auto"/>
        <w:ind w:left="8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pacing w:val="-1"/>
          <w:sz w:val="18"/>
          <w:szCs w:val="18"/>
        </w:rPr>
        <w:t>Published Online July</w:t>
      </w:r>
      <w:r>
        <w:rPr>
          <w:rFonts w:ascii="Calibri" w:eastAsia="Calibri" w:hAnsi="Calibri" w:cs="Calibri"/>
          <w:spacing w:val="11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sz w:val="18"/>
          <w:szCs w:val="18"/>
        </w:rPr>
        <w:t>2023</w:t>
      </w:r>
      <w:r>
        <w:rPr>
          <w:rFonts w:ascii="Calibri" w:eastAsia="Calibri" w:hAnsi="Calibri" w:cs="Calibri"/>
          <w:spacing w:val="11"/>
          <w:w w:val="102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sz w:val="18"/>
          <w:szCs w:val="18"/>
        </w:rPr>
        <w:t>in</w:t>
      </w:r>
      <w:r>
        <w:rPr>
          <w:rFonts w:ascii="Calibri" w:eastAsia="Calibri" w:hAnsi="Calibri" w:cs="Calibri"/>
          <w:spacing w:val="15"/>
          <w:w w:val="101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sz w:val="18"/>
          <w:szCs w:val="18"/>
        </w:rPr>
        <w:t>Hans</w:t>
      </w:r>
      <w:hyperlink r:id="rId6" w:history="1">
        <w:r>
          <w:rPr>
            <w:rFonts w:ascii="Calibri" w:eastAsia="Calibri" w:hAnsi="Calibri" w:cs="Calibri"/>
            <w:spacing w:val="-1"/>
            <w:sz w:val="18"/>
            <w:szCs w:val="18"/>
          </w:rPr>
          <w:t>.</w:t>
        </w:r>
        <w:r>
          <w:rPr>
            <w:rFonts w:ascii="Calibri" w:eastAsia="Calibri" w:hAnsi="Calibri" w:cs="Calibri"/>
            <w:spacing w:val="14"/>
            <w:sz w:val="18"/>
            <w:szCs w:val="18"/>
          </w:rPr>
          <w:t xml:space="preserve"> </w:t>
        </w:r>
        <w:r>
          <w:rPr>
            <w:rFonts w:ascii="Calibri" w:eastAsia="Calibri" w:hAnsi="Calibri" w:cs="Calibri"/>
            <w:color w:val="0000FF"/>
            <w:spacing w:val="-1"/>
            <w:sz w:val="18"/>
            <w:szCs w:val="18"/>
            <w:u w:val="single" w:color="auto"/>
          </w:rPr>
          <w:t>https://www.hanspub.org/journal/ojtt</w:t>
        </w:r>
      </w:hyperlink>
    </w:p>
    <w:p>
      <w:pPr>
        <w:spacing w:line="262" w:lineRule="auto"/>
        <w:ind w:left="6"/>
        <w:rPr>
          <w:rFonts w:ascii="Calibri" w:eastAsia="Calibri" w:hAnsi="Calibri" w:cs="Calibri"/>
          <w:sz w:val="18"/>
          <w:szCs w:val="18"/>
        </w:rPr>
      </w:pPr>
      <w:hyperlink r:id="rId7" w:history="1">
        <w:r>
          <w:rPr>
            <w:rFonts w:ascii="Calibri" w:eastAsia="Calibri" w:hAnsi="Calibri" w:cs="Calibri"/>
            <w:color w:val="0000FF"/>
            <w:sz w:val="18"/>
            <w:szCs w:val="18"/>
            <w:u w:val="single" w:color="auto"/>
          </w:rPr>
          <w:t>https://doi.org/10.12677/oj</w:t>
        </w:r>
        <w:r>
          <w:rPr>
            <w:rFonts w:ascii="Calibri" w:eastAsia="Calibri" w:hAnsi="Calibri" w:cs="Calibri"/>
            <w:color w:val="0000FF"/>
            <w:spacing w:val="-1"/>
            <w:sz w:val="18"/>
            <w:szCs w:val="18"/>
            <w:u w:val="single" w:color="auto"/>
          </w:rPr>
          <w:t>tt.2023.124036</w:t>
        </w:r>
      </w:hyperlink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3" w:line="220" w:lineRule="auto"/>
        <w:ind w:left="601"/>
        <w:outlineLvl w:val="0"/>
        <w:rPr>
          <w:rFonts w:ascii="SimHei" w:eastAsia="SimHei" w:hAnsi="SimHei" w:cs="SimHei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>LNG</w:t>
      </w:r>
      <w:r>
        <w:rPr>
          <w:rFonts w:ascii="SimHei" w:eastAsia="SimHei" w:hAnsi="SimHei" w:cs="SimHei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船舶夜间通航安全性的仿真研究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8" w:line="228" w:lineRule="auto"/>
        <w:ind w:left="611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4"/>
          <w:sz w:val="21"/>
          <w:szCs w:val="21"/>
          <w14:textOutline w14:w="3987">
            <w14:solidFill>
              <w14:srgbClr w14:val="000000"/>
            </w14:solidFill>
            <w14:prstDash w14:val="solid"/>
            <w14:miter w14:lim="10"/>
          </w14:textOutline>
        </w:rPr>
        <w:t>刘志辉</w:t>
      </w:r>
    </w:p>
    <w:p>
      <w:pPr>
        <w:spacing w:before="142" w:line="221" w:lineRule="auto"/>
        <w:ind w:left="60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8"/>
          <w:sz w:val="20"/>
          <w:szCs w:val="20"/>
        </w:rPr>
        <w:t>北部湾港北海引航站， 广西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北海</w:t>
      </w:r>
    </w:p>
    <w:p>
      <w:pPr>
        <w:spacing w:before="264" w:line="220" w:lineRule="auto"/>
        <w:ind w:left="60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收稿日期：</w:t>
      </w:r>
      <w:r>
        <w:rPr>
          <w:rFonts w:ascii="Calibri" w:eastAsia="Calibri" w:hAnsi="Calibri" w:cs="Calibri"/>
          <w:spacing w:val="-2"/>
          <w:sz w:val="20"/>
          <w:szCs w:val="20"/>
        </w:rPr>
        <w:t>2023</w:t>
      </w:r>
      <w:r>
        <w:rPr>
          <w:rFonts w:ascii="SimSun" w:eastAsia="SimSun" w:hAnsi="SimSun" w:cs="SimSun"/>
          <w:spacing w:val="-2"/>
          <w:sz w:val="20"/>
          <w:szCs w:val="20"/>
        </w:rPr>
        <w:t>年</w:t>
      </w:r>
      <w:r>
        <w:rPr>
          <w:rFonts w:ascii="Calibri" w:eastAsia="Calibri" w:hAnsi="Calibri" w:cs="Calibri"/>
          <w:spacing w:val="-2"/>
          <w:sz w:val="20"/>
          <w:szCs w:val="20"/>
        </w:rPr>
        <w:t>4</w:t>
      </w:r>
      <w:r>
        <w:rPr>
          <w:rFonts w:ascii="SimSun" w:eastAsia="SimSun" w:hAnsi="SimSun" w:cs="SimSun"/>
          <w:spacing w:val="-2"/>
          <w:sz w:val="20"/>
          <w:szCs w:val="20"/>
        </w:rPr>
        <w:t>月</w:t>
      </w:r>
      <w:r>
        <w:rPr>
          <w:rFonts w:ascii="Calibri" w:eastAsia="Calibri" w:hAnsi="Calibri" w:cs="Calibri"/>
          <w:spacing w:val="-2"/>
          <w:sz w:val="20"/>
          <w:szCs w:val="20"/>
        </w:rPr>
        <w:t>17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日；录用日期： </w:t>
      </w:r>
      <w:r>
        <w:rPr>
          <w:rFonts w:ascii="Calibri" w:eastAsia="Calibri" w:hAnsi="Calibri" w:cs="Calibri"/>
          <w:spacing w:val="-2"/>
          <w:sz w:val="20"/>
          <w:szCs w:val="20"/>
        </w:rPr>
        <w:t>2023</w:t>
      </w:r>
      <w:r>
        <w:rPr>
          <w:rFonts w:ascii="SimSun" w:eastAsia="SimSun" w:hAnsi="SimSun" w:cs="SimSun"/>
          <w:spacing w:val="-2"/>
          <w:sz w:val="20"/>
          <w:szCs w:val="20"/>
        </w:rPr>
        <w:t>年</w:t>
      </w:r>
      <w:r>
        <w:rPr>
          <w:rFonts w:ascii="Calibri" w:eastAsia="Calibri" w:hAnsi="Calibri" w:cs="Calibri"/>
          <w:spacing w:val="-2"/>
          <w:sz w:val="20"/>
          <w:szCs w:val="20"/>
        </w:rPr>
        <w:t>7</w:t>
      </w:r>
      <w:r>
        <w:rPr>
          <w:rFonts w:ascii="SimSun" w:eastAsia="SimSun" w:hAnsi="SimSun" w:cs="SimSun"/>
          <w:spacing w:val="-2"/>
          <w:sz w:val="20"/>
          <w:szCs w:val="20"/>
        </w:rPr>
        <w:t>月</w:t>
      </w:r>
      <w:r>
        <w:rPr>
          <w:rFonts w:ascii="Calibri" w:eastAsia="Calibri" w:hAnsi="Calibri" w:cs="Calibri"/>
          <w:spacing w:val="-3"/>
          <w:sz w:val="20"/>
          <w:szCs w:val="20"/>
        </w:rPr>
        <w:t>17</w:t>
      </w:r>
      <w:r>
        <w:rPr>
          <w:rFonts w:ascii="SimSun" w:eastAsia="SimSun" w:hAnsi="SimSun" w:cs="SimSun"/>
          <w:spacing w:val="-3"/>
          <w:sz w:val="20"/>
          <w:szCs w:val="20"/>
        </w:rPr>
        <w:t>日；发布日期：</w:t>
      </w:r>
      <w:r>
        <w:rPr>
          <w:rFonts w:ascii="Calibri" w:eastAsia="Calibri" w:hAnsi="Calibri" w:cs="Calibri"/>
          <w:spacing w:val="-3"/>
          <w:sz w:val="20"/>
          <w:szCs w:val="20"/>
        </w:rPr>
        <w:t>2023</w:t>
      </w:r>
      <w:r>
        <w:rPr>
          <w:rFonts w:ascii="SimSun" w:eastAsia="SimSun" w:hAnsi="SimSun" w:cs="SimSun"/>
          <w:spacing w:val="-3"/>
          <w:sz w:val="20"/>
          <w:szCs w:val="20"/>
        </w:rPr>
        <w:t>年</w:t>
      </w:r>
      <w:r>
        <w:rPr>
          <w:rFonts w:ascii="Calibri" w:eastAsia="Calibri" w:hAnsi="Calibri" w:cs="Calibri"/>
          <w:spacing w:val="-3"/>
          <w:sz w:val="20"/>
          <w:szCs w:val="20"/>
        </w:rPr>
        <w:t>7</w:t>
      </w:r>
      <w:r>
        <w:rPr>
          <w:rFonts w:ascii="SimSun" w:eastAsia="SimSun" w:hAnsi="SimSun" w:cs="SimSun"/>
          <w:spacing w:val="-3"/>
          <w:sz w:val="20"/>
          <w:szCs w:val="20"/>
        </w:rPr>
        <w:t>月</w:t>
      </w:r>
      <w:r>
        <w:rPr>
          <w:rFonts w:ascii="Calibri" w:eastAsia="Calibri" w:hAnsi="Calibri" w:cs="Calibri"/>
          <w:spacing w:val="-3"/>
          <w:sz w:val="20"/>
          <w:szCs w:val="20"/>
        </w:rPr>
        <w:t>27</w:t>
      </w:r>
      <w:r>
        <w:rPr>
          <w:rFonts w:ascii="SimSun" w:eastAsia="SimSun" w:hAnsi="SimSun" w:cs="SimSun"/>
          <w:spacing w:val="-3"/>
          <w:sz w:val="20"/>
          <w:szCs w:val="20"/>
        </w:rPr>
        <w:t>日</w:t>
      </w:r>
    </w:p>
    <w:p>
      <w:pPr>
        <w:spacing w:before="142"/>
      </w:pPr>
    </w:p>
    <w:tbl>
      <w:tblPr>
        <w:tblStyle w:val="TableNormal"/>
        <w:tblW w:w="9060" w:type="dxa"/>
        <w:tblInd w:w="5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060"/>
      </w:tblGrid>
      <w:tr>
        <w:tblPrEx>
          <w:tblW w:w="9060" w:type="dxa"/>
          <w:tblInd w:w="57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45"/>
        </w:trPr>
        <w:tc>
          <w:tcPr>
            <w:tcW w:w="9060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29"/>
              <w:outlineLvl w:val="0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color w:val="943634"/>
                <w:spacing w:val="-5"/>
                <w:sz w:val="24"/>
                <w:szCs w:val="24"/>
                <w14:textOutline w14:w="4356">
                  <w14:solidFill>
                    <w14:srgbClr w14:val="943634"/>
                  </w14:solidFill>
                  <w14:prstDash w14:val="solid"/>
                  <w14:miter w14:lim="10"/>
                </w14:textOutline>
              </w:rPr>
              <w:t>摘</w:t>
            </w:r>
            <w:r>
              <w:rPr>
                <w:rFonts w:ascii="SimHei" w:eastAsia="SimHei" w:hAnsi="SimHei" w:cs="SimHei"/>
                <w:color w:val="943634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color w:val="943634"/>
                <w:spacing w:val="-5"/>
                <w:sz w:val="24"/>
                <w:szCs w:val="24"/>
                <w14:textOutline w14:w="4356">
                  <w14:solidFill>
                    <w14:srgbClr w14:val="943634"/>
                  </w14:solidFill>
                  <w14:prstDash w14:val="solid"/>
                  <w14:miter w14:lim="10"/>
                </w14:textOutline>
              </w:rPr>
              <w:t>要</w:t>
            </w:r>
          </w:p>
          <w:p>
            <w:pPr>
              <w:spacing w:before="134" w:line="236" w:lineRule="auto"/>
              <w:ind w:left="28" w:firstLine="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为确保大型</w:t>
            </w:r>
            <w:r>
              <w:rPr>
                <w:rFonts w:ascii="Cambria" w:eastAsia="Cambria" w:hAnsi="Cambria" w:cs="Cambria"/>
                <w:b/>
                <w:bCs/>
                <w:sz w:val="20"/>
                <w:szCs w:val="20"/>
              </w:rPr>
              <w:t>LNG</w:t>
            </w:r>
            <w:r>
              <w:rPr>
                <w:rFonts w:ascii="SimSun" w:eastAsia="SimSun" w:hAnsi="SimSun" w:cs="SimSun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船舶夜间进出港及靠离泊安全，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提高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北海</w:t>
            </w:r>
            <w:r>
              <w:rPr>
                <w:rFonts w:ascii="Cambria" w:eastAsia="Cambria" w:hAnsi="Cambria" w:cs="Cambria"/>
                <w:b/>
                <w:bCs/>
                <w:spacing w:val="-1"/>
                <w:sz w:val="20"/>
                <w:szCs w:val="20"/>
              </w:rPr>
              <w:t>LNG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船舶夜间通航能力，本文构建综合评判模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型和夜航动力学模型对北海</w:t>
            </w:r>
            <w:r>
              <w:rPr>
                <w:rFonts w:ascii="Cambria" w:eastAsia="Cambria" w:hAnsi="Cambria" w:cs="Cambria"/>
                <w:b/>
                <w:bCs/>
                <w:spacing w:val="-1"/>
                <w:sz w:val="20"/>
                <w:szCs w:val="20"/>
              </w:rPr>
              <w:t>LNG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船舶夜航通航进行安全进行评估，然后提出靠离泊方案和限制条件，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最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后进行了船舶模拟仿真试验。根据对夜间通航环境的评估结果，北海</w:t>
            </w:r>
            <w:r>
              <w:rPr>
                <w:rFonts w:ascii="Cambria" w:eastAsia="Cambria" w:hAnsi="Cambria" w:cs="Cambria"/>
                <w:b/>
                <w:bCs/>
                <w:sz w:val="20"/>
                <w:szCs w:val="20"/>
              </w:rPr>
              <w:t>LNG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码头具有良好的本质安全性，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试验表明广西北海港铁山港区</w:t>
            </w:r>
            <w:r>
              <w:rPr>
                <w:rFonts w:ascii="Cambria" w:eastAsia="Cambria" w:hAnsi="Cambria" w:cs="Cambria"/>
                <w:b/>
                <w:bCs/>
                <w:spacing w:val="-3"/>
                <w:sz w:val="20"/>
                <w:szCs w:val="20"/>
              </w:rPr>
              <w:t>LNG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码头</w:t>
            </w:r>
            <w:r>
              <w:rPr>
                <w:rFonts w:ascii="Cambria" w:eastAsia="Cambria" w:hAnsi="Cambria" w:cs="Cambria"/>
                <w:b/>
                <w:bCs/>
                <w:spacing w:val="-3"/>
                <w:sz w:val="20"/>
                <w:szCs w:val="20"/>
              </w:rPr>
              <w:t>26.6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万</w:t>
            </w:r>
            <w:r>
              <w:rPr>
                <w:rFonts w:ascii="Cambria" w:eastAsia="Cambria" w:hAnsi="Cambria" w:cs="Cambria"/>
                <w:b/>
                <w:bCs/>
                <w:spacing w:val="-3"/>
                <w:sz w:val="20"/>
                <w:szCs w:val="20"/>
              </w:rPr>
              <w:t>m³ LNG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船舶、</w:t>
            </w:r>
            <w:r>
              <w:rPr>
                <w:rFonts w:ascii="SimSun" w:eastAsia="SimSun" w:hAnsi="SimSun" w:cs="SimSu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3"/>
                <w:sz w:val="20"/>
                <w:szCs w:val="20"/>
              </w:rPr>
              <w:t>21.5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万</w:t>
            </w:r>
            <w:r>
              <w:rPr>
                <w:rFonts w:ascii="Cambria" w:eastAsia="Cambria" w:hAnsi="Cambria" w:cs="Cambria"/>
                <w:b/>
                <w:bCs/>
                <w:spacing w:val="-3"/>
                <w:sz w:val="20"/>
                <w:szCs w:val="20"/>
              </w:rPr>
              <w:t>m³ LNG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船舶、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3"/>
                <w:sz w:val="20"/>
                <w:szCs w:val="20"/>
              </w:rPr>
              <w:t>17.5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万</w:t>
            </w:r>
            <w:r>
              <w:rPr>
                <w:rFonts w:ascii="Cambria" w:eastAsia="Cambria" w:hAnsi="Cambria" w:cs="Cambria"/>
                <w:b/>
                <w:bCs/>
                <w:spacing w:val="-3"/>
                <w:sz w:val="20"/>
                <w:szCs w:val="20"/>
              </w:rPr>
              <w:t>m³ LNG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船舶在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限定条件下，夜间航道航行、满载靠泊、压载离泊均能安全完成。</w:t>
            </w:r>
          </w:p>
          <w:p>
            <w:pPr>
              <w:spacing w:before="259" w:line="223" w:lineRule="auto"/>
              <w:ind w:left="39"/>
              <w:outlineLvl w:val="0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color w:val="943634"/>
                <w:spacing w:val="-4"/>
                <w:sz w:val="24"/>
                <w:szCs w:val="24"/>
                <w14:textOutline w14:w="4356">
                  <w14:solidFill>
                    <w14:srgbClr w14:val="943634"/>
                  </w14:solidFill>
                  <w14:prstDash w14:val="solid"/>
                  <w14:miter w14:lim="10"/>
                </w14:textOutline>
              </w:rPr>
              <w:t>关键词</w:t>
            </w:r>
          </w:p>
          <w:p>
            <w:pPr>
              <w:spacing w:before="136" w:line="220" w:lineRule="auto"/>
              <w:ind w:left="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spacing w:val="-6"/>
                <w:sz w:val="20"/>
                <w:szCs w:val="20"/>
              </w:rPr>
              <w:t>LNG</w:t>
            </w:r>
            <w:r>
              <w:rPr>
                <w:rFonts w:ascii="Cambria" w:eastAsia="Cambria" w:hAnsi="Cambria" w:cs="Cambria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，通航安全，夜间通航，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  <w14:textOutline w14:w="3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船舶模拟仿真</w:t>
            </w:r>
          </w:p>
        </w:tc>
      </w:tr>
      <w:tr>
        <w:tblPrEx>
          <w:tblW w:w="9060" w:type="dxa"/>
          <w:tblInd w:w="571" w:type="dxa"/>
          <w:tblLayout w:type="fixed"/>
        </w:tblPrEx>
        <w:trPr>
          <w:trHeight w:val="3220"/>
        </w:trPr>
        <w:tc>
          <w:tcPr>
            <w:tcW w:w="9060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129" w:line="215" w:lineRule="auto"/>
              <w:ind w:left="40" w:right="178" w:hanging="1"/>
              <w:outlineLvl w:val="0"/>
              <w:rPr>
                <w:rFonts w:ascii="Cambria" w:eastAsia="Cambria" w:hAnsi="Cambria" w:cs="Cambria"/>
                <w:sz w:val="44"/>
                <w:szCs w:val="44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  <w:sz w:val="44"/>
                <w:szCs w:val="44"/>
              </w:rPr>
              <w:t>Simulation Study on Night Navigation</w:t>
            </w:r>
            <w:r>
              <w:rPr>
                <w:rFonts w:ascii="Cambria" w:eastAsia="Cambria" w:hAnsi="Cambria" w:cs="Cambria"/>
                <w:b/>
                <w:bCs/>
                <w:spacing w:val="24"/>
                <w:sz w:val="44"/>
                <w:szCs w:val="44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1"/>
                <w:sz w:val="44"/>
                <w:szCs w:val="44"/>
              </w:rPr>
              <w:t>Safety</w:t>
            </w:r>
            <w:r>
              <w:rPr>
                <w:rFonts w:ascii="Cambria" w:eastAsia="Cambria" w:hAnsi="Cambria" w:cs="Cambria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2"/>
                <w:sz w:val="44"/>
                <w:szCs w:val="44"/>
              </w:rPr>
              <w:t>of LNG Ship</w:t>
            </w: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61" w:line="195" w:lineRule="auto"/>
              <w:ind w:left="29"/>
              <w:rPr>
                <w:rFonts w:ascii="Cambria" w:eastAsia="Cambria" w:hAnsi="Cambria" w:cs="Cambria"/>
                <w:sz w:val="21"/>
                <w:szCs w:val="21"/>
              </w:rPr>
            </w:pPr>
            <w:r>
              <w:rPr>
                <w:rFonts w:ascii="Cambria" w:eastAsia="Cambria" w:hAnsi="Cambria" w:cs="Cambria"/>
                <w:b/>
                <w:bCs/>
                <w:spacing w:val="2"/>
                <w:sz w:val="21"/>
                <w:szCs w:val="21"/>
              </w:rPr>
              <w:t>Zhihui</w:t>
            </w:r>
            <w:r>
              <w:rPr>
                <w:rFonts w:ascii="Cambria" w:eastAsia="Cambria" w:hAnsi="Cambria" w:cs="Cambria"/>
                <w:b/>
                <w:bCs/>
                <w:spacing w:val="18"/>
                <w:w w:val="101"/>
                <w:sz w:val="21"/>
                <w:szCs w:val="21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2"/>
                <w:sz w:val="21"/>
                <w:szCs w:val="21"/>
              </w:rPr>
              <w:t>Liu</w:t>
            </w:r>
          </w:p>
          <w:p>
            <w:pPr>
              <w:pStyle w:val="TableText"/>
              <w:spacing w:before="176" w:line="187" w:lineRule="auto"/>
              <w:ind w:left="37"/>
            </w:pPr>
            <w:r>
              <w:rPr>
                <w:spacing w:val="-2"/>
              </w:rPr>
              <w:t>Beihai</w:t>
            </w:r>
            <w:r>
              <w:rPr>
                <w:spacing w:val="32"/>
              </w:rPr>
              <w:t xml:space="preserve"> </w:t>
            </w:r>
            <w:r>
              <w:rPr>
                <w:spacing w:val="-2"/>
              </w:rPr>
              <w:t>Pilot Station,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Beibu Gulf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Port,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Beihai Guangxi</w:t>
            </w:r>
          </w:p>
          <w:p>
            <w:pPr>
              <w:pStyle w:val="TableText"/>
              <w:spacing w:before="210" w:line="286" w:lineRule="exact"/>
              <w:ind w:left="38"/>
            </w:pPr>
            <w:r>
              <w:rPr>
                <w:spacing w:val="-1"/>
                <w:position w:val="2"/>
              </w:rPr>
              <w:t>Received: Apr.</w:t>
            </w:r>
            <w:r>
              <w:rPr>
                <w:spacing w:val="16"/>
                <w:w w:val="101"/>
                <w:position w:val="2"/>
              </w:rPr>
              <w:t xml:space="preserve"> </w:t>
            </w:r>
            <w:r>
              <w:rPr>
                <w:spacing w:val="-1"/>
                <w:position w:val="2"/>
              </w:rPr>
              <w:t>17</w:t>
            </w:r>
            <w:r>
              <w:rPr>
                <w:spacing w:val="-1"/>
                <w:position w:val="11"/>
                <w:sz w:val="12"/>
                <w:szCs w:val="12"/>
              </w:rPr>
              <w:t>th</w:t>
            </w:r>
            <w:r>
              <w:rPr>
                <w:spacing w:val="-1"/>
                <w:position w:val="2"/>
              </w:rPr>
              <w:t>,</w:t>
            </w:r>
            <w:r>
              <w:rPr>
                <w:spacing w:val="10"/>
                <w:position w:val="2"/>
              </w:rPr>
              <w:t xml:space="preserve"> </w:t>
            </w:r>
            <w:r>
              <w:rPr>
                <w:spacing w:val="-1"/>
                <w:position w:val="2"/>
              </w:rPr>
              <w:t>2023; accepted: Jul.</w:t>
            </w:r>
            <w:r>
              <w:rPr>
                <w:spacing w:val="17"/>
                <w:position w:val="2"/>
              </w:rPr>
              <w:t xml:space="preserve"> </w:t>
            </w:r>
            <w:r>
              <w:rPr>
                <w:spacing w:val="-1"/>
                <w:position w:val="2"/>
              </w:rPr>
              <w:t>17</w:t>
            </w:r>
            <w:r>
              <w:rPr>
                <w:spacing w:val="-1"/>
                <w:position w:val="11"/>
                <w:sz w:val="12"/>
                <w:szCs w:val="12"/>
              </w:rPr>
              <w:t>th</w:t>
            </w:r>
            <w:r>
              <w:rPr>
                <w:spacing w:val="-1"/>
                <w:position w:val="2"/>
              </w:rPr>
              <w:t>,</w:t>
            </w:r>
            <w:r>
              <w:rPr>
                <w:spacing w:val="11"/>
                <w:w w:val="102"/>
                <w:position w:val="2"/>
              </w:rPr>
              <w:t xml:space="preserve"> </w:t>
            </w:r>
            <w:r>
              <w:rPr>
                <w:spacing w:val="-1"/>
                <w:position w:val="2"/>
              </w:rPr>
              <w:t>2023;</w:t>
            </w:r>
            <w:r>
              <w:rPr>
                <w:spacing w:val="14"/>
                <w:w w:val="101"/>
                <w:position w:val="2"/>
              </w:rPr>
              <w:t xml:space="preserve"> </w:t>
            </w:r>
            <w:r>
              <w:rPr>
                <w:spacing w:val="-1"/>
                <w:position w:val="2"/>
              </w:rPr>
              <w:t>published: Ju</w:t>
            </w:r>
            <w:r>
              <w:rPr>
                <w:spacing w:val="-2"/>
                <w:position w:val="2"/>
              </w:rPr>
              <w:t>l.</w:t>
            </w:r>
            <w:r>
              <w:rPr>
                <w:spacing w:val="11"/>
                <w:w w:val="101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27</w:t>
            </w:r>
            <w:r>
              <w:rPr>
                <w:spacing w:val="-2"/>
                <w:position w:val="11"/>
                <w:sz w:val="12"/>
                <w:szCs w:val="12"/>
              </w:rPr>
              <w:t>th</w:t>
            </w:r>
            <w:r>
              <w:rPr>
                <w:spacing w:val="-2"/>
                <w:position w:val="2"/>
              </w:rPr>
              <w:t>,</w:t>
            </w:r>
            <w:r>
              <w:rPr>
                <w:spacing w:val="10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2023</w:t>
            </w:r>
          </w:p>
        </w:tc>
      </w:tr>
    </w:tbl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1" w:line="188" w:lineRule="auto"/>
        <w:ind w:left="592"/>
        <w:outlineLvl w:val="0"/>
        <w:rPr>
          <w:sz w:val="24"/>
          <w:szCs w:val="24"/>
        </w:rPr>
      </w:pPr>
      <w:r>
        <w:rPr>
          <w:b/>
          <w:bCs/>
          <w:color w:val="943634"/>
          <w:sz w:val="24"/>
          <w:szCs w:val="24"/>
        </w:rPr>
        <w:t>Abstract</w:t>
      </w:r>
    </w:p>
    <w:p>
      <w:pPr>
        <w:pStyle w:val="BodyText"/>
        <w:spacing w:before="167" w:line="234" w:lineRule="auto"/>
        <w:ind w:left="596" w:firstLine="5"/>
        <w:jc w:val="both"/>
        <w:sectPr>
          <w:pgSz w:w="11908" w:h="16161"/>
          <w:pgMar w:top="1093" w:right="1132" w:bottom="0" w:left="1141" w:header="0" w:footer="0" w:gutter="0"/>
          <w:cols w:space="708"/>
        </w:sectPr>
      </w:pPr>
      <w:r>
        <w:rPr>
          <w:b/>
          <w:bCs/>
          <w:spacing w:val="-1"/>
        </w:rPr>
        <w:t>In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order</w:t>
      </w:r>
      <w:r>
        <w:rPr>
          <w:b/>
          <w:bCs/>
          <w:spacing w:val="14"/>
          <w:w w:val="102"/>
        </w:rPr>
        <w:t xml:space="preserve"> </w:t>
      </w:r>
      <w:r>
        <w:rPr>
          <w:b/>
          <w:bCs/>
          <w:spacing w:val="-1"/>
        </w:rPr>
        <w:t>to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1"/>
        </w:rPr>
        <w:t>ensure</w:t>
      </w:r>
      <w:r>
        <w:rPr>
          <w:b/>
          <w:bCs/>
          <w:spacing w:val="15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19"/>
          <w:w w:val="101"/>
        </w:rPr>
        <w:t xml:space="preserve"> </w:t>
      </w:r>
      <w:r>
        <w:rPr>
          <w:b/>
          <w:bCs/>
          <w:spacing w:val="-1"/>
        </w:rPr>
        <w:t>safety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1"/>
        </w:rPr>
        <w:t>of large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LNG</w:t>
      </w:r>
      <w:r>
        <w:rPr>
          <w:b/>
          <w:bCs/>
          <w:spacing w:val="19"/>
          <w:w w:val="101"/>
        </w:rPr>
        <w:t xml:space="preserve"> </w:t>
      </w:r>
      <w:r>
        <w:rPr>
          <w:b/>
          <w:bCs/>
          <w:spacing w:val="-1"/>
        </w:rPr>
        <w:t>ships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1"/>
        </w:rPr>
        <w:t>entering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1"/>
        </w:rPr>
        <w:t>and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1"/>
        </w:rPr>
        <w:t>l</w:t>
      </w:r>
      <w:r>
        <w:rPr>
          <w:b/>
          <w:bCs/>
          <w:spacing w:val="-2"/>
        </w:rPr>
        <w:t>eaving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2"/>
        </w:rPr>
        <w:t>ports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-2"/>
        </w:rPr>
        <w:t>at</w:t>
      </w:r>
      <w:r>
        <w:rPr>
          <w:b/>
          <w:bCs/>
          <w:spacing w:val="15"/>
        </w:rPr>
        <w:t xml:space="preserve"> </w:t>
      </w:r>
      <w:r>
        <w:rPr>
          <w:b/>
          <w:bCs/>
          <w:spacing w:val="-2"/>
        </w:rPr>
        <w:t>night</w:t>
      </w:r>
      <w:r>
        <w:rPr>
          <w:b/>
          <w:bCs/>
          <w:spacing w:val="13"/>
          <w:w w:val="101"/>
        </w:rPr>
        <w:t xml:space="preserve"> </w:t>
      </w:r>
      <w:r>
        <w:rPr>
          <w:b/>
          <w:bCs/>
          <w:spacing w:val="-2"/>
        </w:rPr>
        <w:t>and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2"/>
        </w:rPr>
        <w:t>berth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-2"/>
        </w:rPr>
        <w:t>and</w:t>
      </w:r>
      <w:r>
        <w:rPr>
          <w:b/>
          <w:bCs/>
        </w:rPr>
        <w:t xml:space="preserve"> </w:t>
      </w:r>
      <w:r>
        <w:rPr>
          <w:b/>
          <w:bCs/>
          <w:spacing w:val="-2"/>
        </w:rPr>
        <w:t>improve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2"/>
        </w:rPr>
        <w:t>the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2"/>
        </w:rPr>
        <w:t>night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-2"/>
        </w:rPr>
        <w:t>navigation</w:t>
      </w:r>
      <w:r>
        <w:rPr>
          <w:b/>
          <w:bCs/>
          <w:spacing w:val="21"/>
          <w:w w:val="101"/>
        </w:rPr>
        <w:t xml:space="preserve"> </w:t>
      </w:r>
      <w:r>
        <w:rPr>
          <w:b/>
          <w:bCs/>
          <w:spacing w:val="-2"/>
        </w:rPr>
        <w:t>ca</w:t>
      </w:r>
      <w:r>
        <w:rPr>
          <w:b/>
          <w:bCs/>
          <w:spacing w:val="-3"/>
        </w:rPr>
        <w:t>pacity</w:t>
      </w:r>
      <w:r>
        <w:rPr>
          <w:b/>
          <w:bCs/>
          <w:spacing w:val="22"/>
        </w:rPr>
        <w:t xml:space="preserve"> </w:t>
      </w:r>
      <w:r>
        <w:rPr>
          <w:b/>
          <w:bCs/>
          <w:spacing w:val="-3"/>
        </w:rPr>
        <w:t>of LNG</w:t>
      </w:r>
      <w:r>
        <w:rPr>
          <w:b/>
          <w:bCs/>
          <w:spacing w:val="20"/>
          <w:w w:val="101"/>
        </w:rPr>
        <w:t xml:space="preserve"> </w:t>
      </w:r>
      <w:r>
        <w:rPr>
          <w:b/>
          <w:bCs/>
          <w:spacing w:val="-3"/>
        </w:rPr>
        <w:t>ships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3"/>
        </w:rPr>
        <w:t>in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3"/>
        </w:rPr>
        <w:t>the</w:t>
      </w:r>
      <w:r>
        <w:rPr>
          <w:b/>
          <w:bCs/>
          <w:spacing w:val="22"/>
        </w:rPr>
        <w:t xml:space="preserve"> </w:t>
      </w:r>
      <w:r>
        <w:rPr>
          <w:b/>
          <w:bCs/>
          <w:spacing w:val="-3"/>
        </w:rPr>
        <w:t>Beihai</w:t>
      </w:r>
      <w:r>
        <w:rPr>
          <w:b/>
          <w:bCs/>
          <w:spacing w:val="17"/>
          <w:w w:val="102"/>
        </w:rPr>
        <w:t xml:space="preserve"> </w:t>
      </w:r>
      <w:r>
        <w:rPr>
          <w:b/>
          <w:bCs/>
          <w:spacing w:val="-3"/>
        </w:rPr>
        <w:t>port,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3"/>
        </w:rPr>
        <w:t>this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3"/>
        </w:rPr>
        <w:t>paper</w:t>
      </w:r>
      <w:r>
        <w:rPr>
          <w:b/>
          <w:bCs/>
          <w:spacing w:val="21"/>
          <w:w w:val="101"/>
        </w:rPr>
        <w:t xml:space="preserve"> </w:t>
      </w:r>
      <w:r>
        <w:rPr>
          <w:b/>
          <w:bCs/>
          <w:spacing w:val="-3"/>
        </w:rPr>
        <w:t>constructs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3"/>
        </w:rPr>
        <w:t>a</w:t>
      </w:r>
      <w:r>
        <w:rPr>
          <w:b/>
          <w:bCs/>
          <w:spacing w:val="20"/>
          <w:w w:val="101"/>
        </w:rPr>
        <w:t xml:space="preserve"> </w:t>
      </w:r>
      <w:r>
        <w:rPr>
          <w:b/>
          <w:bCs/>
          <w:spacing w:val="-3"/>
        </w:rPr>
        <w:t>com-</w:t>
      </w:r>
      <w:r>
        <w:rPr>
          <w:b/>
          <w:bCs/>
        </w:rPr>
        <w:t xml:space="preserve"> </w:t>
      </w:r>
      <w:r>
        <w:rPr>
          <w:b/>
          <w:bCs/>
        </w:rPr>
        <w:t>prehensive</w:t>
      </w:r>
      <w:r>
        <w:rPr>
          <w:b/>
          <w:bCs/>
          <w:spacing w:val="15"/>
        </w:rPr>
        <w:t xml:space="preserve"> </w:t>
      </w:r>
      <w:r>
        <w:rPr>
          <w:b/>
          <w:bCs/>
        </w:rPr>
        <w:t>evaluation</w:t>
      </w:r>
      <w:r>
        <w:rPr>
          <w:b/>
          <w:bCs/>
          <w:spacing w:val="13"/>
          <w:w w:val="101"/>
        </w:rPr>
        <w:t xml:space="preserve"> </w:t>
      </w:r>
      <w:r>
        <w:rPr>
          <w:b/>
          <w:bCs/>
        </w:rPr>
        <w:t>model</w:t>
      </w:r>
      <w:r>
        <w:rPr>
          <w:b/>
          <w:bCs/>
          <w:spacing w:val="11"/>
          <w:w w:val="101"/>
        </w:rPr>
        <w:t xml:space="preserve"> </w:t>
      </w:r>
      <w:r>
        <w:rPr>
          <w:b/>
          <w:bCs/>
        </w:rPr>
        <w:t>and</w:t>
      </w:r>
      <w:r>
        <w:rPr>
          <w:b/>
          <w:bCs/>
          <w:spacing w:val="12"/>
          <w:w w:val="101"/>
        </w:rPr>
        <w:t xml:space="preserve"> </w:t>
      </w:r>
      <w:r>
        <w:rPr>
          <w:b/>
          <w:bCs/>
        </w:rPr>
        <w:t>a</w:t>
      </w:r>
      <w:r>
        <w:rPr>
          <w:b/>
          <w:bCs/>
          <w:spacing w:val="13"/>
        </w:rPr>
        <w:t xml:space="preserve"> </w:t>
      </w:r>
      <w:r>
        <w:rPr>
          <w:b/>
          <w:bCs/>
        </w:rPr>
        <w:t>n</w:t>
      </w:r>
      <w:r>
        <w:rPr>
          <w:b/>
          <w:bCs/>
          <w:spacing w:val="-1"/>
        </w:rPr>
        <w:t>ight</w:t>
      </w:r>
      <w:r>
        <w:rPr>
          <w:b/>
          <w:bCs/>
          <w:spacing w:val="11"/>
          <w:w w:val="101"/>
        </w:rPr>
        <w:t xml:space="preserve"> </w:t>
      </w:r>
      <w:r>
        <w:rPr>
          <w:b/>
          <w:bCs/>
          <w:spacing w:val="-1"/>
        </w:rPr>
        <w:t>navigation</w:t>
      </w:r>
      <w:r>
        <w:rPr>
          <w:b/>
          <w:bCs/>
          <w:spacing w:val="14"/>
          <w:w w:val="102"/>
        </w:rPr>
        <w:t xml:space="preserve"> </w:t>
      </w:r>
      <w:r>
        <w:rPr>
          <w:b/>
          <w:bCs/>
          <w:spacing w:val="-1"/>
        </w:rPr>
        <w:t>dynamics</w:t>
      </w:r>
      <w:r>
        <w:rPr>
          <w:b/>
          <w:bCs/>
          <w:spacing w:val="12"/>
          <w:w w:val="101"/>
        </w:rPr>
        <w:t xml:space="preserve"> </w:t>
      </w:r>
      <w:r>
        <w:rPr>
          <w:b/>
          <w:bCs/>
          <w:spacing w:val="-1"/>
        </w:rPr>
        <w:t>model to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>evaluate the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"/>
        </w:rPr>
        <w:t>night naviga-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tion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1"/>
        </w:rPr>
        <w:t>safety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of LNG</w:t>
      </w:r>
      <w:r>
        <w:rPr>
          <w:b/>
          <w:bCs/>
          <w:spacing w:val="19"/>
          <w:w w:val="101"/>
        </w:rPr>
        <w:t xml:space="preserve"> </w:t>
      </w:r>
      <w:r>
        <w:rPr>
          <w:b/>
          <w:bCs/>
          <w:spacing w:val="-1"/>
        </w:rPr>
        <w:t>ships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1"/>
        </w:rPr>
        <w:t>in</w:t>
      </w:r>
      <w:r>
        <w:rPr>
          <w:b/>
          <w:bCs/>
          <w:spacing w:val="15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21"/>
          <w:w w:val="101"/>
        </w:rPr>
        <w:t xml:space="preserve"> </w:t>
      </w:r>
      <w:r>
        <w:rPr>
          <w:b/>
          <w:bCs/>
          <w:spacing w:val="-1"/>
        </w:rPr>
        <w:t>North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Sea,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1"/>
        </w:rPr>
        <w:t>then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1"/>
        </w:rPr>
        <w:t>puts</w:t>
      </w:r>
      <w:r>
        <w:rPr>
          <w:b/>
          <w:bCs/>
          <w:spacing w:val="17"/>
          <w:w w:val="102"/>
        </w:rPr>
        <w:t xml:space="preserve"> </w:t>
      </w:r>
      <w:r>
        <w:rPr>
          <w:b/>
          <w:bCs/>
          <w:spacing w:val="-1"/>
        </w:rPr>
        <w:t>forward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1"/>
        </w:rPr>
        <w:t>berth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1"/>
        </w:rPr>
        <w:t>and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1"/>
        </w:rPr>
        <w:t>berth</w:t>
      </w:r>
      <w:r>
        <w:rPr>
          <w:b/>
          <w:bCs/>
          <w:spacing w:val="18"/>
          <w:w w:val="102"/>
        </w:rPr>
        <w:t xml:space="preserve"> </w:t>
      </w:r>
      <w:r>
        <w:rPr>
          <w:b/>
          <w:bCs/>
          <w:spacing w:val="-1"/>
        </w:rPr>
        <w:t>scheme</w:t>
      </w:r>
      <w:r>
        <w:rPr>
          <w:b/>
          <w:bCs/>
          <w:spacing w:val="-2"/>
        </w:rPr>
        <w:t>s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2"/>
        </w:rPr>
        <w:t>and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2"/>
        </w:rPr>
        <w:t>restric-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ti</w:t>
      </w:r>
      <w:r>
        <w:rPr>
          <w:b/>
          <w:bCs/>
        </w:rPr>
        <w:t>ons,</w:t>
      </w:r>
      <w:r>
        <w:rPr>
          <w:b/>
          <w:bCs/>
          <w:spacing w:val="22"/>
        </w:rPr>
        <w:t xml:space="preserve"> </w:t>
      </w:r>
      <w:r>
        <w:rPr>
          <w:b/>
          <w:bCs/>
        </w:rPr>
        <w:t>and</w:t>
      </w:r>
      <w:r>
        <w:rPr>
          <w:b/>
          <w:bCs/>
          <w:spacing w:val="22"/>
          <w:w w:val="101"/>
        </w:rPr>
        <w:t xml:space="preserve"> </w:t>
      </w:r>
      <w:r>
        <w:rPr>
          <w:b/>
          <w:bCs/>
        </w:rPr>
        <w:t>finally</w:t>
      </w:r>
      <w:r>
        <w:rPr>
          <w:b/>
          <w:bCs/>
          <w:spacing w:val="24"/>
          <w:w w:val="101"/>
        </w:rPr>
        <w:t xml:space="preserve"> </w:t>
      </w:r>
      <w:r>
        <w:rPr>
          <w:b/>
          <w:bCs/>
        </w:rPr>
        <w:t>conducts</w:t>
      </w:r>
      <w:r>
        <w:rPr>
          <w:b/>
          <w:bCs/>
          <w:spacing w:val="23"/>
        </w:rPr>
        <w:t xml:space="preserve"> </w:t>
      </w:r>
      <w:r>
        <w:rPr>
          <w:b/>
          <w:bCs/>
        </w:rPr>
        <w:t>shi</w:t>
      </w:r>
      <w:r>
        <w:rPr>
          <w:b/>
          <w:bCs/>
          <w:spacing w:val="-1"/>
        </w:rPr>
        <w:t>p</w:t>
      </w:r>
      <w:r>
        <w:rPr>
          <w:b/>
          <w:bCs/>
          <w:spacing w:val="23"/>
        </w:rPr>
        <w:t xml:space="preserve"> </w:t>
      </w:r>
      <w:r>
        <w:rPr>
          <w:b/>
          <w:bCs/>
          <w:spacing w:val="-1"/>
        </w:rPr>
        <w:t>simulation</w:t>
      </w:r>
      <w:r>
        <w:rPr>
          <w:b/>
          <w:bCs/>
          <w:spacing w:val="19"/>
          <w:w w:val="102"/>
        </w:rPr>
        <w:t xml:space="preserve"> </w:t>
      </w:r>
      <w:r>
        <w:rPr>
          <w:b/>
          <w:bCs/>
          <w:spacing w:val="-1"/>
        </w:rPr>
        <w:t>tests.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1"/>
        </w:rPr>
        <w:t>According</w:t>
      </w:r>
      <w:r>
        <w:rPr>
          <w:b/>
          <w:bCs/>
          <w:spacing w:val="19"/>
          <w:w w:val="102"/>
        </w:rPr>
        <w:t xml:space="preserve"> </w:t>
      </w:r>
      <w:r>
        <w:rPr>
          <w:b/>
          <w:bCs/>
          <w:spacing w:val="-1"/>
        </w:rPr>
        <w:t>to</w:t>
      </w:r>
      <w:r>
        <w:rPr>
          <w:b/>
          <w:bCs/>
          <w:spacing w:val="18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21"/>
        </w:rPr>
        <w:t xml:space="preserve"> </w:t>
      </w:r>
      <w:r>
        <w:rPr>
          <w:b/>
          <w:bCs/>
          <w:spacing w:val="-1"/>
        </w:rPr>
        <w:t>assessment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1"/>
        </w:rPr>
        <w:t>results</w:t>
      </w:r>
      <w:r>
        <w:rPr>
          <w:b/>
          <w:bCs/>
          <w:spacing w:val="25"/>
          <w:w w:val="101"/>
        </w:rPr>
        <w:t xml:space="preserve"> </w:t>
      </w:r>
      <w:r>
        <w:rPr>
          <w:b/>
          <w:bCs/>
          <w:spacing w:val="-1"/>
        </w:rPr>
        <w:t>of the</w:t>
      </w:r>
      <w:r>
        <w:rPr>
          <w:b/>
          <w:bCs/>
          <w:spacing w:val="23"/>
          <w:w w:val="101"/>
        </w:rPr>
        <w:t xml:space="preserve"> </w:t>
      </w:r>
      <w:r>
        <w:rPr>
          <w:b/>
          <w:bCs/>
          <w:spacing w:val="-1"/>
        </w:rPr>
        <w:t>nigh</w:t>
      </w:r>
      <w:r>
        <w:rPr>
          <w:b/>
          <w:bCs/>
          <w:spacing w:val="1"/>
        </w:rPr>
        <w:t>t</w:t>
      </w:r>
      <w:r>
        <w:rPr>
          <w:b/>
          <w:bCs/>
        </w:rPr>
        <w:t xml:space="preserve"> </w:t>
      </w:r>
      <w:r>
        <w:rPr>
          <w:b/>
          <w:bCs/>
          <w:spacing w:val="-2"/>
        </w:rPr>
        <w:t>nav</w:t>
      </w:r>
      <w:r>
        <w:rPr>
          <w:b/>
          <w:bCs/>
          <w:spacing w:val="-1"/>
        </w:rPr>
        <w:t>igation</w:t>
      </w:r>
      <w:r>
        <w:rPr>
          <w:b/>
          <w:bCs/>
          <w:spacing w:val="40"/>
          <w:w w:val="101"/>
        </w:rPr>
        <w:t xml:space="preserve"> </w:t>
      </w:r>
      <w:r>
        <w:rPr>
          <w:b/>
          <w:bCs/>
          <w:spacing w:val="-1"/>
        </w:rPr>
        <w:t>environment,</w:t>
      </w:r>
      <w:r>
        <w:rPr>
          <w:b/>
          <w:bCs/>
          <w:spacing w:val="34"/>
          <w:w w:val="101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41"/>
        </w:rPr>
        <w:t xml:space="preserve"> </w:t>
      </w:r>
      <w:r>
        <w:rPr>
          <w:b/>
          <w:bCs/>
          <w:spacing w:val="-1"/>
        </w:rPr>
        <w:t>North</w:t>
      </w:r>
      <w:r>
        <w:rPr>
          <w:b/>
          <w:bCs/>
          <w:spacing w:val="40"/>
        </w:rPr>
        <w:t xml:space="preserve"> </w:t>
      </w:r>
      <w:r>
        <w:rPr>
          <w:b/>
          <w:bCs/>
          <w:spacing w:val="-1"/>
        </w:rPr>
        <w:t>Sea</w:t>
      </w:r>
      <w:r>
        <w:rPr>
          <w:b/>
          <w:bCs/>
          <w:spacing w:val="41"/>
          <w:w w:val="101"/>
        </w:rPr>
        <w:t xml:space="preserve"> </w:t>
      </w:r>
      <w:r>
        <w:rPr>
          <w:b/>
          <w:bCs/>
          <w:spacing w:val="-1"/>
        </w:rPr>
        <w:t>LNG</w:t>
      </w:r>
      <w:r>
        <w:rPr>
          <w:b/>
          <w:bCs/>
          <w:spacing w:val="36"/>
          <w:w w:val="101"/>
        </w:rPr>
        <w:t xml:space="preserve"> </w:t>
      </w:r>
      <w:r>
        <w:rPr>
          <w:b/>
          <w:bCs/>
          <w:spacing w:val="-1"/>
        </w:rPr>
        <w:t>terminal</w:t>
      </w:r>
      <w:r>
        <w:rPr>
          <w:b/>
          <w:bCs/>
          <w:spacing w:val="38"/>
        </w:rPr>
        <w:t xml:space="preserve"> </w:t>
      </w:r>
      <w:r>
        <w:rPr>
          <w:b/>
          <w:bCs/>
          <w:spacing w:val="-1"/>
        </w:rPr>
        <w:t>has</w:t>
      </w:r>
      <w:r>
        <w:rPr>
          <w:b/>
          <w:bCs/>
          <w:spacing w:val="35"/>
          <w:w w:val="101"/>
        </w:rPr>
        <w:t xml:space="preserve"> </w:t>
      </w:r>
      <w:r>
        <w:rPr>
          <w:b/>
          <w:bCs/>
          <w:spacing w:val="-1"/>
        </w:rPr>
        <w:t>good</w:t>
      </w:r>
      <w:r>
        <w:rPr>
          <w:b/>
          <w:bCs/>
          <w:spacing w:val="39"/>
          <w:w w:val="101"/>
        </w:rPr>
        <w:t xml:space="preserve"> </w:t>
      </w:r>
      <w:r>
        <w:rPr>
          <w:b/>
          <w:bCs/>
          <w:spacing w:val="-1"/>
        </w:rPr>
        <w:t>intrinsic</w:t>
      </w:r>
      <w:r>
        <w:rPr>
          <w:b/>
          <w:bCs/>
          <w:spacing w:val="40"/>
        </w:rPr>
        <w:t xml:space="preserve"> </w:t>
      </w:r>
      <w:r>
        <w:rPr>
          <w:b/>
          <w:bCs/>
          <w:spacing w:val="-1"/>
        </w:rPr>
        <w:t>safety.</w:t>
      </w:r>
      <w:r>
        <w:rPr>
          <w:b/>
          <w:bCs/>
          <w:spacing w:val="40"/>
          <w:w w:val="101"/>
        </w:rPr>
        <w:t xml:space="preserve"> </w:t>
      </w:r>
      <w:r>
        <w:rPr>
          <w:b/>
          <w:bCs/>
          <w:spacing w:val="-1"/>
        </w:rPr>
        <w:t>Tests</w:t>
      </w:r>
      <w:r>
        <w:rPr>
          <w:b/>
          <w:bCs/>
          <w:spacing w:val="39"/>
          <w:w w:val="102"/>
        </w:rPr>
        <w:t xml:space="preserve"> </w:t>
      </w:r>
      <w:r>
        <w:rPr>
          <w:b/>
          <w:bCs/>
          <w:spacing w:val="-1"/>
        </w:rPr>
        <w:t>sho</w:t>
      </w:r>
      <w:r>
        <w:rPr>
          <w:b/>
          <w:bCs/>
          <w:spacing w:val="-2"/>
        </w:rPr>
        <w:t>w</w:t>
      </w:r>
      <w:r>
        <w:rPr>
          <w:b/>
          <w:bCs/>
          <w:spacing w:val="36"/>
        </w:rPr>
        <w:t xml:space="preserve"> </w:t>
      </w:r>
      <w:r>
        <w:rPr>
          <w:b/>
          <w:bCs/>
          <w:spacing w:val="-2"/>
        </w:rPr>
        <w:t>tha</w:t>
      </w:r>
      <w:r>
        <w:rPr>
          <w:b/>
          <w:bCs/>
          <w:spacing w:val="1"/>
        </w:rPr>
        <w:t>t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266,000</w:t>
      </w:r>
      <w:r>
        <w:rPr>
          <w:b/>
          <w:bCs/>
          <w:spacing w:val="29"/>
          <w:w w:val="101"/>
        </w:rPr>
        <w:t xml:space="preserve"> </w:t>
      </w:r>
      <w:r>
        <w:rPr>
          <w:b/>
          <w:bCs/>
          <w:spacing w:val="-1"/>
        </w:rPr>
        <w:t>m</w:t>
      </w:r>
      <w:r>
        <w:rPr>
          <w:b/>
          <w:bCs/>
          <w:spacing w:val="-1"/>
          <w:position w:val="4"/>
          <w:sz w:val="12"/>
          <w:szCs w:val="12"/>
        </w:rPr>
        <w:t>3</w:t>
      </w:r>
      <w:r>
        <w:rPr>
          <w:b/>
          <w:bCs/>
          <w:spacing w:val="11"/>
          <w:w w:val="101"/>
          <w:position w:val="4"/>
          <w:sz w:val="12"/>
          <w:szCs w:val="12"/>
        </w:rPr>
        <w:t xml:space="preserve">  </w:t>
      </w:r>
      <w:r>
        <w:rPr>
          <w:b/>
          <w:bCs/>
          <w:spacing w:val="-1"/>
        </w:rPr>
        <w:t>LNG</w:t>
      </w:r>
      <w:r>
        <w:rPr>
          <w:b/>
          <w:bCs/>
          <w:spacing w:val="31"/>
          <w:w w:val="101"/>
        </w:rPr>
        <w:t xml:space="preserve"> </w:t>
      </w:r>
      <w:r>
        <w:rPr>
          <w:b/>
          <w:bCs/>
          <w:spacing w:val="-1"/>
        </w:rPr>
        <w:t>ships,</w:t>
      </w:r>
      <w:r>
        <w:rPr>
          <w:b/>
          <w:bCs/>
          <w:spacing w:val="32"/>
          <w:w w:val="102"/>
        </w:rPr>
        <w:t xml:space="preserve"> </w:t>
      </w:r>
      <w:r>
        <w:rPr>
          <w:b/>
          <w:bCs/>
          <w:spacing w:val="-1"/>
        </w:rPr>
        <w:t>215,000</w:t>
      </w:r>
      <w:r>
        <w:rPr>
          <w:b/>
          <w:bCs/>
          <w:spacing w:val="30"/>
          <w:w w:val="101"/>
        </w:rPr>
        <w:t xml:space="preserve"> </w:t>
      </w:r>
      <w:r>
        <w:rPr>
          <w:b/>
          <w:bCs/>
          <w:spacing w:val="-1"/>
        </w:rPr>
        <w:t>m</w:t>
      </w:r>
      <w:r>
        <w:rPr>
          <w:b/>
          <w:bCs/>
          <w:spacing w:val="-1"/>
          <w:position w:val="4"/>
          <w:sz w:val="12"/>
          <w:szCs w:val="12"/>
        </w:rPr>
        <w:t>3</w:t>
      </w:r>
      <w:r>
        <w:rPr>
          <w:b/>
          <w:bCs/>
          <w:spacing w:val="11"/>
          <w:w w:val="101"/>
          <w:position w:val="4"/>
          <w:sz w:val="12"/>
          <w:szCs w:val="12"/>
        </w:rPr>
        <w:t xml:space="preserve">  </w:t>
      </w:r>
      <w:r>
        <w:rPr>
          <w:b/>
          <w:bCs/>
          <w:spacing w:val="-1"/>
        </w:rPr>
        <w:t>LNG</w:t>
      </w:r>
      <w:r>
        <w:rPr>
          <w:b/>
          <w:bCs/>
          <w:spacing w:val="31"/>
          <w:w w:val="101"/>
        </w:rPr>
        <w:t xml:space="preserve"> </w:t>
      </w:r>
      <w:r>
        <w:rPr>
          <w:b/>
          <w:bCs/>
          <w:spacing w:val="-2"/>
        </w:rPr>
        <w:t>ships,</w:t>
      </w:r>
      <w:r>
        <w:rPr>
          <w:b/>
          <w:bCs/>
          <w:spacing w:val="29"/>
        </w:rPr>
        <w:t xml:space="preserve"> </w:t>
      </w:r>
      <w:r>
        <w:rPr>
          <w:b/>
          <w:bCs/>
          <w:spacing w:val="-2"/>
        </w:rPr>
        <w:t>and</w:t>
      </w:r>
      <w:r>
        <w:rPr>
          <w:b/>
          <w:bCs/>
          <w:spacing w:val="39"/>
        </w:rPr>
        <w:t xml:space="preserve"> </w:t>
      </w:r>
      <w:r>
        <w:rPr>
          <w:b/>
          <w:bCs/>
          <w:spacing w:val="-2"/>
        </w:rPr>
        <w:t>175,000</w:t>
      </w:r>
      <w:r>
        <w:rPr>
          <w:b/>
          <w:bCs/>
          <w:spacing w:val="30"/>
          <w:w w:val="101"/>
        </w:rPr>
        <w:t xml:space="preserve"> </w:t>
      </w:r>
      <w:r>
        <w:rPr>
          <w:b/>
          <w:bCs/>
          <w:spacing w:val="-2"/>
        </w:rPr>
        <w:t>m</w:t>
      </w:r>
      <w:r>
        <w:rPr>
          <w:b/>
          <w:bCs/>
          <w:spacing w:val="-2"/>
          <w:position w:val="4"/>
          <w:sz w:val="12"/>
          <w:szCs w:val="12"/>
        </w:rPr>
        <w:t>3</w:t>
      </w:r>
      <w:r>
        <w:rPr>
          <w:b/>
          <w:bCs/>
          <w:spacing w:val="11"/>
          <w:w w:val="103"/>
          <w:position w:val="4"/>
          <w:sz w:val="12"/>
          <w:szCs w:val="12"/>
        </w:rPr>
        <w:t xml:space="preserve">  </w:t>
      </w:r>
      <w:r>
        <w:rPr>
          <w:b/>
          <w:bCs/>
          <w:spacing w:val="-2"/>
        </w:rPr>
        <w:t>LNG</w:t>
      </w:r>
      <w:r>
        <w:rPr>
          <w:b/>
          <w:bCs/>
          <w:spacing w:val="31"/>
          <w:w w:val="101"/>
        </w:rPr>
        <w:t xml:space="preserve"> </w:t>
      </w:r>
      <w:r>
        <w:rPr>
          <w:b/>
          <w:bCs/>
          <w:spacing w:val="-2"/>
        </w:rPr>
        <w:t>ships</w:t>
      </w:r>
      <w:r>
        <w:rPr>
          <w:b/>
          <w:bCs/>
          <w:spacing w:val="28"/>
        </w:rPr>
        <w:t xml:space="preserve"> </w:t>
      </w:r>
      <w:r>
        <w:rPr>
          <w:b/>
          <w:bCs/>
          <w:spacing w:val="-2"/>
        </w:rPr>
        <w:t>at</w:t>
      </w:r>
      <w:r>
        <w:rPr>
          <w:b/>
          <w:bCs/>
          <w:spacing w:val="24"/>
          <w:w w:val="101"/>
        </w:rPr>
        <w:t xml:space="preserve"> </w:t>
      </w:r>
      <w:r>
        <w:rPr>
          <w:b/>
          <w:bCs/>
          <w:spacing w:val="-2"/>
        </w:rPr>
        <w:t>the</w:t>
      </w:r>
      <w:r>
        <w:rPr>
          <w:b/>
          <w:bCs/>
          <w:spacing w:val="33"/>
        </w:rPr>
        <w:t xml:space="preserve"> </w:t>
      </w:r>
      <w:r>
        <w:rPr>
          <w:b/>
          <w:bCs/>
          <w:spacing w:val="-2"/>
        </w:rPr>
        <w:t>LNG</w:t>
      </w:r>
      <w:r>
        <w:rPr>
          <w:b/>
          <w:bCs/>
          <w:spacing w:val="27"/>
        </w:rPr>
        <w:t xml:space="preserve"> </w:t>
      </w:r>
      <w:r>
        <w:rPr>
          <w:b/>
          <w:bCs/>
          <w:spacing w:val="-2"/>
        </w:rPr>
        <w:t>terminal</w:t>
      </w:r>
      <w:r>
        <w:rPr>
          <w:b/>
          <w:bCs/>
          <w:spacing w:val="29"/>
          <w:w w:val="101"/>
        </w:rPr>
        <w:t xml:space="preserve"> </w:t>
      </w:r>
      <w:r>
        <w:rPr>
          <w:b/>
          <w:bCs/>
          <w:spacing w:val="-2"/>
        </w:rPr>
        <w:t>in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Tieshan</w:t>
      </w:r>
      <w:r>
        <w:rPr>
          <w:b/>
          <w:bCs/>
          <w:spacing w:val="34"/>
          <w:w w:val="101"/>
        </w:rPr>
        <w:t xml:space="preserve"> </w:t>
      </w:r>
      <w:r>
        <w:rPr>
          <w:b/>
          <w:bCs/>
          <w:spacing w:val="-1"/>
        </w:rPr>
        <w:t>Port Area</w:t>
      </w:r>
      <w:r>
        <w:rPr>
          <w:b/>
          <w:bCs/>
          <w:spacing w:val="22"/>
        </w:rPr>
        <w:t xml:space="preserve"> </w:t>
      </w:r>
      <w:r>
        <w:rPr>
          <w:b/>
          <w:bCs/>
          <w:spacing w:val="-1"/>
        </w:rPr>
        <w:t>of Beihai</w:t>
      </w:r>
      <w:r>
        <w:rPr>
          <w:b/>
          <w:bCs/>
          <w:spacing w:val="23"/>
          <w:w w:val="101"/>
        </w:rPr>
        <w:t xml:space="preserve"> </w:t>
      </w:r>
      <w:r>
        <w:rPr>
          <w:b/>
          <w:bCs/>
          <w:spacing w:val="-1"/>
        </w:rPr>
        <w:t>Port</w:t>
      </w:r>
      <w:r>
        <w:rPr>
          <w:b/>
          <w:bCs/>
          <w:spacing w:val="18"/>
          <w:w w:val="102"/>
        </w:rPr>
        <w:t xml:space="preserve"> </w:t>
      </w:r>
      <w:r>
        <w:rPr>
          <w:b/>
          <w:bCs/>
          <w:spacing w:val="-1"/>
        </w:rPr>
        <w:t>in</w:t>
      </w:r>
      <w:r>
        <w:rPr>
          <w:b/>
          <w:bCs/>
          <w:spacing w:val="23"/>
          <w:w w:val="101"/>
        </w:rPr>
        <w:t xml:space="preserve"> </w:t>
      </w:r>
      <w:r>
        <w:rPr>
          <w:b/>
          <w:bCs/>
          <w:spacing w:val="-1"/>
        </w:rPr>
        <w:t>Guangxi</w:t>
      </w:r>
      <w:r>
        <w:rPr>
          <w:b/>
          <w:bCs/>
          <w:spacing w:val="23"/>
        </w:rPr>
        <w:t xml:space="preserve"> </w:t>
      </w:r>
      <w:r>
        <w:rPr>
          <w:b/>
          <w:bCs/>
          <w:spacing w:val="-1"/>
        </w:rPr>
        <w:t>can</w:t>
      </w:r>
      <w:r>
        <w:rPr>
          <w:b/>
          <w:bCs/>
          <w:spacing w:val="20"/>
          <w:w w:val="101"/>
        </w:rPr>
        <w:t xml:space="preserve"> </w:t>
      </w:r>
      <w:r>
        <w:rPr>
          <w:b/>
          <w:bCs/>
          <w:spacing w:val="-1"/>
        </w:rPr>
        <w:t>safely</w:t>
      </w:r>
      <w:r>
        <w:rPr>
          <w:b/>
          <w:bCs/>
          <w:spacing w:val="22"/>
        </w:rPr>
        <w:t xml:space="preserve"> </w:t>
      </w:r>
      <w:r>
        <w:rPr>
          <w:b/>
          <w:bCs/>
          <w:spacing w:val="-1"/>
        </w:rPr>
        <w:t>complete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night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-1"/>
        </w:rPr>
        <w:t>navigation,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full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1"/>
        </w:rPr>
        <w:t>load</w:t>
      </w:r>
      <w:r>
        <w:rPr>
          <w:b/>
          <w:bCs/>
          <w:spacing w:val="18"/>
        </w:rPr>
        <w:t xml:space="preserve"> </w:t>
      </w:r>
      <w:r>
        <w:rPr>
          <w:b/>
          <w:bCs/>
          <w:spacing w:val="-1"/>
        </w:rPr>
        <w:t>berth-</w:t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60" w:line="268" w:lineRule="exact"/>
        <w:ind w:left="601"/>
        <w:rPr>
          <w:rFonts w:ascii="Calibri" w:eastAsia="Calibri" w:hAnsi="Calibri" w:cs="Calibri"/>
          <w:sz w:val="18"/>
          <w:szCs w:val="18"/>
        </w:rPr>
      </w:pPr>
      <w:r>
        <w:rPr>
          <w:rFonts w:ascii="SimSun" w:eastAsia="SimSun" w:hAnsi="SimSun" w:cs="SimSun"/>
          <w:color w:val="943634"/>
          <w:spacing w:val="-1"/>
          <w:position w:val="4"/>
          <w:sz w:val="18"/>
          <w:szCs w:val="18"/>
          <w14:textOutline w14:w="3263">
            <w14:solidFill>
              <w14:srgbClr w14:val="943634"/>
            </w14:solidFill>
            <w14:prstDash w14:val="solid"/>
            <w14:miter w14:lim="10"/>
          </w14:textOutline>
        </w:rPr>
        <w:t>文章引用</w:t>
      </w:r>
      <w:r>
        <w:rPr>
          <w:rFonts w:ascii="Calibri" w:eastAsia="Calibri" w:hAnsi="Calibri" w:cs="Calibri"/>
          <w:b/>
          <w:bCs/>
          <w:color w:val="943634"/>
          <w:spacing w:val="-1"/>
          <w:position w:val="4"/>
          <w:sz w:val="18"/>
          <w:szCs w:val="18"/>
        </w:rPr>
        <w:t xml:space="preserve">:  </w:t>
      </w:r>
      <w:r>
        <w:rPr>
          <w:rFonts w:ascii="SimSun" w:eastAsia="SimSun" w:hAnsi="SimSun" w:cs="SimSun"/>
          <w:spacing w:val="-1"/>
          <w:position w:val="4"/>
          <w:sz w:val="18"/>
          <w:szCs w:val="18"/>
        </w:rPr>
        <w:t>刘志辉</w:t>
      </w:r>
      <w:r>
        <w:rPr>
          <w:rFonts w:ascii="Calibri" w:eastAsia="Calibri" w:hAnsi="Calibri" w:cs="Calibri"/>
          <w:spacing w:val="-1"/>
          <w:position w:val="4"/>
          <w:sz w:val="18"/>
          <w:szCs w:val="18"/>
        </w:rPr>
        <w:t>.</w:t>
      </w:r>
      <w:r>
        <w:rPr>
          <w:rFonts w:ascii="Calibri" w:eastAsia="Calibri" w:hAnsi="Calibri" w:cs="Calibri"/>
          <w:spacing w:val="27"/>
          <w:w w:val="101"/>
          <w:position w:val="4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position w:val="4"/>
          <w:sz w:val="18"/>
          <w:szCs w:val="18"/>
        </w:rPr>
        <w:t>LNG</w:t>
      </w:r>
      <w:r>
        <w:rPr>
          <w:rFonts w:ascii="Calibri" w:eastAsia="Calibri" w:hAnsi="Calibri" w:cs="Calibri"/>
          <w:spacing w:val="11"/>
          <w:position w:val="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"/>
          <w:position w:val="4"/>
          <w:sz w:val="18"/>
          <w:szCs w:val="18"/>
        </w:rPr>
        <w:t>船舶夜间通航安全性的仿真研究</w:t>
      </w:r>
      <w:r>
        <w:rPr>
          <w:rFonts w:ascii="Calibri" w:eastAsia="Calibri" w:hAnsi="Calibri" w:cs="Calibri"/>
          <w:spacing w:val="-1"/>
          <w:position w:val="4"/>
          <w:sz w:val="18"/>
          <w:szCs w:val="18"/>
        </w:rPr>
        <w:t xml:space="preserve">[J].  </w:t>
      </w:r>
      <w:r>
        <w:rPr>
          <w:rFonts w:ascii="SimSun" w:eastAsia="SimSun" w:hAnsi="SimSun" w:cs="SimSun"/>
          <w:spacing w:val="-1"/>
          <w:position w:val="4"/>
          <w:sz w:val="18"/>
          <w:szCs w:val="18"/>
        </w:rPr>
        <w:t>交通技术</w:t>
      </w:r>
      <w:r>
        <w:rPr>
          <w:rFonts w:ascii="Calibri" w:eastAsia="Calibri" w:hAnsi="Calibri" w:cs="Calibri"/>
          <w:spacing w:val="-1"/>
          <w:position w:val="4"/>
          <w:sz w:val="18"/>
          <w:szCs w:val="18"/>
        </w:rPr>
        <w:t>,</w:t>
      </w:r>
      <w:r>
        <w:rPr>
          <w:rFonts w:ascii="Calibri" w:eastAsia="Calibri" w:hAnsi="Calibri" w:cs="Calibri"/>
          <w:spacing w:val="10"/>
          <w:position w:val="4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position w:val="4"/>
          <w:sz w:val="18"/>
          <w:szCs w:val="18"/>
        </w:rPr>
        <w:t>2023,</w:t>
      </w:r>
      <w:r>
        <w:rPr>
          <w:rFonts w:ascii="Calibri" w:eastAsia="Calibri" w:hAnsi="Calibri" w:cs="Calibri"/>
          <w:spacing w:val="15"/>
          <w:w w:val="102"/>
          <w:position w:val="4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position w:val="4"/>
          <w:sz w:val="18"/>
          <w:szCs w:val="18"/>
        </w:rPr>
        <w:t>12(4):</w:t>
      </w:r>
      <w:r>
        <w:rPr>
          <w:rFonts w:ascii="Calibri" w:eastAsia="Calibri" w:hAnsi="Calibri" w:cs="Calibri"/>
          <w:spacing w:val="9"/>
          <w:position w:val="4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position w:val="4"/>
          <w:sz w:val="18"/>
          <w:szCs w:val="18"/>
        </w:rPr>
        <w:t>322-335.</w:t>
      </w:r>
    </w:p>
    <w:p>
      <w:pPr>
        <w:spacing w:before="1" w:line="193" w:lineRule="auto"/>
        <w:ind w:left="608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943634"/>
          <w:sz w:val="18"/>
          <w:szCs w:val="18"/>
        </w:rPr>
        <w:t>DOI</w:t>
      </w:r>
      <w:r>
        <w:rPr>
          <w:rFonts w:ascii="Calibri" w:eastAsia="Calibri" w:hAnsi="Calibri" w:cs="Calibri"/>
          <w:color w:val="943634"/>
          <w:spacing w:val="1"/>
          <w:sz w:val="18"/>
          <w:szCs w:val="18"/>
        </w:rPr>
        <w:t>:</w:t>
      </w:r>
      <w:hyperlink r:id="rId7" w:history="1">
        <w:r>
          <w:rPr>
            <w:rFonts w:ascii="Calibri" w:eastAsia="Calibri" w:hAnsi="Calibri" w:cs="Calibri"/>
            <w:color w:val="943634"/>
            <w:spacing w:val="1"/>
            <w:sz w:val="18"/>
            <w:szCs w:val="18"/>
          </w:rPr>
          <w:t>10.12677/</w:t>
        </w:r>
        <w:r>
          <w:rPr>
            <w:rFonts w:ascii="Calibri" w:eastAsia="Calibri" w:hAnsi="Calibri" w:cs="Calibri"/>
            <w:color w:val="943634"/>
            <w:sz w:val="18"/>
            <w:szCs w:val="18"/>
          </w:rPr>
          <w:t>ojtt</w:t>
        </w:r>
        <w:r>
          <w:rPr>
            <w:rFonts w:ascii="Calibri" w:eastAsia="Calibri" w:hAnsi="Calibri" w:cs="Calibri"/>
            <w:color w:val="943634"/>
            <w:spacing w:val="1"/>
            <w:sz w:val="18"/>
            <w:szCs w:val="18"/>
          </w:rPr>
          <w:t>.2023.124036</w:t>
        </w:r>
      </w:hyperlink>
    </w:p>
    <w:p>
      <w:pPr>
        <w:spacing w:line="193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8" w:h="16161"/>
          <w:pgMar w:top="1093" w:right="1132" w:bottom="0" w:left="1141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175" w:line="189" w:lineRule="auto"/>
        <w:ind w:left="623"/>
      </w:pPr>
      <w:r>
        <w:rPr>
          <w:b/>
          <w:bCs/>
        </w:rPr>
        <w:t xml:space="preserve">ing, and ballast deberthing under </w:t>
      </w:r>
      <w:r>
        <w:rPr>
          <w:b/>
          <w:bCs/>
          <w:spacing w:val="-1"/>
        </w:rPr>
        <w:t>limited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1"/>
        </w:rPr>
        <w:t>conditions.</w:t>
      </w:r>
    </w:p>
    <w:p>
      <w:pPr>
        <w:pStyle w:val="BodyText"/>
        <w:spacing w:before="294" w:line="188" w:lineRule="auto"/>
        <w:ind w:left="627"/>
        <w:outlineLvl w:val="0"/>
        <w:rPr>
          <w:sz w:val="24"/>
          <w:szCs w:val="24"/>
        </w:rPr>
      </w:pPr>
      <w:r>
        <w:rPr>
          <w:b/>
          <w:bCs/>
          <w:color w:val="943634"/>
          <w:spacing w:val="-2"/>
          <w:sz w:val="24"/>
          <w:szCs w:val="24"/>
        </w:rPr>
        <w:t>Keywords</w:t>
      </w:r>
    </w:p>
    <w:p>
      <w:pPr>
        <w:pStyle w:val="BodyText"/>
        <w:spacing w:before="170" w:line="189" w:lineRule="auto"/>
        <w:ind w:left="625"/>
      </w:pPr>
      <w:r>
        <w:rPr>
          <w:b/>
          <w:bCs/>
        </w:rPr>
        <w:t xml:space="preserve">LNG, Safety of Navigation, A Night Voyage, Ship </w:t>
      </w:r>
      <w:r>
        <w:rPr>
          <w:b/>
          <w:bCs/>
          <w:spacing w:val="-1"/>
        </w:rPr>
        <w:t>Simulation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39" w:lineRule="exact"/>
        <w:ind w:firstLine="595"/>
      </w:pPr>
      <w:r>
        <w:drawing>
          <wp:inline distT="0" distB="0" distL="0" distR="0">
            <wp:extent cx="5745479" cy="2488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45479" cy="2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4" w:line="250" w:lineRule="exact"/>
        <w:ind w:left="625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Copyright</w:t>
      </w:r>
      <w:r>
        <w:rPr>
          <w:rFonts w:ascii="Calibri" w:eastAsia="Calibri" w:hAnsi="Calibri" w:cs="Calibri"/>
          <w:spacing w:val="32"/>
          <w:positio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©</w:t>
      </w:r>
      <w:r>
        <w:rPr>
          <w:rFonts w:ascii="Calibri" w:eastAsia="Calibri" w:hAnsi="Calibri" w:cs="Calibri"/>
          <w:spacing w:val="10"/>
          <w:positio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2023</w:t>
      </w:r>
      <w:r>
        <w:rPr>
          <w:rFonts w:ascii="Calibri" w:eastAsia="Calibri" w:hAnsi="Calibri" w:cs="Calibri"/>
          <w:spacing w:val="16"/>
          <w:positio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by</w:t>
      </w:r>
      <w:r>
        <w:rPr>
          <w:rFonts w:ascii="Calibri" w:eastAsia="Calibri" w:hAnsi="Calibri" w:cs="Calibri"/>
          <w:spacing w:val="10"/>
          <w:positio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author(s)</w:t>
      </w:r>
      <w:r>
        <w:rPr>
          <w:rFonts w:ascii="Calibri" w:eastAsia="Calibri" w:hAnsi="Calibri" w:cs="Calibri"/>
          <w:spacing w:val="10"/>
          <w:positio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and</w:t>
      </w:r>
      <w:r>
        <w:rPr>
          <w:rFonts w:ascii="Calibri" w:eastAsia="Calibri" w:hAnsi="Calibri" w:cs="Calibri"/>
          <w:spacing w:val="17"/>
          <w:w w:val="101"/>
          <w:positio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Hans</w:t>
      </w:r>
      <w:r>
        <w:rPr>
          <w:rFonts w:ascii="Calibri" w:eastAsia="Calibri" w:hAnsi="Calibri" w:cs="Calibri"/>
          <w:spacing w:val="16"/>
          <w:w w:val="102"/>
          <w:positio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Publishers</w:t>
      </w:r>
      <w:r>
        <w:rPr>
          <w:rFonts w:ascii="Calibri" w:eastAsia="Calibri" w:hAnsi="Calibri" w:cs="Calibri"/>
          <w:spacing w:val="17"/>
          <w:positio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position w:val="2"/>
          <w:sz w:val="20"/>
          <w:szCs w:val="20"/>
        </w:rPr>
        <w:t>Inc.</w:t>
      </w:r>
    </w:p>
    <w:p>
      <w:pPr>
        <w:ind w:left="618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pacing w:val="-1"/>
          <w:sz w:val="20"/>
          <w:szCs w:val="20"/>
        </w:rPr>
        <w:t>This work</w:t>
      </w:r>
      <w:r>
        <w:rPr>
          <w:rFonts w:ascii="Calibri" w:eastAsia="Calibri" w:hAnsi="Calibri" w:cs="Calibri"/>
          <w:spacing w:val="13"/>
          <w:w w:val="101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is</w:t>
      </w:r>
      <w:r>
        <w:rPr>
          <w:rFonts w:ascii="Calibri" w:eastAsia="Calibri" w:hAnsi="Calibri" w:cs="Calibri"/>
          <w:spacing w:val="1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licensed</w:t>
      </w:r>
      <w:r>
        <w:rPr>
          <w:rFonts w:ascii="Calibri" w:eastAsia="Calibri" w:hAnsi="Calibri" w:cs="Calibri"/>
          <w:spacing w:val="14"/>
          <w:w w:val="101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under the Creative Commons Attribution</w:t>
      </w:r>
      <w:r>
        <w:rPr>
          <w:rFonts w:ascii="Calibri" w:eastAsia="Calibri" w:hAnsi="Calibri" w:cs="Calibri"/>
          <w:spacing w:val="17"/>
          <w:w w:val="101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International</w:t>
      </w:r>
      <w:r>
        <w:rPr>
          <w:rFonts w:ascii="Calibri" w:eastAsia="Calibri" w:hAnsi="Calibri" w:cs="Calibri"/>
          <w:spacing w:val="17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License</w:t>
      </w:r>
      <w:r>
        <w:rPr>
          <w:rFonts w:ascii="Calibri" w:eastAsia="Calibri" w:hAnsi="Calibri" w:cs="Calibri"/>
          <w:spacing w:val="13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(CC</w:t>
      </w:r>
      <w:r>
        <w:rPr>
          <w:rFonts w:ascii="Calibri" w:eastAsia="Calibri" w:hAnsi="Calibri" w:cs="Calibri"/>
          <w:spacing w:val="17"/>
          <w:w w:val="101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BY 4</w:t>
      </w:r>
      <w:r>
        <w:rPr>
          <w:rFonts w:ascii="Calibri" w:eastAsia="Calibri" w:hAnsi="Calibri" w:cs="Calibri"/>
          <w:spacing w:val="-2"/>
          <w:sz w:val="20"/>
          <w:szCs w:val="20"/>
        </w:rPr>
        <w:t>.0).</w:t>
      </w:r>
    </w:p>
    <w:p>
      <w:pPr>
        <w:spacing w:before="1" w:line="241" w:lineRule="auto"/>
        <w:ind w:left="631"/>
        <w:rPr>
          <w:rFonts w:ascii="Calibri" w:eastAsia="Calibri" w:hAnsi="Calibri" w:cs="Calibri"/>
          <w:sz w:val="20"/>
          <w:szCs w:val="20"/>
        </w:rPr>
      </w:pPr>
      <w:hyperlink r:id="rId9" w:history="1">
        <w:r>
          <w:rPr>
            <w:rFonts w:ascii="Calibri" w:eastAsia="Calibri" w:hAnsi="Calibri" w:cs="Calibri"/>
            <w:color w:val="0000FF"/>
            <w:sz w:val="20"/>
            <w:szCs w:val="20"/>
            <w:u w:val="single" w:color="auto"/>
          </w:rPr>
          <w:t>http://creativecommons.org/</w:t>
        </w:r>
        <w:r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auto"/>
          </w:rPr>
          <w:t>licenses/by/4.0/</w:t>
        </w:r>
      </w:hyperlink>
    </w:p>
    <w:p>
      <w:pPr>
        <w:ind w:left="646"/>
        <w:rPr>
          <w:rFonts w:ascii="Calibri" w:eastAsia="Calibri" w:hAnsi="Calibri" w:cs="Calibri"/>
          <w:sz w:val="17"/>
          <w:szCs w:val="17"/>
        </w:rPr>
      </w:pPr>
      <w:r>
        <w:rPr>
          <w:rFonts w:ascii="Calibri" w:eastAsia="Calibri" w:hAnsi="Calibri" w:cs="Calibri"/>
          <w:color w:val="FFFFFF"/>
          <w:position w:val="-11"/>
          <w:sz w:val="17"/>
          <w:szCs w:val="17"/>
        </w:rPr>
        <w:drawing>
          <wp:inline distT="0" distB="0" distL="0" distR="0">
            <wp:extent cx="577918" cy="19908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7918" cy="199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FFFFFF"/>
          <w:spacing w:val="8"/>
          <w:sz w:val="17"/>
          <w:szCs w:val="17"/>
        </w:rPr>
        <w:t xml:space="preserve">   </w:t>
      </w:r>
      <w:r>
        <w:rPr>
          <w:rFonts w:ascii="Calibri" w:eastAsia="Calibri" w:hAnsi="Calibri" w:cs="Calibri"/>
          <w:color w:val="FFFFFF"/>
          <w:spacing w:val="11"/>
          <w:sz w:val="17"/>
          <w:szCs w:val="17"/>
          <w:shd w:val="clear" w:color="auto" w:fill="000000"/>
        </w:rPr>
        <w:t xml:space="preserve">  </w:t>
      </w:r>
      <w:r>
        <w:rPr>
          <w:rFonts w:ascii="Calibri" w:eastAsia="Calibri" w:hAnsi="Calibri" w:cs="Calibri"/>
          <w:color w:val="FFFFFF"/>
          <w:spacing w:val="4"/>
          <w:sz w:val="17"/>
          <w:szCs w:val="17"/>
          <w:shd w:val="clear" w:color="auto" w:fill="000000"/>
          <w14:textOutline w14:w="3060">
            <w14:solidFill>
              <w14:srgbClr w14:val="FFFFFF"/>
            </w14:solidFill>
            <w14:prstDash w14:val="solid"/>
            <w14:miter w14:lim="10"/>
          </w14:textOutline>
        </w:rPr>
        <w:t>Open</w:t>
      </w:r>
      <w:r>
        <w:rPr>
          <w:rFonts w:ascii="Calibri" w:eastAsia="Calibri" w:hAnsi="Calibri" w:cs="Calibri"/>
          <w:color w:val="FFFFFF"/>
          <w:spacing w:val="4"/>
          <w:sz w:val="17"/>
          <w:szCs w:val="17"/>
          <w:shd w:val="clear" w:color="auto" w:fill="000000"/>
        </w:rPr>
        <w:t xml:space="preserve"> </w:t>
      </w:r>
      <w:r>
        <w:rPr>
          <w:rFonts w:ascii="Calibri" w:eastAsia="Calibri" w:hAnsi="Calibri" w:cs="Calibri"/>
          <w:color w:val="FFFFFF"/>
          <w:spacing w:val="4"/>
          <w:sz w:val="17"/>
          <w:szCs w:val="17"/>
          <w:shd w:val="clear" w:color="auto" w:fill="000000"/>
          <w14:textOutline w14:w="3060">
            <w14:solidFill>
              <w14:srgbClr w14:val="FFFFFF"/>
            </w14:solidFill>
            <w14:prstDash w14:val="solid"/>
            <w14:miter w14:lim="10"/>
          </w14:textOutline>
        </w:rPr>
        <w:t>Access</w:t>
      </w:r>
      <w:r>
        <w:rPr>
          <w:rFonts w:ascii="Calibri" w:eastAsia="Calibri" w:hAnsi="Calibri" w:cs="Calibri"/>
          <w:color w:val="FFFFFF"/>
          <w:sz w:val="17"/>
          <w:szCs w:val="17"/>
          <w:shd w:val="clear" w:color="auto" w:fill="000000"/>
        </w:rPr>
        <w:t xml:space="preserve">   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78" w:line="223" w:lineRule="auto"/>
        <w:ind w:left="63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943634"/>
          <w:spacing w:val="-8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color w:val="943634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color w:val="943634"/>
          <w:spacing w:val="-8"/>
          <w:sz w:val="24"/>
          <w:szCs w:val="24"/>
          <w14:textOutline w14:w="4356">
            <w14:solidFill>
              <w14:srgbClr w14:val="943634"/>
            </w14:solidFill>
            <w14:prstDash w14:val="solid"/>
            <w14:miter w14:lim="10"/>
          </w14:textOutline>
        </w:rPr>
        <w:t>引言</w:t>
      </w:r>
    </w:p>
    <w:p>
      <w:pPr>
        <w:spacing w:before="184" w:line="276" w:lineRule="auto"/>
        <w:ind w:left="624" w:right="73" w:firstLine="410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随着北部湾经济不断发展和能源结构调整，对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LNG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清洁能源的需求迅速增长，到</w:t>
      </w:r>
      <w:r>
        <w:rPr>
          <w:rFonts w:ascii="SimSun" w:eastAsia="SimSun" w:hAnsi="SimSun" w:cs="SimSun"/>
          <w:spacing w:val="-2"/>
          <w:sz w:val="20"/>
          <w:szCs w:val="20"/>
        </w:rPr>
        <w:t>铁山港的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LNG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船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舶日益增加，</w:t>
      </w:r>
      <w:r>
        <w:rPr>
          <w:rFonts w:ascii="SimSun" w:eastAsia="SimSun" w:hAnsi="SimSun" w:cs="SimSu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LNG </w:t>
      </w:r>
      <w:r>
        <w:rPr>
          <w:rFonts w:ascii="SimSun" w:eastAsia="SimSun" w:hAnsi="SimSun" w:cs="SimSun"/>
          <w:spacing w:val="-2"/>
          <w:sz w:val="20"/>
          <w:szCs w:val="20"/>
        </w:rPr>
        <w:t>船载货量大、价值高，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LNG </w:t>
      </w:r>
      <w:r>
        <w:rPr>
          <w:rFonts w:ascii="SimSun" w:eastAsia="SimSun" w:hAnsi="SimSun" w:cs="SimSun"/>
          <w:spacing w:val="-2"/>
          <w:sz w:val="20"/>
          <w:szCs w:val="20"/>
        </w:rPr>
        <w:t>且具有易燃易爆低温等危险属性特点，决定了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LNG </w:t>
      </w:r>
      <w:r>
        <w:rPr>
          <w:rFonts w:ascii="SimSun" w:eastAsia="SimSun" w:hAnsi="SimSun" w:cs="SimSun"/>
          <w:spacing w:val="-2"/>
          <w:sz w:val="20"/>
          <w:szCs w:val="20"/>
        </w:rPr>
        <w:t>船舶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靠离泊安全性能要求比其他化学品船舶要高得多。长期以来，我国</w:t>
      </w:r>
      <w:r>
        <w:rPr>
          <w:rFonts w:ascii="SimSun" w:eastAsia="SimSun" w:hAnsi="SimSun" w:cs="SimSun"/>
          <w:spacing w:val="-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LNG </w:t>
      </w:r>
      <w:r>
        <w:rPr>
          <w:rFonts w:ascii="SimSun" w:eastAsia="SimSun" w:hAnsi="SimSun" w:cs="SimSun"/>
          <w:spacing w:val="-3"/>
          <w:sz w:val="20"/>
          <w:szCs w:val="20"/>
        </w:rPr>
        <w:t>船舶航行靠离泊条件中</w:t>
      </w:r>
      <w:r>
        <w:rPr>
          <w:rFonts w:ascii="SimSun" w:eastAsia="SimSun" w:hAnsi="SimSun" w:cs="SimSun"/>
          <w:spacing w:val="-4"/>
          <w:sz w:val="20"/>
          <w:szCs w:val="20"/>
        </w:rPr>
        <w:t>规定</w:t>
      </w:r>
      <w:r>
        <w:rPr>
          <w:rFonts w:ascii="SimSun" w:eastAsia="SimSun" w:hAnsi="SimSun" w:cs="SimSun"/>
          <w:spacing w:val="-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LNG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船舶作业仅限于白天。为提高夜间通航能力，对北海</w:t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LNG </w:t>
      </w:r>
      <w:r>
        <w:rPr>
          <w:rFonts w:ascii="SimSun" w:eastAsia="SimSun" w:hAnsi="SimSun" w:cs="SimSun"/>
          <w:spacing w:val="-1"/>
          <w:sz w:val="20"/>
          <w:szCs w:val="20"/>
        </w:rPr>
        <w:t>船舶夜航通航方案的研究迫在眉睫。</w:t>
      </w:r>
    </w:p>
    <w:p>
      <w:pPr>
        <w:spacing w:before="1" w:line="294" w:lineRule="auto"/>
        <w:ind w:left="624" w:firstLine="422"/>
        <w:jc w:val="both"/>
        <w:rPr>
          <w:rFonts w:ascii="SimSun" w:eastAsia="SimSun" w:hAnsi="SimSun" w:cs="SimSun"/>
          <w:sz w:val="20"/>
          <w:szCs w:val="20"/>
        </w:rPr>
      </w:pPr>
      <w:hyperlink w:anchor="bookmark1" w:history="1">
        <w:r>
          <w:rPr>
            <w:rFonts w:ascii="SimSun" w:eastAsia="SimSun" w:hAnsi="SimSun" w:cs="SimSun"/>
            <w:spacing w:val="-6"/>
            <w:sz w:val="20"/>
            <w:szCs w:val="20"/>
          </w:rPr>
          <w:t>目前对船舶夜航的研究很多，主要有王小金</w:t>
        </w:r>
        <w:r>
          <w:rPr>
            <w:rFonts w:ascii="Times New Roman" w:eastAsia="Times New Roman" w:hAnsi="Times New Roman" w:cs="Times New Roman"/>
            <w:color w:val="943634"/>
            <w:spacing w:val="-6"/>
            <w:sz w:val="20"/>
            <w:szCs w:val="20"/>
          </w:rPr>
          <w:t>[1]</w:t>
        </w:r>
        <w:r>
          <w:rPr>
            <w:rFonts w:ascii="SimSun" w:eastAsia="SimSun" w:hAnsi="SimSun" w:cs="SimSun"/>
            <w:spacing w:val="-6"/>
            <w:sz w:val="20"/>
            <w:szCs w:val="20"/>
          </w:rPr>
          <w:t>、</w:t>
        </w:r>
      </w:hyperlink>
      <w:hyperlink w:anchor="bookmark2" w:history="1">
        <w:r>
          <w:rPr>
            <w:rFonts w:ascii="SimSun" w:eastAsia="SimSun" w:hAnsi="SimSun" w:cs="SimSun"/>
            <w:spacing w:val="-6"/>
            <w:sz w:val="20"/>
            <w:szCs w:val="20"/>
          </w:rPr>
          <w:t>于波等</w:t>
        </w:r>
        <w:r>
          <w:rPr>
            <w:rFonts w:ascii="Times New Roman" w:eastAsia="Times New Roman" w:hAnsi="Times New Roman" w:cs="Times New Roman"/>
            <w:color w:val="943634"/>
            <w:spacing w:val="-6"/>
            <w:sz w:val="20"/>
            <w:szCs w:val="20"/>
          </w:rPr>
          <w:t>[2]</w:t>
        </w:r>
        <w:r>
          <w:rPr>
            <w:rFonts w:ascii="SimSun" w:eastAsia="SimSun" w:hAnsi="SimSun" w:cs="SimSun"/>
            <w:spacing w:val="-6"/>
            <w:sz w:val="20"/>
            <w:szCs w:val="20"/>
          </w:rPr>
          <w:t>、</w:t>
        </w:r>
      </w:hyperlink>
      <w:hyperlink w:anchor="bookmark3" w:history="1">
        <w:r>
          <w:rPr>
            <w:rFonts w:ascii="SimSun" w:eastAsia="SimSun" w:hAnsi="SimSun" w:cs="SimSun"/>
            <w:spacing w:val="-6"/>
            <w:sz w:val="20"/>
            <w:szCs w:val="20"/>
          </w:rPr>
          <w:t>刘凤武</w:t>
        </w:r>
        <w:r>
          <w:rPr>
            <w:rFonts w:ascii="Times New Roman" w:eastAsia="Times New Roman" w:hAnsi="Times New Roman" w:cs="Times New Roman"/>
            <w:color w:val="943634"/>
            <w:spacing w:val="-6"/>
            <w:sz w:val="20"/>
            <w:szCs w:val="20"/>
          </w:rPr>
          <w:t>[3]</w:t>
        </w:r>
        <w:r>
          <w:rPr>
            <w:rFonts w:ascii="SimSun" w:eastAsia="SimSun" w:hAnsi="SimSun" w:cs="SimSun"/>
            <w:spacing w:val="-6"/>
            <w:sz w:val="20"/>
            <w:szCs w:val="20"/>
          </w:rPr>
          <w:t>和</w:t>
        </w:r>
      </w:hyperlink>
      <w:r>
        <w:rPr>
          <w:rFonts w:ascii="SimSun" w:eastAsia="SimSun" w:hAnsi="SimSun" w:cs="SimSun"/>
          <w:spacing w:val="-6"/>
          <w:sz w:val="20"/>
          <w:szCs w:val="20"/>
        </w:rPr>
        <w:t>李连博</w:t>
      </w:r>
      <w:hyperlink w:anchor="bookmark4" w:history="1">
        <w:r>
          <w:rPr>
            <w:rFonts w:ascii="SimSun" w:eastAsia="SimSun" w:hAnsi="SimSun" w:cs="SimSun"/>
            <w:spacing w:val="-6"/>
            <w:sz w:val="20"/>
            <w:szCs w:val="20"/>
          </w:rPr>
          <w:t>等</w:t>
        </w:r>
        <w:r>
          <w:rPr>
            <w:rFonts w:ascii="Times New Roman" w:eastAsia="Times New Roman" w:hAnsi="Times New Roman" w:cs="Times New Roman"/>
            <w:color w:val="943634"/>
            <w:spacing w:val="-7"/>
            <w:sz w:val="20"/>
            <w:szCs w:val="20"/>
          </w:rPr>
          <w:t>[4]</w:t>
        </w:r>
        <w:r>
          <w:rPr>
            <w:rFonts w:ascii="SimSun" w:eastAsia="SimSun" w:hAnsi="SimSun" w:cs="SimSun"/>
            <w:spacing w:val="-7"/>
            <w:sz w:val="20"/>
            <w:szCs w:val="20"/>
          </w:rPr>
          <w:t>分</w:t>
        </w:r>
      </w:hyperlink>
      <w:r>
        <w:rPr>
          <w:rFonts w:ascii="SimSun" w:eastAsia="SimSun" w:hAnsi="SimSun" w:cs="SimSun"/>
          <w:spacing w:val="-7"/>
          <w:sz w:val="20"/>
          <w:szCs w:val="20"/>
        </w:rPr>
        <w:t xml:space="preserve">析了影响船舶夜 </w:t>
      </w:r>
      <w:r>
        <w:rPr>
          <w:rFonts w:ascii="SimSun" w:eastAsia="SimSun" w:hAnsi="SimSun" w:cs="SimSun"/>
          <w:spacing w:val="-10"/>
          <w:sz w:val="20"/>
          <w:szCs w:val="20"/>
        </w:rPr>
        <w:t xml:space="preserve">航的因素并提出了相应的保障措施。 </w:t>
      </w:r>
      <w:hyperlink w:anchor="bookmark5" w:history="1">
        <w:r>
          <w:rPr>
            <w:rFonts w:ascii="SimSun" w:eastAsia="SimSun" w:hAnsi="SimSun" w:cs="SimSun"/>
            <w:spacing w:val="-10"/>
            <w:sz w:val="20"/>
            <w:szCs w:val="20"/>
          </w:rPr>
          <w:t>刘永盛</w:t>
        </w:r>
        <w:r>
          <w:rPr>
            <w:rFonts w:ascii="Times New Roman" w:eastAsia="Times New Roman" w:hAnsi="Times New Roman" w:cs="Times New Roman"/>
            <w:color w:val="943634"/>
            <w:spacing w:val="-10"/>
            <w:sz w:val="20"/>
            <w:szCs w:val="20"/>
          </w:rPr>
          <w:t>[5]</w:t>
        </w:r>
        <w:r>
          <w:rPr>
            <w:rFonts w:ascii="SimSun" w:eastAsia="SimSun" w:hAnsi="SimSun" w:cs="SimSun"/>
            <w:spacing w:val="-10"/>
            <w:sz w:val="20"/>
            <w:szCs w:val="20"/>
          </w:rPr>
          <w:t>则</w:t>
        </w:r>
      </w:hyperlink>
      <w:hyperlink w:anchor="bookmark6" w:history="1">
        <w:r>
          <w:rPr>
            <w:rFonts w:ascii="SimSun" w:eastAsia="SimSun" w:hAnsi="SimSun" w:cs="SimSun"/>
            <w:spacing w:val="-10"/>
            <w:sz w:val="20"/>
            <w:szCs w:val="20"/>
          </w:rPr>
          <w:t>研究了船舶夜航的可行性。冯凯等</w:t>
        </w:r>
        <w:r>
          <w:rPr>
            <w:rFonts w:ascii="Times New Roman" w:eastAsia="Times New Roman" w:hAnsi="Times New Roman" w:cs="Times New Roman"/>
            <w:color w:val="943634"/>
            <w:spacing w:val="-10"/>
            <w:sz w:val="20"/>
            <w:szCs w:val="20"/>
          </w:rPr>
          <w:t>[6</w:t>
        </w:r>
        <w:r>
          <w:rPr>
            <w:rFonts w:ascii="Times New Roman" w:eastAsia="Times New Roman" w:hAnsi="Times New Roman" w:cs="Times New Roman"/>
            <w:color w:val="943634"/>
            <w:spacing w:val="-11"/>
            <w:sz w:val="20"/>
            <w:szCs w:val="20"/>
          </w:rPr>
          <w:t>]</w:t>
        </w:r>
        <w:r>
          <w:rPr>
            <w:rFonts w:ascii="SimSun" w:eastAsia="SimSun" w:hAnsi="SimSun" w:cs="SimSun"/>
            <w:spacing w:val="-11"/>
            <w:sz w:val="20"/>
            <w:szCs w:val="20"/>
          </w:rPr>
          <w:t>提</w:t>
        </w:r>
      </w:hyperlink>
      <w:r>
        <w:rPr>
          <w:rFonts w:ascii="SimSun" w:eastAsia="SimSun" w:hAnsi="SimSun" w:cs="SimSun"/>
          <w:spacing w:val="-11"/>
          <w:sz w:val="20"/>
          <w:szCs w:val="20"/>
        </w:rPr>
        <w:t xml:space="preserve">出了夜航的常态化研 </w:t>
      </w:r>
      <w:hyperlink w:anchor="bookmark7" w:history="1">
        <w:r>
          <w:rPr>
            <w:rFonts w:ascii="SimSun" w:eastAsia="SimSun" w:hAnsi="SimSun" w:cs="SimSun"/>
            <w:spacing w:val="-12"/>
            <w:sz w:val="20"/>
            <w:szCs w:val="20"/>
          </w:rPr>
          <w:t>究，朱金善等</w:t>
        </w:r>
        <w:r>
          <w:rPr>
            <w:rFonts w:ascii="Times New Roman" w:eastAsia="Times New Roman" w:hAnsi="Times New Roman" w:cs="Times New Roman"/>
            <w:color w:val="943634"/>
            <w:spacing w:val="-12"/>
            <w:sz w:val="20"/>
            <w:szCs w:val="20"/>
          </w:rPr>
          <w:t>[7]</w:t>
        </w:r>
        <w:r>
          <w:rPr>
            <w:rFonts w:ascii="SimSun" w:eastAsia="SimSun" w:hAnsi="SimSun" w:cs="SimSun"/>
            <w:spacing w:val="-12"/>
            <w:sz w:val="20"/>
            <w:szCs w:val="20"/>
          </w:rPr>
          <w:t>利</w:t>
        </w:r>
      </w:hyperlink>
      <w:r>
        <w:rPr>
          <w:rFonts w:ascii="SimSun" w:eastAsia="SimSun" w:hAnsi="SimSun" w:cs="SimSun"/>
          <w:spacing w:val="-12"/>
          <w:sz w:val="20"/>
          <w:szCs w:val="20"/>
        </w:rPr>
        <w:t>用物元分析对航道夜航安全行进行评价。</w:t>
      </w:r>
      <w:r>
        <w:rPr>
          <w:rFonts w:ascii="SimSun" w:eastAsia="SimSun" w:hAnsi="SimSun" w:cs="SimSun"/>
          <w:spacing w:val="-38"/>
          <w:sz w:val="20"/>
          <w:szCs w:val="20"/>
        </w:rPr>
        <w:t xml:space="preserve"> </w:t>
      </w:r>
      <w:hyperlink w:anchor="bookmark8" w:history="1">
        <w:r>
          <w:rPr>
            <w:rFonts w:ascii="SimSun" w:eastAsia="SimSun" w:hAnsi="SimSun" w:cs="SimSun"/>
            <w:spacing w:val="-12"/>
            <w:sz w:val="20"/>
            <w:szCs w:val="20"/>
          </w:rPr>
          <w:t>王勇</w:t>
        </w:r>
        <w:r>
          <w:rPr>
            <w:rFonts w:ascii="Times New Roman" w:eastAsia="Times New Roman" w:hAnsi="Times New Roman" w:cs="Times New Roman"/>
            <w:color w:val="943634"/>
            <w:spacing w:val="-12"/>
            <w:sz w:val="20"/>
            <w:szCs w:val="20"/>
          </w:rPr>
          <w:t>[8]</w:t>
        </w:r>
        <w:r>
          <w:rPr>
            <w:rFonts w:ascii="SimSun" w:eastAsia="SimSun" w:hAnsi="SimSun" w:cs="SimSun"/>
            <w:spacing w:val="-12"/>
            <w:sz w:val="20"/>
            <w:szCs w:val="20"/>
          </w:rPr>
          <w:t>利</w:t>
        </w:r>
      </w:hyperlink>
      <w:r>
        <w:rPr>
          <w:rFonts w:ascii="SimSun" w:eastAsia="SimSun" w:hAnsi="SimSun" w:cs="SimSun"/>
          <w:spacing w:val="-12"/>
          <w:sz w:val="20"/>
          <w:szCs w:val="20"/>
        </w:rPr>
        <w:t>用模糊综合评价对船舶夜航进行了评估。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sz w:val="20"/>
          <w:szCs w:val="20"/>
        </w:rPr>
        <w:t>翁建军</w:t>
      </w:r>
      <w:hyperlink w:anchor="bookmark9" w:history="1">
        <w:r>
          <w:rPr>
            <w:rFonts w:ascii="SimSun" w:eastAsia="SimSun" w:hAnsi="SimSun" w:cs="SimSun"/>
            <w:spacing w:val="-10"/>
            <w:sz w:val="20"/>
            <w:szCs w:val="20"/>
          </w:rPr>
          <w:t>等</w:t>
        </w:r>
        <w:r>
          <w:rPr>
            <w:rFonts w:ascii="Times New Roman" w:eastAsia="Times New Roman" w:hAnsi="Times New Roman" w:cs="Times New Roman"/>
            <w:color w:val="943634"/>
            <w:spacing w:val="-10"/>
            <w:sz w:val="20"/>
            <w:szCs w:val="20"/>
          </w:rPr>
          <w:t>[9]</w:t>
        </w:r>
        <w:r>
          <w:rPr>
            <w:rFonts w:ascii="SimSun" w:eastAsia="SimSun" w:hAnsi="SimSun" w:cs="SimSun"/>
            <w:spacing w:val="-10"/>
            <w:sz w:val="20"/>
            <w:szCs w:val="20"/>
          </w:rPr>
          <w:t>则</w:t>
        </w:r>
      </w:hyperlink>
      <w:r>
        <w:rPr>
          <w:rFonts w:ascii="SimSun" w:eastAsia="SimSun" w:hAnsi="SimSun" w:cs="SimSun"/>
          <w:spacing w:val="-10"/>
          <w:sz w:val="20"/>
          <w:szCs w:val="20"/>
        </w:rPr>
        <w:t>分析了光污染对船舶夜航的影响。</w:t>
      </w:r>
      <w:r>
        <w:rPr>
          <w:rFonts w:ascii="SimSun" w:eastAsia="SimSun" w:hAnsi="SimSun" w:cs="SimSun"/>
          <w:spacing w:val="3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sz w:val="20"/>
          <w:szCs w:val="20"/>
        </w:rPr>
        <w:t>缪晓晨</w:t>
      </w:r>
      <w:hyperlink w:anchor="bookmark10" w:history="1">
        <w:r>
          <w:rPr>
            <w:rFonts w:ascii="SimSun" w:eastAsia="SimSun" w:hAnsi="SimSun" w:cs="SimSun"/>
            <w:spacing w:val="-10"/>
            <w:sz w:val="20"/>
            <w:szCs w:val="20"/>
          </w:rPr>
          <w:t>等</w:t>
        </w:r>
        <w:r>
          <w:rPr>
            <w:rFonts w:ascii="Times New Roman" w:eastAsia="Times New Roman" w:hAnsi="Times New Roman" w:cs="Times New Roman"/>
            <w:color w:val="943634"/>
            <w:spacing w:val="-11"/>
            <w:sz w:val="20"/>
            <w:szCs w:val="20"/>
          </w:rPr>
          <w:t>[10]</w:t>
        </w:r>
        <w:r>
          <w:rPr>
            <w:rFonts w:ascii="SimSun" w:eastAsia="SimSun" w:hAnsi="SimSun" w:cs="SimSun"/>
            <w:spacing w:val="-11"/>
            <w:sz w:val="20"/>
            <w:szCs w:val="20"/>
          </w:rPr>
          <w:t>对</w:t>
        </w:r>
      </w:hyperlink>
      <w:r>
        <w:rPr>
          <w:rFonts w:ascii="SimSun" w:eastAsia="SimSun" w:hAnsi="SimSun" w:cs="SimSun"/>
          <w:spacing w:val="-11"/>
          <w:sz w:val="20"/>
          <w:szCs w:val="20"/>
        </w:rPr>
        <w:t>船舶夜航专用码头的靠离泊进行了研究。</w:t>
      </w:r>
    </w:p>
    <w:p>
      <w:pPr>
        <w:spacing w:before="90" w:line="270" w:lineRule="auto"/>
        <w:ind w:left="624" w:right="73" w:firstLine="395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LNG</w:t>
      </w:r>
      <w:r>
        <w:rPr>
          <w:rFonts w:ascii="Times New Roman" w:eastAsia="Times New Roman" w:hAnsi="Times New Roman" w:cs="Times New Roman"/>
          <w:spacing w:val="29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船舶夜航应考虑影响因素与可行性研究，针对大型</w:t>
      </w:r>
      <w:r>
        <w:rPr>
          <w:rFonts w:ascii="SimSun" w:eastAsia="SimSun" w:hAnsi="SimSun" w:cs="SimSun"/>
          <w:spacing w:val="-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LNG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船舶夜</w:t>
      </w:r>
      <w:r>
        <w:rPr>
          <w:rFonts w:ascii="SimSun" w:eastAsia="SimSun" w:hAnsi="SimSun" w:cs="SimSun"/>
          <w:spacing w:val="-3"/>
          <w:sz w:val="20"/>
          <w:szCs w:val="20"/>
        </w:rPr>
        <w:t>间进出港及靠离泊安全，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本文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构建综合评判模型和夜航动力学模型对北海</w:t>
      </w:r>
      <w:r>
        <w:rPr>
          <w:rFonts w:ascii="SimSun" w:eastAsia="SimSun" w:hAnsi="SimSun" w:cs="SimSun"/>
          <w:spacing w:val="-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LNG </w:t>
      </w:r>
      <w:r>
        <w:rPr>
          <w:rFonts w:ascii="SimSun" w:eastAsia="SimSun" w:hAnsi="SimSun" w:cs="SimSun"/>
          <w:spacing w:val="-2"/>
          <w:sz w:val="20"/>
          <w:szCs w:val="20"/>
        </w:rPr>
        <w:t>船舶夜航通航安全进行评估，然后提出靠离泊方案和限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制条件， 最后进行了船舶模拟仿真实验。</w:t>
      </w:r>
    </w:p>
    <w:p>
      <w:pPr>
        <w:spacing w:before="168" w:line="221" w:lineRule="auto"/>
        <w:ind w:left="622"/>
        <w:outlineLvl w:val="0"/>
        <w:rPr>
          <w:rFonts w:ascii="SimHei" w:eastAsia="SimHei" w:hAnsi="SimHei" w:cs="SimHei"/>
          <w:sz w:val="24"/>
          <w:szCs w:val="24"/>
        </w:rPr>
      </w:pPr>
      <w:bookmarkStart w:id="0" w:name="bookmark11"/>
      <w:bookmarkEnd w:id="0"/>
      <w:r>
        <w:rPr>
          <w:rFonts w:ascii="Times New Roman" w:eastAsia="Times New Roman" w:hAnsi="Times New Roman" w:cs="Times New Roman"/>
          <w:b/>
          <w:bCs/>
          <w:color w:val="943634"/>
          <w:sz w:val="24"/>
          <w:szCs w:val="24"/>
        </w:rPr>
        <w:t xml:space="preserve">2.  </w:t>
      </w:r>
      <w:r>
        <w:rPr>
          <w:rFonts w:ascii="SimHei" w:eastAsia="SimHei" w:hAnsi="SimHei" w:cs="SimHei"/>
          <w:color w:val="943634"/>
          <w:sz w:val="24"/>
          <w:szCs w:val="24"/>
          <w14:textOutline w14:w="4356">
            <w14:solidFill>
              <w14:srgbClr w14:val="943634"/>
            </w14:solidFill>
            <w14:prstDash w14:val="solid"/>
            <w14:miter w14:lim="10"/>
          </w14:textOutline>
        </w:rPr>
        <w:t>夜航风险因素识别与评估</w:t>
      </w:r>
    </w:p>
    <w:p>
      <w:pPr>
        <w:spacing w:before="169" w:line="229" w:lineRule="auto"/>
        <w:ind w:left="621"/>
        <w:outlineLvl w:val="1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943634"/>
          <w:spacing w:val="8"/>
          <w:sz w:val="21"/>
          <w:szCs w:val="21"/>
        </w:rPr>
        <w:t xml:space="preserve">2.1. </w:t>
      </w:r>
      <w:r>
        <w:rPr>
          <w:rFonts w:ascii="Times New Roman" w:eastAsia="Times New Roman" w:hAnsi="Times New Roman" w:cs="Times New Roman"/>
          <w:b/>
          <w:bCs/>
          <w:color w:val="943634"/>
          <w:sz w:val="21"/>
          <w:szCs w:val="21"/>
        </w:rPr>
        <w:t>LNG</w:t>
      </w:r>
      <w:r>
        <w:rPr>
          <w:rFonts w:ascii="Times New Roman" w:eastAsia="Times New Roman" w:hAnsi="Times New Roman" w:cs="Times New Roman"/>
          <w:b/>
          <w:bCs/>
          <w:color w:val="943634"/>
          <w:spacing w:val="8"/>
          <w:sz w:val="21"/>
          <w:szCs w:val="21"/>
        </w:rPr>
        <w:t xml:space="preserve"> </w:t>
      </w:r>
      <w:r>
        <w:rPr>
          <w:rFonts w:ascii="SimHei" w:eastAsia="SimHei" w:hAnsi="SimHei" w:cs="SimHei"/>
          <w:color w:val="943634"/>
          <w:spacing w:val="8"/>
          <w:sz w:val="21"/>
          <w:szCs w:val="21"/>
          <w14:textOutline w14:w="3987">
            <w14:solidFill>
              <w14:srgbClr w14:val="943634"/>
            </w14:solidFill>
            <w14:prstDash w14:val="solid"/>
            <w14:miter w14:lim="10"/>
          </w14:textOutline>
        </w:rPr>
        <w:t>船舶夜航风险因素识别</w:t>
      </w:r>
    </w:p>
    <w:p>
      <w:pPr>
        <w:spacing w:before="196" w:line="221" w:lineRule="auto"/>
        <w:ind w:left="1023"/>
        <w:rPr>
          <w:rFonts w:ascii="SimSun" w:eastAsia="SimSun" w:hAnsi="SimSun" w:cs="SimSun"/>
          <w:sz w:val="20"/>
          <w:szCs w:val="20"/>
        </w:rPr>
        <w:sectPr>
          <w:headerReference w:type="default" r:id="rId11"/>
          <w:footerReference w:type="default" r:id="rId12"/>
          <w:pgSz w:w="11908" w:h="16161"/>
          <w:pgMar w:top="1575" w:right="1059" w:bottom="1408" w:left="1117" w:header="1159" w:footer="1118" w:gutter="0"/>
          <w:pgNumType w:start="3"/>
          <w:cols w:space="708"/>
        </w:sectPr>
      </w:pPr>
      <w:r>
        <w:rPr>
          <w:rFonts w:ascii="SimSun" w:eastAsia="SimSun" w:hAnsi="SimSun" w:cs="SimSun"/>
          <w:spacing w:val="-2"/>
          <w:sz w:val="20"/>
          <w:szCs w:val="20"/>
        </w:rPr>
        <w:t>影响船舶通航安全的因素主要有人为因素、船舶因素和环境因素三方面。同样，影响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LNG </w:t>
      </w:r>
      <w:r>
        <w:rPr>
          <w:rFonts w:ascii="SimSun" w:eastAsia="SimSun" w:hAnsi="SimSun" w:cs="SimSun"/>
          <w:spacing w:val="-2"/>
          <w:sz w:val="20"/>
          <w:szCs w:val="20"/>
        </w:rPr>
        <w:t>码头船舶</w:t>
      </w:r>
    </w:p>
    <w:p>
      <w:pPr>
        <w:spacing w:before="205" w:line="3342" w:lineRule="exact"/>
        <w:ind w:firstLine="2316"/>
      </w:pPr>
      <w:r>
        <w:rPr>
          <w:position w:val="-66"/>
        </w:rPr>
        <w:drawing>
          <wp:inline distT="0" distB="0" distL="0" distR="0">
            <wp:extent cx="3597272" cy="212215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97272" cy="212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2" w:line="265" w:lineRule="auto"/>
        <w:ind w:left="2318" w:right="1734" w:hanging="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943634"/>
          <w:sz w:val="18"/>
          <w:szCs w:val="18"/>
        </w:rPr>
        <w:t>Figure</w:t>
      </w:r>
      <w:r>
        <w:rPr>
          <w:rFonts w:ascii="Times New Roman" w:eastAsia="Times New Roman" w:hAnsi="Times New Roman" w:cs="Times New Roman"/>
          <w:b/>
          <w:bCs/>
          <w:color w:val="943634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634"/>
          <w:sz w:val="18"/>
          <w:szCs w:val="18"/>
        </w:rPr>
        <w:t>1.</w:t>
      </w:r>
      <w:r>
        <w:rPr>
          <w:rFonts w:ascii="Times New Roman" w:eastAsia="Times New Roman" w:hAnsi="Times New Roman" w:cs="Times New Roman"/>
          <w:b/>
          <w:bCs/>
          <w:color w:val="943634"/>
          <w:spacing w:val="2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Hierarchy</w:t>
      </w:r>
      <w:r>
        <w:rPr>
          <w:rFonts w:ascii="Times New Roman" w:eastAsia="Times New Roman" w:hAnsi="Times New Roman" w:cs="Times New Roman"/>
          <w:spacing w:val="2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diagram</w:t>
      </w:r>
      <w:r>
        <w:rPr>
          <w:rFonts w:ascii="Times New Roman" w:eastAsia="Times New Roman" w:hAnsi="Times New Roman" w:cs="Times New Roman"/>
          <w:spacing w:val="2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of factors</w:t>
      </w:r>
      <w:r>
        <w:rPr>
          <w:rFonts w:ascii="Times New Roman" w:eastAsia="Times New Roman" w:hAnsi="Times New Roman" w:cs="Times New Roman"/>
          <w:spacing w:val="2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influencing</w:t>
      </w:r>
      <w:r>
        <w:rPr>
          <w:rFonts w:ascii="Times New Roman" w:eastAsia="Times New Roman" w:hAnsi="Times New Roman" w:cs="Times New Roman"/>
          <w:spacing w:val="1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ris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k</w:t>
      </w:r>
      <w:r>
        <w:rPr>
          <w:rFonts w:ascii="Times New Roman" w:eastAsia="Times New Roman" w:hAnsi="Times New Roman" w:cs="Times New Roman"/>
          <w:spacing w:val="2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degree</w:t>
      </w:r>
      <w:r>
        <w:rPr>
          <w:rFonts w:ascii="Times New Roman" w:eastAsia="Times New Roman" w:hAnsi="Times New Roman" w:cs="Times New Roman"/>
          <w:spacing w:val="2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of navigation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environment</w:t>
      </w:r>
    </w:p>
    <w:p>
      <w:pPr>
        <w:spacing w:before="1" w:line="220" w:lineRule="auto"/>
        <w:ind w:left="232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943634"/>
          <w:spacing w:val="-2"/>
          <w:sz w:val="18"/>
          <w:szCs w:val="18"/>
          <w14:textOutline w14:w="3263">
            <w14:solidFill>
              <w14:srgbClr w14:val="943634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color w:val="943634"/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634"/>
          <w:spacing w:val="-2"/>
          <w:sz w:val="18"/>
          <w:szCs w:val="18"/>
        </w:rPr>
        <w:t xml:space="preserve">1.  </w:t>
      </w:r>
      <w:r>
        <w:rPr>
          <w:rFonts w:ascii="SimHei" w:eastAsia="SimHei" w:hAnsi="SimHei" w:cs="SimHei"/>
          <w:spacing w:val="-2"/>
          <w:sz w:val="18"/>
          <w:szCs w:val="18"/>
        </w:rPr>
        <w:t>影响通航环境危险度的因素层次图</w:t>
      </w:r>
    </w:p>
    <w:p>
      <w:pPr>
        <w:spacing w:line="220" w:lineRule="auto"/>
        <w:rPr>
          <w:rFonts w:ascii="SimHei" w:eastAsia="SimHei" w:hAnsi="SimHei" w:cs="SimHei"/>
          <w:sz w:val="18"/>
          <w:szCs w:val="18"/>
        </w:rPr>
        <w:sectPr>
          <w:headerReference w:type="default" r:id="rId14"/>
          <w:footerReference w:type="default" r:id="rId15"/>
          <w:type w:val="nextPage"/>
          <w:pgSz w:w="11908" w:h="16161"/>
          <w:pgMar w:top="1575" w:right="1059" w:bottom="1408" w:left="1117" w:header="1159" w:footer="1118" w:gutter="0"/>
          <w:pgNumType w:start="4"/>
          <w:cols w:space="708"/>
          <w:titlePg w:val="0"/>
        </w:sectPr>
      </w:pPr>
    </w:p>
    <w:p>
      <w:pPr>
        <w:spacing w:line="348" w:lineRule="auto"/>
        <w:rPr>
          <w:rFonts w:ascii="Arial"/>
          <w:sz w:val="21"/>
        </w:rPr>
      </w:pPr>
      <w:r>
        <w:pict>
          <v:shape id="_x0000_s1025" style="width:482.65pt;height:0.75pt;margin-top:77.33pt;margin-left:56.28pt;mso-position-horizontal-relative:page;mso-position-vertical-relative:page;position:absolute;z-index:251659264" coordorigin="0,0" coordsize="9652,15" o:allowincell="f" path="m7,7l9645,7e" filled="f" strokecolor="#943634" strokeweight="0.75pt">
            <v:stroke endcap="round"/>
          </v:shape>
        </w:pic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59" w:line="221" w:lineRule="auto"/>
        <w:ind w:left="1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刘志辉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65" w:line="281" w:lineRule="auto"/>
        <w:ind w:left="616" w:right="1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通航安全的因素也可分为上述三方面的因素。人为因素主要是指船</w:t>
      </w:r>
      <w:r>
        <w:rPr>
          <w:rFonts w:ascii="SimSun" w:eastAsia="SimSun" w:hAnsi="SimSun" w:cs="SimSun"/>
          <w:sz w:val="20"/>
          <w:szCs w:val="20"/>
        </w:rPr>
        <w:t xml:space="preserve">舶人员的配备情况和素质、引航员的 </w:t>
      </w:r>
      <w:r>
        <w:rPr>
          <w:rFonts w:ascii="SimSun" w:eastAsia="SimSun" w:hAnsi="SimSun" w:cs="SimSun"/>
          <w:spacing w:val="-5"/>
          <w:sz w:val="20"/>
          <w:szCs w:val="20"/>
        </w:rPr>
        <w:t>素质和经验等；船舶因素主要是船舶本身大小、吃水、操纵性能、机器和助航仪器的配备与性能等方面；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而环境因素主要包括航道、水文、气象、航标配置、交通状况等</w:t>
      </w:r>
      <w:hyperlink w:anchor="bookmark11" w:history="1">
        <w:r>
          <w:rPr>
            <w:rFonts w:ascii="SimSun" w:eastAsia="SimSun" w:hAnsi="SimSun" w:cs="SimSun"/>
            <w:spacing w:val="-1"/>
            <w:sz w:val="20"/>
            <w:szCs w:val="20"/>
          </w:rPr>
          <w:t>，如</w:t>
        </w:r>
        <w:r>
          <w:rPr>
            <w:rFonts w:ascii="SimSun" w:eastAsia="SimSun" w:hAnsi="SimSun" w:cs="SimSun"/>
            <w:color w:val="943634"/>
            <w:spacing w:val="-1"/>
            <w:sz w:val="20"/>
            <w:szCs w:val="20"/>
          </w:rPr>
          <w:t>图</w:t>
        </w:r>
        <w:r>
          <w:rPr>
            <w:rFonts w:ascii="SimSun" w:eastAsia="SimSun" w:hAnsi="SimSun" w:cs="SimSun"/>
            <w:color w:val="943634"/>
            <w:spacing w:val="-23"/>
            <w:sz w:val="20"/>
            <w:szCs w:val="20"/>
          </w:rPr>
          <w:t xml:space="preserve"> </w:t>
        </w:r>
        <w:r>
          <w:rPr>
            <w:rFonts w:ascii="Times New Roman" w:eastAsia="Times New Roman" w:hAnsi="Times New Roman" w:cs="Times New Roman"/>
            <w:color w:val="943634"/>
            <w:spacing w:val="-1"/>
            <w:sz w:val="20"/>
            <w:szCs w:val="20"/>
          </w:rPr>
          <w:t xml:space="preserve">1 </w:t>
        </w:r>
        <w:r>
          <w:rPr>
            <w:rFonts w:ascii="SimSun" w:eastAsia="SimSun" w:hAnsi="SimSun" w:cs="SimSun"/>
            <w:spacing w:val="-1"/>
            <w:sz w:val="20"/>
            <w:szCs w:val="20"/>
          </w:rPr>
          <w:t>所</w:t>
        </w:r>
      </w:hyperlink>
      <w:r>
        <w:rPr>
          <w:rFonts w:ascii="SimSun" w:eastAsia="SimSun" w:hAnsi="SimSun" w:cs="SimSun"/>
          <w:spacing w:val="-1"/>
          <w:sz w:val="20"/>
          <w:szCs w:val="20"/>
        </w:rPr>
        <w:t>示。</w:t>
      </w:r>
    </w:p>
    <w:p>
      <w:pPr>
        <w:spacing w:before="149" w:line="229" w:lineRule="auto"/>
        <w:ind w:left="613"/>
        <w:outlineLvl w:val="1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943634"/>
          <w:spacing w:val="8"/>
          <w:sz w:val="21"/>
          <w:szCs w:val="21"/>
        </w:rPr>
        <w:t xml:space="preserve">2.2. </w:t>
      </w:r>
      <w:r>
        <w:rPr>
          <w:rFonts w:ascii="Times New Roman" w:eastAsia="Times New Roman" w:hAnsi="Times New Roman" w:cs="Times New Roman"/>
          <w:b/>
          <w:bCs/>
          <w:color w:val="943634"/>
          <w:sz w:val="21"/>
          <w:szCs w:val="21"/>
        </w:rPr>
        <w:t>LNG</w:t>
      </w:r>
      <w:r>
        <w:rPr>
          <w:rFonts w:ascii="Times New Roman" w:eastAsia="Times New Roman" w:hAnsi="Times New Roman" w:cs="Times New Roman"/>
          <w:b/>
          <w:bCs/>
          <w:color w:val="943634"/>
          <w:spacing w:val="8"/>
          <w:sz w:val="21"/>
          <w:szCs w:val="21"/>
        </w:rPr>
        <w:t xml:space="preserve"> </w:t>
      </w:r>
      <w:r>
        <w:rPr>
          <w:rFonts w:ascii="SimHei" w:eastAsia="SimHei" w:hAnsi="SimHei" w:cs="SimHei"/>
          <w:color w:val="943634"/>
          <w:spacing w:val="8"/>
          <w:sz w:val="21"/>
          <w:szCs w:val="21"/>
          <w14:textOutline w14:w="3987">
            <w14:solidFill>
              <w14:srgbClr w14:val="943634"/>
            </w14:solidFill>
            <w14:prstDash w14:val="solid"/>
            <w14:miter w14:lim="10"/>
          </w14:textOutline>
        </w:rPr>
        <w:t>船舶夜航风险因素评估</w:t>
      </w:r>
    </w:p>
    <w:p>
      <w:pPr>
        <w:spacing w:before="195" w:line="222" w:lineRule="auto"/>
        <w:ind w:left="613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943634"/>
          <w:sz w:val="20"/>
          <w:szCs w:val="20"/>
        </w:rPr>
        <w:t xml:space="preserve">2.2.1.  </w:t>
      </w:r>
      <w:r>
        <w:rPr>
          <w:rFonts w:ascii="SimHei" w:eastAsia="SimHei" w:hAnsi="SimHei" w:cs="SimHei"/>
          <w:color w:val="943634"/>
          <w:sz w:val="20"/>
          <w:szCs w:val="20"/>
          <w14:textOutline w14:w="3632">
            <w14:solidFill>
              <w14:srgbClr w14:val="943634"/>
            </w14:solidFill>
            <w14:prstDash w14:val="solid"/>
            <w14:miter w14:lim="10"/>
          </w14:textOutline>
        </w:rPr>
        <w:t>利用综合评判模型进行评估</w:t>
      </w:r>
    </w:p>
    <w:p>
      <w:pPr>
        <w:spacing w:before="81" w:line="273" w:lineRule="auto"/>
        <w:ind w:left="631" w:right="12" w:firstLine="408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由于北海铁山港通航水域此前并没有</w:t>
      </w:r>
      <w:r>
        <w:rPr>
          <w:rFonts w:ascii="SimSun" w:eastAsia="SimSun" w:hAnsi="SimSun" w:cs="SimSun"/>
          <w:spacing w:val="-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LNG </w:t>
      </w:r>
      <w:r>
        <w:rPr>
          <w:rFonts w:ascii="SimSun" w:eastAsia="SimSun" w:hAnsi="SimSun" w:cs="SimSun"/>
          <w:spacing w:val="-5"/>
          <w:sz w:val="20"/>
          <w:szCs w:val="20"/>
        </w:rPr>
        <w:t>船舶夜航的先例，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事故统计样本资料较</w:t>
      </w:r>
      <w:r>
        <w:rPr>
          <w:rFonts w:ascii="SimSun" w:eastAsia="SimSun" w:hAnsi="SimSun" w:cs="SimSun"/>
          <w:spacing w:val="-6"/>
          <w:sz w:val="20"/>
          <w:szCs w:val="20"/>
        </w:rPr>
        <w:t>少，</w:t>
      </w:r>
      <w:r>
        <w:rPr>
          <w:rFonts w:ascii="SimSun" w:eastAsia="SimSun" w:hAnsi="SimSun" w:cs="SimSun"/>
          <w:spacing w:val="-4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只能通过对各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因素指标对风险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SimSun" w:eastAsia="SimSun" w:hAnsi="SimSun" w:cs="SimSun"/>
          <w:spacing w:val="-2"/>
          <w:sz w:val="20"/>
          <w:szCs w:val="20"/>
        </w:rPr>
        <w:t>事故的发生频率以及事故后果的严重</w:t>
      </w:r>
      <w:r>
        <w:rPr>
          <w:rFonts w:ascii="SimSun" w:eastAsia="SimSun" w:hAnsi="SimSun" w:cs="SimSun"/>
          <w:spacing w:val="-3"/>
          <w:sz w:val="20"/>
          <w:szCs w:val="20"/>
        </w:rPr>
        <w:t>程度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)</w:t>
      </w:r>
      <w:r>
        <w:rPr>
          <w:rFonts w:ascii="SimSun" w:eastAsia="SimSun" w:hAnsi="SimSun" w:cs="SimSun"/>
          <w:spacing w:val="-3"/>
          <w:sz w:val="20"/>
          <w:szCs w:val="20"/>
        </w:rPr>
        <w:t>影响的程度进行半定性半定量评价，并通过各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bookmarkStart w:id="1" w:name="bookmark12"/>
      <w:bookmarkEnd w:id="1"/>
      <w:r>
        <w:rPr>
          <w:rFonts w:ascii="SimSun" w:eastAsia="SimSun" w:hAnsi="SimSun" w:cs="SimSun"/>
          <w:spacing w:val="-1"/>
          <w:sz w:val="20"/>
          <w:szCs w:val="20"/>
        </w:rPr>
        <w:t>因素的重要程度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(</w:t>
      </w:r>
      <w:r>
        <w:rPr>
          <w:rFonts w:ascii="SimSun" w:eastAsia="SimSun" w:hAnsi="SimSun" w:cs="SimSun"/>
          <w:spacing w:val="-1"/>
          <w:sz w:val="20"/>
          <w:szCs w:val="20"/>
        </w:rPr>
        <w:t>权重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)</w:t>
      </w:r>
      <w:r>
        <w:rPr>
          <w:rFonts w:ascii="SimSun" w:eastAsia="SimSun" w:hAnsi="SimSun" w:cs="SimSun"/>
          <w:spacing w:val="-1"/>
          <w:sz w:val="20"/>
          <w:szCs w:val="20"/>
        </w:rPr>
        <w:t>进行综合评判，从而进一步对风险进行评</w:t>
      </w:r>
      <w:r>
        <w:rPr>
          <w:rFonts w:ascii="SimSun" w:eastAsia="SimSun" w:hAnsi="SimSun" w:cs="SimSun"/>
          <w:spacing w:val="-2"/>
          <w:sz w:val="20"/>
          <w:szCs w:val="20"/>
        </w:rPr>
        <w:t>价</w:t>
      </w:r>
      <w:hyperlink w:anchor="bookmark12" w:history="1">
        <w:r>
          <w:rPr>
            <w:rFonts w:ascii="SimSun" w:eastAsia="SimSun" w:hAnsi="SimSun" w:cs="SimSun"/>
            <w:spacing w:val="-2"/>
            <w:sz w:val="20"/>
            <w:szCs w:val="20"/>
          </w:rPr>
          <w:t>，具体评估见</w:t>
        </w:r>
        <w:r>
          <w:rPr>
            <w:rFonts w:ascii="SimSun" w:eastAsia="SimSun" w:hAnsi="SimSun" w:cs="SimSun"/>
            <w:color w:val="943634"/>
            <w:spacing w:val="-2"/>
            <w:sz w:val="20"/>
            <w:szCs w:val="20"/>
          </w:rPr>
          <w:t>表</w:t>
        </w:r>
        <w:r>
          <w:rPr>
            <w:rFonts w:ascii="SimSun" w:eastAsia="SimSun" w:hAnsi="SimSun" w:cs="SimSun"/>
            <w:color w:val="943634"/>
            <w:spacing w:val="-26"/>
            <w:sz w:val="20"/>
            <w:szCs w:val="20"/>
          </w:rPr>
          <w:t xml:space="preserve"> </w:t>
        </w:r>
        <w:r>
          <w:rPr>
            <w:rFonts w:ascii="Times New Roman" w:eastAsia="Times New Roman" w:hAnsi="Times New Roman" w:cs="Times New Roman"/>
            <w:color w:val="943634"/>
            <w:spacing w:val="-2"/>
            <w:sz w:val="20"/>
            <w:szCs w:val="20"/>
          </w:rPr>
          <w:t>1</w:t>
        </w:r>
        <w:r>
          <w:rPr>
            <w:rFonts w:ascii="SimSun" w:eastAsia="SimSun" w:hAnsi="SimSun" w:cs="SimSun"/>
            <w:spacing w:val="-2"/>
            <w:sz w:val="20"/>
            <w:szCs w:val="20"/>
          </w:rPr>
          <w:t>。</w:t>
        </w:r>
      </w:hyperlink>
    </w:p>
    <w:p>
      <w:pPr>
        <w:spacing w:before="176" w:line="251" w:lineRule="exact"/>
        <w:ind w:left="61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943634"/>
          <w:spacing w:val="-1"/>
          <w:position w:val="2"/>
          <w:sz w:val="18"/>
          <w:szCs w:val="18"/>
        </w:rPr>
        <w:t>Table</w:t>
      </w:r>
      <w:r>
        <w:rPr>
          <w:rFonts w:ascii="Times New Roman" w:eastAsia="Times New Roman" w:hAnsi="Times New Roman" w:cs="Times New Roman"/>
          <w:b/>
          <w:bCs/>
          <w:color w:val="943634"/>
          <w:spacing w:val="23"/>
          <w:w w:val="101"/>
          <w:position w:val="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634"/>
          <w:spacing w:val="-1"/>
          <w:position w:val="2"/>
          <w:sz w:val="18"/>
          <w:szCs w:val="18"/>
        </w:rPr>
        <w:t xml:space="preserve">1. </w:t>
      </w:r>
      <w:r>
        <w:rPr>
          <w:rFonts w:ascii="Times New Roman" w:eastAsia="Times New Roman" w:hAnsi="Times New Roman" w:cs="Times New Roman"/>
          <w:spacing w:val="-1"/>
          <w:position w:val="2"/>
          <w:sz w:val="18"/>
          <w:szCs w:val="18"/>
        </w:rPr>
        <w:t>Risk assessment form</w:t>
      </w:r>
    </w:p>
    <w:p>
      <w:pPr>
        <w:spacing w:line="221" w:lineRule="auto"/>
        <w:ind w:left="618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943634"/>
          <w:spacing w:val="-3"/>
          <w:sz w:val="18"/>
          <w:szCs w:val="18"/>
          <w14:textOutline w14:w="3263">
            <w14:solidFill>
              <w14:srgbClr w14:val="943634"/>
            </w14:solidFill>
            <w14:prstDash w14:val="solid"/>
            <w14:miter w14:lim="10"/>
          </w14:textOutline>
        </w:rPr>
        <w:t>表</w:t>
      </w:r>
      <w:r>
        <w:rPr>
          <w:rFonts w:ascii="SimHei" w:eastAsia="SimHei" w:hAnsi="SimHei" w:cs="SimHei"/>
          <w:color w:val="943634"/>
          <w:spacing w:val="-2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634"/>
          <w:spacing w:val="-3"/>
          <w:sz w:val="18"/>
          <w:szCs w:val="18"/>
        </w:rPr>
        <w:t xml:space="preserve">1.  </w:t>
      </w:r>
      <w:r>
        <w:rPr>
          <w:rFonts w:ascii="SimHei" w:eastAsia="SimHei" w:hAnsi="SimHei" w:cs="SimHei"/>
          <w:spacing w:val="-3"/>
          <w:sz w:val="18"/>
          <w:szCs w:val="18"/>
        </w:rPr>
        <w:t>风险评估表</w:t>
      </w:r>
    </w:p>
    <w:p>
      <w:pPr>
        <w:spacing w:line="112" w:lineRule="exact"/>
      </w:pPr>
    </w:p>
    <w:tbl>
      <w:tblPr>
        <w:tblStyle w:val="TableNormal0"/>
        <w:tblW w:w="9043" w:type="dxa"/>
        <w:tblInd w:w="61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06"/>
        <w:gridCol w:w="860"/>
        <w:gridCol w:w="1070"/>
        <w:gridCol w:w="3340"/>
        <w:gridCol w:w="638"/>
        <w:gridCol w:w="1100"/>
        <w:gridCol w:w="1129"/>
      </w:tblGrid>
      <w:tr>
        <w:tblPrEx>
          <w:tblW w:w="9043" w:type="dxa"/>
          <w:tblInd w:w="61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99"/>
        </w:trPr>
        <w:tc>
          <w:tcPr>
            <w:tcW w:w="906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gridSpan w:val="2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9" w:line="220" w:lineRule="auto"/>
              <w:ind w:left="2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要素</w:t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9" w:line="221" w:lineRule="auto"/>
              <w:ind w:left="15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情况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9" w:line="220" w:lineRule="auto"/>
              <w:ind w:left="1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权重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9" w:line="220" w:lineRule="auto"/>
              <w:ind w:left="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交通事故率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9" w:line="221" w:lineRule="auto"/>
              <w:ind w:left="1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后果严重性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航行环境</w:t>
            </w:r>
          </w:p>
        </w:tc>
        <w:tc>
          <w:tcPr>
            <w:tcW w:w="860" w:type="dxa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可航水域</w:t>
            </w:r>
          </w:p>
        </w:tc>
        <w:tc>
          <w:tcPr>
            <w:tcW w:w="1070" w:type="dxa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before="101" w:line="220" w:lineRule="auto"/>
              <w:ind w:left="329"/>
              <w:rPr>
                <w:rFonts w:ascii="SimSun" w:eastAsia="SimSun" w:hAnsi="SimSun" w:cs="SimSun"/>
                <w:sz w:val="18"/>
                <w:szCs w:val="18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-649477</wp:posOffset>
                  </wp:positionH>
                  <wp:positionV relativeFrom="topMargin">
                    <wp:posOffset>245363</wp:posOffset>
                  </wp:positionV>
                  <wp:extent cx="579120" cy="635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rightMargin">
                    <wp:posOffset>-649477</wp:posOffset>
                  </wp:positionH>
                  <wp:positionV relativeFrom="topMargin">
                    <wp:posOffset>496823</wp:posOffset>
                  </wp:positionV>
                  <wp:extent cx="579120" cy="6350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水深</w:t>
            </w:r>
          </w:p>
          <w:p>
            <w:pPr>
              <w:spacing w:before="181" w:line="221" w:lineRule="auto"/>
              <w:ind w:left="3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宽度</w:t>
            </w:r>
          </w:p>
          <w:p>
            <w:pPr>
              <w:spacing w:before="180" w:line="221" w:lineRule="auto"/>
              <w:ind w:left="3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曲度</w:t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94" w:line="227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满足</w:t>
            </w:r>
            <w:r>
              <w:rPr>
                <w:rFonts w:ascii="SimSun" w:eastAsia="SimSun" w:hAnsi="SimSun" w:cs="SimSun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26.6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万</w:t>
            </w:r>
            <w:r>
              <w:rPr>
                <w:rFonts w:ascii="SimSun" w:eastAsia="SimSun" w:hAnsi="SimSun" w:cs="SimSun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2"/>
                <w:szCs w:val="1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7"/>
                <w:w w:val="101"/>
                <w:position w:val="7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及以下</w:t>
            </w:r>
            <w:r>
              <w:rPr>
                <w:rFonts w:ascii="SimSun" w:eastAsia="SimSun" w:hAnsi="SimSun" w:cs="SimSun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LNG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船舶通航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1" w:line="222" w:lineRule="auto"/>
              <w:ind w:left="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较小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0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1" w:line="222" w:lineRule="auto"/>
              <w:ind w:left="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0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94" w:line="227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满足</w:t>
            </w:r>
            <w:r>
              <w:rPr>
                <w:rFonts w:ascii="SimSun" w:eastAsia="SimSun" w:hAnsi="SimSun" w:cs="SimSun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26.6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万</w:t>
            </w:r>
            <w:r>
              <w:rPr>
                <w:rFonts w:ascii="SimSun" w:eastAsia="SimSun" w:hAnsi="SimSun" w:cs="SimSun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2"/>
                <w:szCs w:val="1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7"/>
                <w:w w:val="101"/>
                <w:position w:val="7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及以下</w:t>
            </w:r>
            <w:r>
              <w:rPr>
                <w:rFonts w:ascii="SimSun" w:eastAsia="SimSun" w:hAnsi="SimSun" w:cs="SimSun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LNG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船舶通航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1" w:line="222" w:lineRule="auto"/>
              <w:ind w:left="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较小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0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1" w:line="222" w:lineRule="auto"/>
              <w:ind w:left="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0" w:type="dxa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2" w:line="220" w:lineRule="auto"/>
              <w:ind w:left="13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满足规范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2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1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2" w:line="222" w:lineRule="auto"/>
              <w:ind w:left="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0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gridSpan w:val="2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before="102" w:line="576" w:lineRule="exact"/>
              <w:ind w:left="282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position w:val="11"/>
                <w:sz w:val="18"/>
                <w:szCs w:val="18"/>
              </w:rPr>
              <w:t>水文</w:t>
            </w:r>
            <w:r>
              <w:rPr>
                <w:rFonts w:ascii="SimSun" w:eastAsia="SimSun" w:hAnsi="SimSun" w:cs="SimSun"/>
                <w:spacing w:val="2"/>
                <w:position w:val="11"/>
                <w:sz w:val="18"/>
                <w:szCs w:val="18"/>
              </w:rPr>
              <w:t xml:space="preserve">      </w:t>
            </w:r>
            <w:r>
              <w:ruby>
                <w:rubyPr>
                  <w:rubyAlign w:val="left"/>
                  <w:hps w:val="18"/>
                  <w:hpsRaise w:val="18"/>
                  <w:hpsBaseText w:val="21"/>
                </w:rubyPr>
                <w:rt>
                  <w:r>
                    <w:rPr>
                      <w:rFonts w:ascii="SimSun" w:eastAsia="SimSun" w:hAnsi="SimSun" w:cs="SimSun"/>
                      <w:w w:val="98"/>
                      <w:position w:val="11"/>
                      <w:sz w:val="18"/>
                      <w:szCs w:val="18"/>
                    </w:rPr>
                    <w:t>潮汐</w:t>
                  </w:r>
                </w:rt>
                <w:rubyBase>
                  <w:r>
                    <w:rPr>
                      <w:rFonts w:ascii="SimSun" w:eastAsia="SimSun" w:hAnsi="SimSun" w:cs="SimSun"/>
                      <w:w w:val="98"/>
                      <w:position w:val="-8"/>
                      <w:sz w:val="18"/>
                      <w:szCs w:val="18"/>
                    </w:rPr>
                    <w:t>潮流</w:t>
                  </w:r>
                </w:rubyBase>
              </w:ruby>
            </w:r>
            <w:r>
              <w:rPr>
                <w:rFonts w:ascii="SimSun" w:eastAsia="SimSun" w:hAnsi="SimSun" w:cs="SimSun"/>
                <w:spacing w:val="1"/>
                <w:position w:val="-8"/>
                <w:sz w:val="18"/>
                <w:szCs w:val="18"/>
              </w:rPr>
              <w:t xml:space="preserve">   </w:t>
            </w:r>
            <w:r>
              <w:rPr>
                <w:position w:val="17"/>
                <w:sz w:val="18"/>
                <w:szCs w:val="18"/>
              </w:rPr>
              <w:drawing>
                <wp:inline distT="0" distB="0" distL="0" distR="0">
                  <wp:extent cx="3048" cy="3047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2" w:line="220" w:lineRule="auto"/>
              <w:ind w:left="13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潮差较大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2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1" w:line="222" w:lineRule="auto"/>
              <w:ind w:left="3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2" w:line="222" w:lineRule="auto"/>
              <w:ind w:left="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0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gridSpan w:val="2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3" w:line="220" w:lineRule="auto"/>
              <w:ind w:left="9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潮流速度差值较大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3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2" w:line="222" w:lineRule="auto"/>
              <w:ind w:left="3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3" w:line="222" w:lineRule="auto"/>
              <w:ind w:left="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气象</w:t>
            </w:r>
          </w:p>
        </w:tc>
        <w:tc>
          <w:tcPr>
            <w:tcW w:w="1070" w:type="dxa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before="104" w:line="221" w:lineRule="auto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-649477</wp:posOffset>
                  </wp:positionH>
                  <wp:positionV relativeFrom="topMargin">
                    <wp:posOffset>247268</wp:posOffset>
                  </wp:positionV>
                  <wp:extent cx="579120" cy="635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rightMargin">
                    <wp:posOffset>-649477</wp:posOffset>
                  </wp:positionH>
                  <wp:positionV relativeFrom="topMargin">
                    <wp:posOffset>498728</wp:posOffset>
                  </wp:positionV>
                  <wp:extent cx="579120" cy="6350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波浪</w:t>
            </w:r>
          </w:p>
          <w:p>
            <w:pPr>
              <w:spacing w:before="180" w:line="221" w:lineRule="auto"/>
              <w:ind w:left="4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风</w:t>
            </w:r>
          </w:p>
          <w:p>
            <w:pPr>
              <w:spacing w:before="180" w:line="220" w:lineRule="auto"/>
              <w:ind w:left="1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能见距离</w:t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较小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较小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3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0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微小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0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1" w:lineRule="auto"/>
              <w:ind w:left="1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适中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3" w:line="222" w:lineRule="auto"/>
              <w:ind w:left="3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0" w:type="dxa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1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较好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1" w:lineRule="auto"/>
              <w:ind w:left="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较大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微小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gridSpan w:val="2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before="105" w:line="576" w:lineRule="exact"/>
              <w:ind w:left="284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position w:val="11"/>
                <w:sz w:val="18"/>
                <w:szCs w:val="18"/>
              </w:rPr>
              <w:t>交通</w:t>
            </w:r>
            <w:r>
              <w:rPr>
                <w:rFonts w:ascii="SimSun" w:eastAsia="SimSun" w:hAnsi="SimSun" w:cs="SimSun"/>
                <w:spacing w:val="3"/>
                <w:position w:val="11"/>
                <w:sz w:val="18"/>
                <w:szCs w:val="18"/>
              </w:rPr>
              <w:t xml:space="preserve">    </w:t>
            </w:r>
            <w:r>
              <w:ruby>
                <w:rubyPr>
                  <w:rubyAlign w:val="left"/>
                  <w:hps w:val="18"/>
                  <w:hpsRaise w:val="18"/>
                  <w:hpsBaseText w:val="21"/>
                </w:rubyPr>
                <w:rt>
                  <w:r>
                    <w:rPr>
                      <w:rFonts w:ascii="SimSun" w:eastAsia="SimSun" w:hAnsi="SimSun" w:cs="SimSun"/>
                      <w:w w:val="99"/>
                      <w:position w:val="11"/>
                      <w:sz w:val="18"/>
                      <w:szCs w:val="18"/>
                    </w:rPr>
                    <w:t>通航密度</w:t>
                  </w:r>
                </w:rt>
                <w:rubyBase>
                  <w:r>
                    <w:rPr>
                      <w:rFonts w:ascii="SimSun" w:eastAsia="SimSun" w:hAnsi="SimSun" w:cs="SimSun"/>
                      <w:w w:val="99"/>
                      <w:position w:val="-8"/>
                      <w:sz w:val="18"/>
                      <w:szCs w:val="18"/>
                    </w:rPr>
                    <w:t>交通局面</w:t>
                  </w:r>
                </w:rubyBase>
              </w:ruby>
            </w:r>
            <w:r>
              <w:rPr>
                <w:rFonts w:ascii="SimSun" w:eastAsia="SimSun" w:hAnsi="SimSun" w:cs="SimSun"/>
                <w:spacing w:val="6"/>
                <w:position w:val="-8"/>
                <w:sz w:val="18"/>
                <w:szCs w:val="18"/>
              </w:rPr>
              <w:t xml:space="preserve"> </w:t>
            </w:r>
            <w:r>
              <w:rPr>
                <w:position w:val="17"/>
                <w:sz w:val="18"/>
                <w:szCs w:val="18"/>
              </w:rPr>
              <w:drawing>
                <wp:inline distT="0" distB="0" distL="0" distR="0">
                  <wp:extent cx="3048" cy="3047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2" w:lineRule="auto"/>
              <w:ind w:left="1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较小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4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gridSpan w:val="2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0" w:lineRule="auto"/>
              <w:ind w:left="15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简单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微小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船舶条件</w:t>
            </w:r>
          </w:p>
        </w:tc>
        <w:tc>
          <w:tcPr>
            <w:tcW w:w="1930" w:type="dxa"/>
            <w:gridSpan w:val="2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6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排水量</w:t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1" w:lineRule="auto"/>
              <w:ind w:left="1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较大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微小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gridSpan w:val="2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7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吃水</w:t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1" w:lineRule="auto"/>
              <w:ind w:left="1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较大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微小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1"/>
        </w:trPr>
        <w:tc>
          <w:tcPr>
            <w:tcW w:w="906" w:type="dxa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gridSpan w:val="2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5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操纵性能</w:t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1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较好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中等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微小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0"/>
        </w:trPr>
        <w:tc>
          <w:tcPr>
            <w:tcW w:w="906" w:type="dxa"/>
            <w:vMerge w:val="restart"/>
            <w:tcBorders>
              <w:top w:val="single" w:sz="2" w:space="0" w:color="943634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管理因素</w:t>
            </w:r>
          </w:p>
        </w:tc>
        <w:tc>
          <w:tcPr>
            <w:tcW w:w="1930" w:type="dxa"/>
            <w:gridSpan w:val="2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调度管理</w:t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1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较好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1" w:lineRule="auto"/>
              <w:ind w:left="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较大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4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0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微小</w:t>
            </w:r>
          </w:p>
        </w:tc>
      </w:tr>
      <w:tr>
        <w:tblPrEx>
          <w:tblW w:w="9043" w:type="dxa"/>
          <w:tblInd w:w="618" w:type="dxa"/>
          <w:tblLayout w:type="fixed"/>
        </w:tblPrEx>
        <w:trPr>
          <w:trHeight w:val="398"/>
        </w:trPr>
        <w:tc>
          <w:tcPr>
            <w:tcW w:w="906" w:type="dxa"/>
            <w:vMerge/>
            <w:tcBorders>
              <w:top w:val="nil"/>
              <w:bottom w:val="single" w:sz="2" w:space="0" w:color="94363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gridSpan w:val="2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6" w:line="220" w:lineRule="auto"/>
              <w:ind w:left="5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交通管理</w:t>
            </w:r>
          </w:p>
        </w:tc>
        <w:tc>
          <w:tcPr>
            <w:tcW w:w="334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6" w:line="220" w:lineRule="auto"/>
              <w:ind w:left="1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条件较好</w:t>
            </w:r>
          </w:p>
        </w:tc>
        <w:tc>
          <w:tcPr>
            <w:tcW w:w="638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6" w:line="221" w:lineRule="auto"/>
              <w:ind w:left="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较大</w:t>
            </w:r>
          </w:p>
        </w:tc>
        <w:tc>
          <w:tcPr>
            <w:tcW w:w="1100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5" w:line="222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不太可能</w:t>
            </w:r>
          </w:p>
        </w:tc>
        <w:tc>
          <w:tcPr>
            <w:tcW w:w="1129" w:type="dxa"/>
            <w:tcBorders>
              <w:top w:val="single" w:sz="2" w:space="0" w:color="943634"/>
              <w:bottom w:val="single" w:sz="2" w:space="0" w:color="943634"/>
            </w:tcBorders>
            <w:vAlign w:val="top"/>
          </w:tcPr>
          <w:p>
            <w:pPr>
              <w:spacing w:before="106" w:line="220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微小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https://d.book118.com/428035013070006036</w:t>
        </w:r>
      </w:hyperlink>
    </w:p>
    <w:p/>
    <w:sectPr>
      <w:headerReference w:type="default" r:id="rId19"/>
      <w:footerReference w:type="default" r:id="rId20"/>
      <w:pgSz w:w="11908" w:h="16161"/>
      <w:pgMar w:top="400" w:right="1120" w:bottom="1408" w:left="1125" w:header="0" w:footer="1118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12" w:line="183" w:lineRule="auto"/>
      <w:ind w:left="59"/>
      <w:rPr>
        <w:rFonts w:ascii="Calibri" w:eastAsia="Calibri" w:hAnsi="Calibri" w:cs="Calibr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737616</wp:posOffset>
          </wp:positionH>
          <wp:positionV relativeFrom="page">
            <wp:posOffset>9367132</wp:posOffset>
          </wp:positionV>
          <wp:extent cx="6084569" cy="635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08456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7.5pt;height:12.75pt;margin-top:3.44pt;margin-left:444.9pt;position:absolute;z-index:251658240" filled="f" stroked="f">
          <o:lock v:ext="edit" aspectratio="f"/>
          <v:textbox inset="0,0,0,0">
            <w:txbxContent>
              <w:p>
                <w:pPr>
                  <w:spacing w:before="20" w:line="220" w:lineRule="auto"/>
                  <w:ind w:left="20"/>
                  <w:rPr>
                    <w:rFonts w:ascii="SimSun" w:eastAsia="SimSun" w:hAnsi="SimSun" w:cs="SimSun"/>
                    <w:sz w:val="18"/>
                    <w:szCs w:val="18"/>
                  </w:rPr>
                </w:pPr>
                <w:r>
                  <w:rPr>
                    <w:rFonts w:ascii="SimSun" w:eastAsia="SimSun" w:hAnsi="SimSun" w:cs="SimSun"/>
                    <w:color w:val="943634"/>
                    <w:spacing w:val="-2"/>
                    <w:sz w:val="18"/>
                    <w:szCs w:val="18"/>
                  </w:rPr>
                  <w:t>交通技术</w:t>
                </w:r>
              </w:p>
            </w:txbxContent>
          </v:textbox>
        </v:shape>
      </w:pict>
    </w:r>
    <w:r>
      <w:pict>
        <v:shape id="_x0000_s2051" type="#_x0000_t202" style="width:15.25pt;height:10.2pt;margin-top:5.34pt;margin-left:234.4pt;position:absolute;z-index:251660288" filled="f" stroked="f">
          <o:lock v:ext="edit" aspectratio="f"/>
          <v:textbox inset="0,0,0,0">
            <w:txbxContent>
              <w:p>
                <w:pPr>
                  <w:spacing w:before="19" w:line="179" w:lineRule="auto"/>
                  <w:ind w:left="2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rPr>
                    <w:rFonts w:ascii="Calibri" w:eastAsia="Calibri" w:hAnsi="Calibri" w:cs="Calibri"/>
                    <w:spacing w:val="-2"/>
                    <w:sz w:val="18"/>
                    <w:szCs w:val="18"/>
                  </w:rPr>
                  <w:t>323</w:t>
                </w:r>
              </w:p>
            </w:txbxContent>
          </v:textbox>
        </v:shape>
      </w:pict>
    </w:r>
    <w:r>
      <w:rPr>
        <w:rFonts w:ascii="Calibri" w:eastAsia="Calibri" w:hAnsi="Calibri" w:cs="Calibri"/>
        <w:color w:val="943634"/>
        <w:sz w:val="18"/>
        <w:szCs w:val="18"/>
      </w:rPr>
      <w:t>DOI</w:t>
    </w:r>
    <w:r>
      <w:rPr>
        <w:rFonts w:ascii="Calibri" w:eastAsia="Calibri" w:hAnsi="Calibri" w:cs="Calibri"/>
        <w:color w:val="943634"/>
        <w:spacing w:val="1"/>
        <w:sz w:val="18"/>
        <w:szCs w:val="18"/>
      </w:rPr>
      <w:t>:</w:t>
    </w:r>
    <w:hyperlink r:id="rId2" w:history="1">
      <w:r>
        <w:rPr>
          <w:rFonts w:ascii="Calibri" w:eastAsia="Calibri" w:hAnsi="Calibri" w:cs="Calibri"/>
          <w:color w:val="943634"/>
          <w:spacing w:val="1"/>
          <w:sz w:val="18"/>
          <w:szCs w:val="18"/>
        </w:rPr>
        <w:t>10.12677/</w:t>
      </w:r>
      <w:r>
        <w:rPr>
          <w:rFonts w:ascii="Calibri" w:eastAsia="Calibri" w:hAnsi="Calibri" w:cs="Calibri"/>
          <w:color w:val="943634"/>
          <w:sz w:val="18"/>
          <w:szCs w:val="18"/>
        </w:rPr>
        <w:t>ojtt</w:t>
      </w:r>
      <w:r>
        <w:rPr>
          <w:rFonts w:ascii="Calibri" w:eastAsia="Calibri" w:hAnsi="Calibri" w:cs="Calibri"/>
          <w:color w:val="943634"/>
          <w:spacing w:val="1"/>
          <w:sz w:val="18"/>
          <w:szCs w:val="18"/>
        </w:rPr>
        <w:t>.2023.124036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12" w:line="183" w:lineRule="auto"/>
      <w:ind w:left="59"/>
      <w:rPr>
        <w:rFonts w:ascii="Calibri" w:eastAsia="Calibri" w:hAnsi="Calibri" w:cs="Calibri"/>
        <w:sz w:val="18"/>
        <w:szCs w:val="18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737616</wp:posOffset>
          </wp:positionH>
          <wp:positionV relativeFrom="page">
            <wp:posOffset>9367132</wp:posOffset>
          </wp:positionV>
          <wp:extent cx="6084569" cy="6350"/>
          <wp:effectExtent l="0" t="0" r="0" b="0"/>
          <wp:wrapNone/>
          <wp:docPr id="101114249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114249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08456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7.5pt;height:12.75pt;margin-top:3.44pt;margin-left:444.9pt;position:absolute;z-index:251661312" filled="f" stroked="f">
          <o:lock v:ext="edit" aspectratio="f"/>
          <v:textbox inset="0,0,0,0">
            <w:txbxContent>
              <w:p>
                <w:pPr>
                  <w:spacing w:before="20" w:line="220" w:lineRule="auto"/>
                  <w:ind w:left="20"/>
                  <w:rPr>
                    <w:rFonts w:ascii="SimSun" w:eastAsia="SimSun" w:hAnsi="SimSun" w:cs="SimSun"/>
                    <w:sz w:val="18"/>
                    <w:szCs w:val="18"/>
                  </w:rPr>
                </w:pPr>
                <w:r>
                  <w:rPr>
                    <w:rFonts w:ascii="SimSun" w:eastAsia="SimSun" w:hAnsi="SimSun" w:cs="SimSun"/>
                    <w:color w:val="943634"/>
                    <w:spacing w:val="-2"/>
                    <w:sz w:val="18"/>
                    <w:szCs w:val="18"/>
                  </w:rPr>
                  <w:t>交通技术</w:t>
                </w:r>
              </w:p>
            </w:txbxContent>
          </v:textbox>
        </v:shape>
      </w:pict>
    </w:r>
    <w:r>
      <w:pict>
        <v:shape id="_x0000_s2054" type="#_x0000_t202" style="width:15.25pt;height:10.2pt;margin-top:5.34pt;margin-left:234.4pt;position:absolute;z-index:251663360" filled="f" stroked="f">
          <o:lock v:ext="edit" aspectratio="f"/>
          <v:textbox inset="0,0,0,0">
            <w:txbxContent>
              <w:p>
                <w:pPr>
                  <w:spacing w:before="19" w:line="179" w:lineRule="auto"/>
                  <w:ind w:left="2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rPr>
                    <w:rFonts w:ascii="Calibri" w:eastAsia="Calibri" w:hAnsi="Calibri" w:cs="Calibri"/>
                    <w:spacing w:val="-2"/>
                    <w:sz w:val="18"/>
                    <w:szCs w:val="18"/>
                  </w:rPr>
                  <w:t>323</w:t>
                </w:r>
              </w:p>
            </w:txbxContent>
          </v:textbox>
        </v:shape>
      </w:pict>
    </w:r>
    <w:r>
      <w:rPr>
        <w:rFonts w:ascii="Calibri" w:eastAsia="Calibri" w:hAnsi="Calibri" w:cs="Calibri"/>
        <w:color w:val="943634"/>
        <w:sz w:val="18"/>
        <w:szCs w:val="18"/>
      </w:rPr>
      <w:t>DOI</w:t>
    </w:r>
    <w:r>
      <w:rPr>
        <w:rFonts w:ascii="Calibri" w:eastAsia="Calibri" w:hAnsi="Calibri" w:cs="Calibri"/>
        <w:color w:val="943634"/>
        <w:spacing w:val="1"/>
        <w:sz w:val="18"/>
        <w:szCs w:val="18"/>
      </w:rPr>
      <w:t>:</w:t>
    </w:r>
    <w:hyperlink r:id="rId2" w:history="1">
      <w:r>
        <w:rPr>
          <w:rFonts w:ascii="Calibri" w:eastAsia="Calibri" w:hAnsi="Calibri" w:cs="Calibri"/>
          <w:color w:val="943634"/>
          <w:spacing w:val="1"/>
          <w:sz w:val="18"/>
          <w:szCs w:val="18"/>
        </w:rPr>
        <w:t>10.12677/</w:t>
      </w:r>
      <w:r>
        <w:rPr>
          <w:rFonts w:ascii="Calibri" w:eastAsia="Calibri" w:hAnsi="Calibri" w:cs="Calibri"/>
          <w:color w:val="943634"/>
          <w:sz w:val="18"/>
          <w:szCs w:val="18"/>
        </w:rPr>
        <w:t>ojtt</w:t>
      </w:r>
      <w:r>
        <w:rPr>
          <w:rFonts w:ascii="Calibri" w:eastAsia="Calibri" w:hAnsi="Calibri" w:cs="Calibri"/>
          <w:color w:val="943634"/>
          <w:spacing w:val="1"/>
          <w:sz w:val="18"/>
          <w:szCs w:val="18"/>
        </w:rPr>
        <w:t>.2023.124036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12" w:line="183" w:lineRule="auto"/>
      <w:ind w:left="51"/>
      <w:rPr>
        <w:rFonts w:ascii="Calibri" w:eastAsia="Calibri" w:hAnsi="Calibri" w:cs="Calibri"/>
        <w:sz w:val="18"/>
        <w:szCs w:val="18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737616</wp:posOffset>
          </wp:positionH>
          <wp:positionV relativeFrom="page">
            <wp:posOffset>9367132</wp:posOffset>
          </wp:positionV>
          <wp:extent cx="6084569" cy="63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08456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7.5pt;height:12.75pt;margin-top:3.44pt;margin-left:444.5pt;position:absolute;z-index:251664384" filled="f" stroked="f">
          <o:lock v:ext="edit" aspectratio="f"/>
          <v:textbox inset="0,0,0,0">
            <w:txbxContent>
              <w:p>
                <w:pPr>
                  <w:spacing w:before="20" w:line="220" w:lineRule="auto"/>
                  <w:ind w:left="20"/>
                  <w:rPr>
                    <w:rFonts w:ascii="SimSun" w:eastAsia="SimSun" w:hAnsi="SimSun" w:cs="SimSun"/>
                    <w:sz w:val="18"/>
                    <w:szCs w:val="18"/>
                  </w:rPr>
                </w:pPr>
                <w:r>
                  <w:rPr>
                    <w:rFonts w:ascii="SimSun" w:eastAsia="SimSun" w:hAnsi="SimSun" w:cs="SimSun"/>
                    <w:color w:val="943634"/>
                    <w:spacing w:val="-2"/>
                    <w:sz w:val="18"/>
                    <w:szCs w:val="18"/>
                  </w:rPr>
                  <w:t>交通技术</w:t>
                </w:r>
              </w:p>
            </w:txbxContent>
          </v:textbox>
        </v:shape>
      </w:pict>
    </w:r>
    <w:r>
      <w:pict>
        <v:shape id="_x0000_s2056" type="#_x0000_t202" style="width:15.25pt;height:10.2pt;margin-top:5.34pt;margin-left:234pt;position:absolute;z-index:251666432" filled="f" stroked="f">
          <o:lock v:ext="edit" aspectratio="f"/>
          <v:textbox inset="0,0,0,0">
            <w:txbxContent>
              <w:p>
                <w:pPr>
                  <w:spacing w:before="19" w:line="179" w:lineRule="auto"/>
                  <w:ind w:left="2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rPr>
                    <w:rFonts w:ascii="Calibri" w:eastAsia="Calibri" w:hAnsi="Calibri" w:cs="Calibri"/>
                    <w:spacing w:val="-2"/>
                    <w:sz w:val="18"/>
                    <w:szCs w:val="18"/>
                  </w:rPr>
                  <w:t>324</w:t>
                </w:r>
              </w:p>
            </w:txbxContent>
          </v:textbox>
        </v:shape>
      </w:pict>
    </w:r>
    <w:r>
      <w:rPr>
        <w:rFonts w:ascii="Calibri" w:eastAsia="Calibri" w:hAnsi="Calibri" w:cs="Calibri"/>
        <w:color w:val="943634"/>
        <w:sz w:val="18"/>
        <w:szCs w:val="18"/>
      </w:rPr>
      <w:t>DOI</w:t>
    </w:r>
    <w:r>
      <w:rPr>
        <w:rFonts w:ascii="Calibri" w:eastAsia="Calibri" w:hAnsi="Calibri" w:cs="Calibri"/>
        <w:color w:val="943634"/>
        <w:spacing w:val="1"/>
        <w:sz w:val="18"/>
        <w:szCs w:val="18"/>
      </w:rPr>
      <w:t>:</w:t>
    </w:r>
    <w:hyperlink r:id="rId2" w:history="1">
      <w:r>
        <w:rPr>
          <w:rFonts w:ascii="Calibri" w:eastAsia="Calibri" w:hAnsi="Calibri" w:cs="Calibri"/>
          <w:color w:val="943634"/>
          <w:spacing w:val="1"/>
          <w:sz w:val="18"/>
          <w:szCs w:val="18"/>
        </w:rPr>
        <w:t>10.12677/</w:t>
      </w:r>
      <w:r>
        <w:rPr>
          <w:rFonts w:ascii="Calibri" w:eastAsia="Calibri" w:hAnsi="Calibri" w:cs="Calibri"/>
          <w:color w:val="943634"/>
          <w:sz w:val="18"/>
          <w:szCs w:val="18"/>
        </w:rPr>
        <w:t>ojtt</w:t>
      </w:r>
      <w:r>
        <w:rPr>
          <w:rFonts w:ascii="Calibri" w:eastAsia="Calibri" w:hAnsi="Calibri" w:cs="Calibri"/>
          <w:color w:val="943634"/>
          <w:spacing w:val="1"/>
          <w:sz w:val="18"/>
          <w:szCs w:val="18"/>
        </w:rPr>
        <w:t>.2023.124036</w:t>
      </w:r>
    </w:hyperlink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9121"/>
      <w:rPr>
        <w:rFonts w:ascii="SimSun" w:eastAsia="SimSun" w:hAnsi="SimSun" w:cs="SimSun"/>
        <w:sz w:val="18"/>
        <w:szCs w:val="18"/>
      </w:rPr>
    </w:pPr>
    <w:r>
      <w:pict>
        <v:shape id="_x0000_s2049" style="width:482.7pt;height:0.75pt;margin-top:78.03pt;margin-left:55.88pt;mso-position-horizontal-relative:page;mso-position-vertical-relative:page;position:absolute;z-index:251658240" coordorigin="0,0" coordsize="9654,15" o:allowincell="f" path="m7,7l9645,7e" filled="f" strokecolor="#943634" strokeweight="0.75pt">
          <v:stroke endcap="round"/>
        </v:shape>
      </w:pict>
    </w:r>
    <w:r>
      <w:rPr>
        <w:rFonts w:ascii="SimSun" w:eastAsia="SimSun" w:hAnsi="SimSun" w:cs="SimSun"/>
        <w:spacing w:val="-2"/>
        <w:sz w:val="18"/>
        <w:szCs w:val="18"/>
      </w:rPr>
      <w:t>刘志辉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9121"/>
      <w:rPr>
        <w:rFonts w:ascii="SimSun" w:eastAsia="SimSun" w:hAnsi="SimSun" w:cs="SimSun"/>
        <w:sz w:val="18"/>
        <w:szCs w:val="18"/>
      </w:rPr>
    </w:pPr>
    <w:r>
      <w:pict>
        <v:shape id="_x0000_s2052" style="width:482.7pt;height:0.75pt;margin-top:78.03pt;margin-left:55.88pt;mso-position-horizontal-relative:page;mso-position-vertical-relative:page;position:absolute;z-index:251659264" coordorigin="0,0" coordsize="9654,15" o:allowincell="f" path="m7,7l9645,7e" filled="f" strokecolor="#943634" strokeweight="0.75pt">
          <v:stroke endcap="round"/>
        </v:shape>
      </w:pict>
    </w:r>
    <w:r>
      <w:rPr>
        <w:rFonts w:ascii="SimSun" w:eastAsia="SimSun" w:hAnsi="SimSun" w:cs="SimSun"/>
        <w:spacing w:val="-2"/>
        <w:sz w:val="18"/>
        <w:szCs w:val="18"/>
      </w:rPr>
      <w:t>刘志辉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Cambria" w:eastAsia="Cambria" w:hAnsi="Cambria" w:cs="Cambria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Calibri" w:eastAsia="Calibri" w:hAnsi="Calibri" w:cs="Calibri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image" Target="media/image5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6.jpeg" /><Relationship Id="rId17" Type="http://schemas.openxmlformats.org/officeDocument/2006/relationships/image" Target="media/image7.jpeg" /><Relationship Id="rId18" Type="http://schemas.openxmlformats.org/officeDocument/2006/relationships/hyperlink" Target="https://d.book118.com/428035013070006036" TargetMode="External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yperlink" Target="https://www.hanspub.org/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s://www.hanspub.org/journal/ojtt" TargetMode="External" /><Relationship Id="rId7" Type="http://schemas.openxmlformats.org/officeDocument/2006/relationships/hyperlink" Target="https://doi.org/10.12677/ojtt.2023.124036" TargetMode="External" /><Relationship Id="rId8" Type="http://schemas.openxmlformats.org/officeDocument/2006/relationships/image" Target="media/image2.jpeg" /><Relationship Id="rId9" Type="http://schemas.openxmlformats.org/officeDocument/2006/relationships/hyperlink" Target="http://creativecommons.org/licenses/by/4.0/" TargetMode="Externa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Relationship Id="rId2" Type="http://schemas.openxmlformats.org/officeDocument/2006/relationships/hyperlink" Target="https://doi.org/10.12677/ojtt.2023.124036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Relationship Id="rId2" Type="http://schemas.openxmlformats.org/officeDocument/2006/relationships/hyperlink" Target="https://doi.org/10.12677/ojtt.2023.124036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Relationship Id="rId2" Type="http://schemas.openxmlformats.org/officeDocument/2006/relationships/hyperlink" Target="https://doi.org/10.12677/ojtt.2023.124036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LNG船舶夜间通航安全性的仿真研究</dc:title>
  <dc:subject>为确保大型LNG船舶夜间进出港及靠离泊安全，提高北海LNG船舶夜间通航能力，本文构建综合评判模型和夜航动力学模型对北海LNG船舶夜航通航进行安全进行评估，然后提出靠离泊方案和限制条件，最后进行了船舶模拟仿真试验。根据对夜间通航环境的评估结果，北海LNG码头具有良好的本质安全性，试验表明广西北海港铁山港区LNG码头26.6万m³ LNG船舶、21.5万m³ LNG船舶、17.5万m³ LNG船舶在限定条件下，夜间航道航行、满载靠泊、压载离泊均能安全完成。</dc:subject>
  <dc:creator>刘志辉</dc:creator>
  <cp:keywords>LNG，通航安全，夜间通航，船舶模拟仿真</cp:keywords>
  <cp:revision>0</cp:revision>
  <dcterms:created xsi:type="dcterms:W3CDTF">2024-02-18T20:26:19Z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2024-02-18T20:32:08Z</vt:filetime>
  </property>
  <property fmtid="{D5CDD505-2E9C-101B-9397-08002B2CF9AE}" pid="3" name="CRO">
    <vt:lpwstr>wqlLaW5nc29mdCBQREYgdG8gV1BTIDkw</vt:lpwstr>
  </property>
</Properties>
</file>