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2023年河南省中考地理真题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一、选择题组</w:t>
            </w:r>
          </w:p>
        </w:tc>
      </w:tr>
    </w:tbl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邮戳是邮局在信件、包裹等上加盖的戳记。各地邮局常会结合地域文化景观设计纪念邮戳。下图为我国部分邮局的位置和营业时间示意图。读图，完成下面小题。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95575" cy="18383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图示邮局营业时间存在差异的主要原因是（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A．地球形状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B．地球大小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C．地球自转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D．地球公转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最可能在②地邮局加盖的邮戳是（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981075" cy="885825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971550" cy="9144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009650" cy="93345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962025" cy="95250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人口分布受多种因素影响。一个地区人口数量过多或过少，都会成为人口问题。下图为南美洲人口分布示意图。读图，完成下面小题。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4"/>
          <w:headerReference w:type="default" r:id="rId15"/>
          <w:footerReference w:type="even" r:id="rId16"/>
          <w:footerReference w:type="default" r:id="rId17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95425" cy="1905000"/>
            <wp:docPr id="20349774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774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南美洲人口集中分布在（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A．北部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B．内陆地区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C．东南部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D．河流沿岸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影响甲区域人口分布的主要因素是（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A．地形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B．矿产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C．河流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D．气候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乙区域可能出现的人口问题有（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①劳动力短缺②交通压力增大③居住条件差④国防兵源不足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A．①②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B．①④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C．②③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D．③④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印度和新西兰是养牛业大国。印度的牛奶产量居世界前列，但奶制品出口量小，新西兰则是奶制品出口大国。下图为印度和新西兰简图。读图，完成下面小题。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238500" cy="3562350"/>
            <wp:docPr id="2175326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5326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2676525" cy="3476625"/>
            <wp:docPr id="17545824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5824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两国均位于（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A．中纬度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B．北半球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C．板块交界处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D．太平洋沿岸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印度奶制品出口量小的主要原因是（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A．产量不稳定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B．国内市场大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C．自然灾害多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D．交通条件差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与印度相比，新西兰发展养牛业的优势体现在（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①气候温和湿润，牧草多汁②地形平坦开阔，利于放牧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③养殖技术先进，管理规范④国土面积较大，草场广布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A．①③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B．①④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C．②③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D．②④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2014年，我国南极泰山站正式投入使用，因其红色的碟形高架设计被称为“中国红灯笼”。2019年，泰山站二期雪下建筑顺利完工，雪下建筑采用集装箱模块组合形式，主体埋于深雪之下。下图为泰山站一期和二期建筑景观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467100" cy="2295525"/>
            <wp:docPr id="6804199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4199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泰山站二期雪下建筑的施工时间最可能是（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A．12、1、2月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B．3、4、5月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C．6、7、8月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D．9、10、11月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与一期建筑相比，二期雪下建筑（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A．保温性强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B．外形美观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C．易于采光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D．视野开阔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下图为2023年我国部分城市的樱花最佳观赏期示意图。读图，完成下面小题。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162175" cy="1876425"/>
            <wp:docPr id="10972777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2777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图示区域赏樱时间不同的主要影响因素是（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A．人类活动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B．海陆位置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C．地势高低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D．纬度位置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武汉樱花的花期通常持续两周以上。2022年，正值盛花期的樱花开放仅一周后几乎一夜落光，导致这种现象的天气最有可能是（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809625" cy="638175"/>
            <wp:docPr id="18458885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8885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733425" cy="457200"/>
            <wp:docPr id="2047582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582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790575" cy="495300"/>
            <wp:docPr id="7324428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4428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714375" cy="476250"/>
            <wp:docPr id="4062914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2914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1952年以来，陕西省榆林市韭园沟开展了持续七十年的水土保持工作，为治水治沙探索破解之道。下图为黄河流域水土保持率、黄河流域范围及韭园沟水土流失治理示意图。读图，完成下面小题。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467475" cy="1514475"/>
            <wp:docPr id="8436860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686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1990~2021年黄河流域水土保持率（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A．呈上升趋势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B．呈下降趋势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C．先升后降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D．先降后升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下列组合与图示水土流失治理措施对应正确的是（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A．墚峁顶——打坝淤地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B．山坡——植树种草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C．沟底——种植经济林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D．山坡——草田轮作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“浙东唐诗之路”是以唐诗为主题、以唐代诗人的足迹为纽带形成的诗歌文化线路。2022年，杭台高铁开通，“浙东唐诗之路”与现代高铁相遇相融、相得益彰。下图为“浙东唐诗之路”和杭台高铁线路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4"/>
          <w:headerReference w:type="default" r:id="rId45"/>
          <w:footerReference w:type="even" r:id="rId46"/>
          <w:footerReference w:type="default" r:id="rId47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24025" cy="1562100"/>
            <wp:docPr id="176294288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94288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“浙东唐诗之路”沿途可以领略到（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A．天台邻四明，华顶高百越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B．大漠孤烟直，长河落日圆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C．气蒸云梦泽，波撼岳阳城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D．岱宗夫如何，齐鲁青未了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杭台高铁对推广“浙东唐诗之路”的积极作用有（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①提供便捷的交通运输②促进区域的文旅交流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③保持原始的自然风貌④传承优秀的唐诗文化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A．①②③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B．①②④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C．①③④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D．②③④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广东省水产养殖产量稳居全国第一，着力打造“粤海粮仓”。2019年8月，我国研发的全球首台半潜式养殖平台“澎湖号”在广东投入使用，实现了恶劣海况下的安全生产。下图为广东省位置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9"/>
          <w:headerReference w:type="default" r:id="rId50"/>
          <w:footerReference w:type="even" r:id="rId51"/>
          <w:footerReference w:type="default" r:id="rId52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228850" cy="1390650"/>
            <wp:docPr id="222433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33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广东省发展渔业的突出优势在于（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A．光热充足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B．人口众多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C．交通便利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D．海域辽阔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在渔业生产中，“澎湖号”抵御的主要自然灾害是（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A．地震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B．寒潮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C．干旱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D．台风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“鏖战独树镇”是长征著名战斗之一，其旧址位于河南省方城县。南水北调中线工程也流经此地，一片丹心见证了一江“丹水”北上。下图为河南省境内长征行进方向和南水北调中线工程线路示意图。读图，完成下面小题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153025" cy="2714625"/>
            <wp:docPr id="13801672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1672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独树镇战斗中，红军战士英勇无畏，胜利挺进伏牛山区。在这里，红军要战胜的困难是（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A．悬崖陡峭，攀爬不便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B．河网纵横，行军缓慢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C．山地夹峙，易受阻击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D．雪山林立，湿滑难行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南水北调中线工程选择从独树镇经过的主要原因是（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A．城镇较多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B．工程量小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C．线路较短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D．水质优良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>
      <w:pPr>
        <w:sectPr w:rsidSect="00B5694A">
          <w:headerReference w:type="even" r:id="rId55"/>
          <w:headerReference w:type="default" r:id="rId56"/>
          <w:footerReference w:type="even" r:id="rId57"/>
          <w:footerReference w:type="default" r:id="rId58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西藏充分发挥水资源优势，助推“西藏好水”走向国内外市场。2022年，西藏饮用水出口额增长近50%。下图为西藏水资源分布示意图。阅读图文材料，回答下列问题。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648075" cy="2152650"/>
            <wp:docPr id="149775855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7585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守一方净土，掬一捧天上之水。西藏是世界上罕有的无污染之地，也是我国水资源最丰富的地区。这里的水富含多种人体所需的矿物质，具有极高的开发利用价值。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(1)西藏水资源主要包括</w:t>
      </w:r>
      <w:r>
        <w:rPr>
          <w:rFonts w:ascii="宋体" w:hAnsi="宋体" w:cs="宋体"/>
          <w:kern w:val="0"/>
          <w:szCs w:val="24"/>
          <w:lang w:eastAsia="en-US"/>
        </w:rPr>
        <w:t>____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</w:t>
      </w:r>
      <w:r>
        <w:rPr>
          <w:rFonts w:ascii="宋体" w:hAnsi="宋体" w:cs="宋体"/>
          <w:kern w:val="0"/>
          <w:szCs w:val="24"/>
          <w:lang w:eastAsia="en-US"/>
        </w:rPr>
        <w:t>、淡水湖泊水等。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(2)描述西藏水资源的特点。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受自然条件制约，生产难和物流成本高曾是西藏天然饮用水产业面临的两座大山。随着国家持续的建设投入，西藏交通、物流等快速发展，天然饮用水市场竞争力显著增强。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(3)简述西藏天然饮用水生产难的自然原因。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(4)列举两条我国在降低西藏物流成本方面采取的措施。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四川省宜宾市以其丰富的竹资源、发达的竹产业，成为“竹经济”强市。下图为四川省地形图、宜宾市气候统计图及竹子习性示意图。阅读图文材料，回答下列问题。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https://d.book118.com/428037072015006037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1"/>
      <w:headerReference w:type="default" r:id="rId62"/>
      <w:footerReference w:type="even" r:id="rId63"/>
      <w:footerReference w:type="default" r:id="rId64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footer" Target="footer4.xml" /><Relationship Id="rId18" Type="http://schemas.openxmlformats.org/officeDocument/2006/relationships/image" Target="media/image6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image" Target="media/image8.pn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header" Target="header10.xml" /><Relationship Id="rId32" Type="http://schemas.openxmlformats.org/officeDocument/2006/relationships/footer" Target="footer9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1.xml" /><Relationship Id="rId42" Type="http://schemas.openxmlformats.org/officeDocument/2006/relationships/footer" Target="footer12.xml" /><Relationship Id="rId43" Type="http://schemas.openxmlformats.org/officeDocument/2006/relationships/image" Target="media/image15.png" /><Relationship Id="rId44" Type="http://schemas.openxmlformats.org/officeDocument/2006/relationships/header" Target="header13.xml" /><Relationship Id="rId45" Type="http://schemas.openxmlformats.org/officeDocument/2006/relationships/header" Target="header14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image" Target="media/image16.png" /><Relationship Id="rId49" Type="http://schemas.openxmlformats.org/officeDocument/2006/relationships/header" Target="header15.xml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17.png" /><Relationship Id="rId54" Type="http://schemas.openxmlformats.org/officeDocument/2006/relationships/image" Target="media/image18.png" /><Relationship Id="rId55" Type="http://schemas.openxmlformats.org/officeDocument/2006/relationships/header" Target="header17.xml" /><Relationship Id="rId56" Type="http://schemas.openxmlformats.org/officeDocument/2006/relationships/header" Target="header18.xml" /><Relationship Id="rId57" Type="http://schemas.openxmlformats.org/officeDocument/2006/relationships/footer" Target="footer17.xml" /><Relationship Id="rId58" Type="http://schemas.openxmlformats.org/officeDocument/2006/relationships/footer" Target="footer18.xml" /><Relationship Id="rId59" Type="http://schemas.openxmlformats.org/officeDocument/2006/relationships/image" Target="media/image19.png" /><Relationship Id="rId6" Type="http://schemas.openxmlformats.org/officeDocument/2006/relationships/header" Target="header2.xml" /><Relationship Id="rId60" Type="http://schemas.openxmlformats.org/officeDocument/2006/relationships/hyperlink" Target="https://d.book118.com/428037072015006037" TargetMode="External" /><Relationship Id="rId61" Type="http://schemas.openxmlformats.org/officeDocument/2006/relationships/header" Target="header19.xml" /><Relationship Id="rId62" Type="http://schemas.openxmlformats.org/officeDocument/2006/relationships/header" Target="header20.xml" /><Relationship Id="rId63" Type="http://schemas.openxmlformats.org/officeDocument/2006/relationships/footer" Target="footer19.xml" /><Relationship Id="rId64" Type="http://schemas.openxmlformats.org/officeDocument/2006/relationships/footer" Target="footer20.xm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10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