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2024年神木职业技术学院高职单招（英语／数学／语文）笔试历年真题摘选含答案解析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下列关于《礼记·大同》的表述，不正确的一项是（）。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A.论述了“大同”与“小康”的不同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B.为增强说理气势，多处使用夸张、比喻等修辞手法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C.间接反映了对现实的不满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D.表达了孔子对原始共产主义社会的向往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先秦诸子散文中，最富有浪漫色彩的是（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https://d.book118.com/428101053072006045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28101053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