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2018-2023年西藏职业技术学院高职单招（数学／语文／英语）历年常考试题库含答案解析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下列句子中，含有使动用法的是（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A.故今具道所以，冀君实或见恕也。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B.若弗与，则请除之，无生民心。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C.及尔偕老，老使我怨。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D.千金，重币也；百乘，显使也。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《行路难》中具有象征意义的诗句是（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A.欲渡黄河冰塞川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B.玉盘珍羞直万钱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C.停杯投箸不能食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D.拔剑四顾心茫然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李后主是指（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B.李商隐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《谈时间》主要论述（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A.时间的作用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B.要挽住时光的流逝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C.如何去打发我们所能掌握的尚未逝去的时间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《箱子岩》一文选自散文集（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A.《湘行散记》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B.《湘西》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C.《从文自传》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在《答司马谏议书》中，王安石驳斥司马光指责新法“征利”的观点时，所持的理论依据是（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A.“受命于人主”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B.“举先王之政”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C.“为天下理财”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D.“度义而后动”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下列诗作中，属于乐府旧题的是（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A.《关山月》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下列议论文中，属于驳论的是（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B.《论快乐》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D.《论毅力》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“人有悲欢离合，月有阴晴圆缺”这两句诗出自（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A.李煜《虞美人》（春花秋月何时了）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B.柳永《八声甘州》（对潇潇暮雨洒江天）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C.苏轼《水调歌头》（明月几时有）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D.李清照《声声慢》（寻寻觅觅）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被称为唐宋八大家之首的作家是（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A.司马迁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《短歌行》中化用《诗经·郑风·子衿》中的一句是（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A.何以解忧？唯有杜康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B.青青子衿，悠悠我心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C.山不厌高，水不厌深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D.呦呦鹿鸣，食野之萍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下列孟子《寡人之于国也》的文句中，最能体现其文主旨的是（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A.寡人之民不加多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B.五十步笑百步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C.申之以孝悌之义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D.王无罪岁，斯天下之民至焉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4534376" cy="140984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4376" cy="14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下列语句中，论述“大同世界”特点的是（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A.各亲其亲，各子其子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https://d.book118.com/428116005132006040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428116005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