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金属氢化物－镍(MHNI)蓄电池行业相关公司设立可行性研究报告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2" w:history="1">
        <w:r>
          <w:rPr>
            <w:rFonts w:ascii="仿宋" w:eastAsia="仿宋" w:hAnsi="仿宋" w:cs="仿宋" w:hint="eastAsia"/>
            <w:lang w:eastAsia="zh-CN"/>
          </w:rPr>
          <w:t>二、金属氢化物－镍(MHNI)蓄电池筹建公司基本信息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_Toc6058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_Toc18296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_Toc18502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_Toc17691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_Toc9549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_Toc8153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(七)、金属氢化物－镍(MHNI)蓄电池项目建设必要性分析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2" w:history="1">
        <w:r>
          <w:rPr>
            <w:rFonts w:ascii="仿宋" w:eastAsia="仿宋" w:hAnsi="仿宋" w:cs="仿宋" w:hint="eastAsia"/>
            <w:lang w:eastAsia="zh-CN"/>
          </w:rPr>
          <w:t>六、金属氢化物－镍(MHNI)蓄电池项目风险分析</w:t>
        </w:r>
        <w:r>
          <w:tab/>
        </w:r>
        <w:r>
          <w:fldChar w:fldCharType="begin"/>
        </w:r>
        <w:r>
          <w:instrText xml:space="preserve"> PAGEREF _Toc11042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(一)、金属氢化物－镍(MHNI)蓄电池项目风险分析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(二)、金属氢化物－镍(MHNI)蓄电池项目风险对策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_Toc14758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(一)、金属氢化物－镍(MHNI)蓄电池项目背景分析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(二)、金属氢化物－镍(MHNI)蓄电池项目建设必要性分析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_Toc14691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_Toc22054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_Toc24989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_Toc8722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_Toc22855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_Toc23558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_Toc26526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_Toc7680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3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8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https://d.book118.com/435022011131011100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金属氢化物－镍(MHNI)蓄电池行业相关公司设立可行性研究报告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5022011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2023-12-31T20:56:00Z</dcterms:created>
  <dcterms:modified xsi:type="dcterms:W3CDTF">2023-12-31T20:56:19Z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D77F906693EE479B9C6BF063EA02072D_11</vt:lpwstr>
  </property>
  <property fmtid="{D5CDD505-2E9C-101B-9397-08002B2CF9AE}" pid="3" name="KSOProductBuildVer">
    <vt:lpwstr>2052-12.1.0.16120</vt:lpwstr>
  </property>
</Properties>
</file>