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outlineLvl w:val="0"/>
        <w:rPr>
          <w:rFonts w:ascii="宋体" w:hAnsi="宋体" w:hint="eastAsia"/>
          <w:spacing w:val="20"/>
          <w:sz w:val="44"/>
        </w:rPr>
      </w:pPr>
    </w:p>
    <w:p>
      <w:pPr>
        <w:outlineLvl w:val="0"/>
        <w:rPr>
          <w:rFonts w:ascii="宋体" w:hAnsi="宋体" w:hint="eastAsia"/>
          <w:spacing w:val="20"/>
          <w:sz w:val="44"/>
        </w:rPr>
      </w:pPr>
    </w:p>
    <w:p>
      <w:pPr>
        <w:jc w:val="center"/>
        <w:outlineLvl w:val="0"/>
        <w:rPr>
          <w:rFonts w:ascii="宋体" w:hAnsi="宋体" w:hint="eastAsia"/>
          <w:spacing w:val="20"/>
          <w:sz w:val="44"/>
        </w:rPr>
      </w:pPr>
    </w:p>
    <w:p>
      <w:pPr>
        <w:spacing w:line="360" w:lineRule="auto"/>
        <w:jc w:val="center"/>
        <w:rPr>
          <w:rFonts w:hint="eastAsia"/>
          <w:b/>
          <w:sz w:val="52"/>
          <w:szCs w:val="52"/>
        </w:rPr>
      </w:pPr>
      <w:r>
        <w:rPr>
          <w:rFonts w:eastAsia="黑体" w:hint="eastAsia"/>
          <w:sz w:val="52"/>
          <w:szCs w:val="52"/>
        </w:rPr>
        <w:t>绍兴市汽车运输集团有限公司</w:t>
      </w:r>
    </w:p>
    <w:p>
      <w:pPr>
        <w:spacing w:line="360" w:lineRule="auto"/>
        <w:jc w:val="center"/>
        <w:rPr>
          <w:rFonts w:eastAsia="黑体" w:hint="eastAsia"/>
          <w:sz w:val="52"/>
          <w:szCs w:val="52"/>
        </w:rPr>
      </w:pPr>
      <w:r>
        <w:rPr>
          <w:rFonts w:eastAsia="黑体" w:hint="eastAsia"/>
          <w:sz w:val="52"/>
          <w:szCs w:val="52"/>
        </w:rPr>
        <w:t>绍兴汽车南站建设项目</w:t>
      </w:r>
    </w:p>
    <w:p>
      <w:pPr>
        <w:spacing w:line="360" w:lineRule="auto"/>
        <w:jc w:val="center"/>
        <w:rPr>
          <w:rFonts w:hint="eastAsia"/>
          <w:b/>
          <w:bCs/>
          <w:sz w:val="72"/>
          <w:szCs w:val="72"/>
        </w:rPr>
      </w:pPr>
      <w:r>
        <w:rPr>
          <w:rFonts w:hint="eastAsia"/>
          <w:b/>
          <w:bCs/>
          <w:sz w:val="72"/>
          <w:szCs w:val="72"/>
        </w:rPr>
        <w:t>环 境 影 响 报 告 表</w:t>
      </w:r>
    </w:p>
    <w:p>
      <w:pPr>
        <w:jc w:val="center"/>
        <w:rPr>
          <w:rFonts w:hint="eastAsia"/>
          <w:bCs/>
          <w:sz w:val="36"/>
          <w:szCs w:val="36"/>
        </w:rPr>
      </w:pPr>
      <w:r>
        <w:rPr>
          <w:rFonts w:hint="eastAsia"/>
          <w:bCs/>
          <w:sz w:val="36"/>
          <w:szCs w:val="36"/>
        </w:rPr>
        <w:t>（简要本）</w:t>
      </w:r>
    </w:p>
    <w:p>
      <w:pPr>
        <w:jc w:val="center"/>
        <w:rPr>
          <w:rFonts w:hint="eastAsia"/>
          <w:b/>
          <w:sz w:val="36"/>
        </w:rPr>
      </w:pPr>
    </w:p>
    <w:p>
      <w:pPr>
        <w:jc w:val="center"/>
        <w:rPr>
          <w:rFonts w:hint="eastAsia"/>
          <w:b/>
          <w:sz w:val="36"/>
        </w:rPr>
      </w:pPr>
    </w:p>
    <w:p>
      <w:pPr>
        <w:spacing w:line="720" w:lineRule="auto"/>
        <w:jc w:val="center"/>
        <w:rPr>
          <w:rFonts w:hint="eastAsia"/>
          <w:b/>
          <w:sz w:val="36"/>
        </w:rPr>
      </w:pPr>
    </w:p>
    <w:p>
      <w:pPr>
        <w:jc w:val="center"/>
        <w:rPr>
          <w:rFonts w:hint="eastAsia"/>
          <w:b/>
          <w:sz w:val="36"/>
        </w:rPr>
      </w:pPr>
    </w:p>
    <w:p>
      <w:pPr>
        <w:jc w:val="center"/>
        <w:rPr>
          <w:rFonts w:hint="eastAsia"/>
          <w:b/>
          <w:sz w:val="36"/>
        </w:rPr>
      </w:pPr>
    </w:p>
    <w:p>
      <w:pPr>
        <w:spacing w:line="720" w:lineRule="auto"/>
        <w:jc w:val="center"/>
        <w:rPr>
          <w:rFonts w:hint="eastAsia"/>
          <w:b/>
          <w:sz w:val="36"/>
        </w:rPr>
      </w:pPr>
    </w:p>
    <w:p>
      <w:pPr>
        <w:spacing w:line="720" w:lineRule="auto"/>
        <w:jc w:val="center"/>
        <w:rPr>
          <w:rFonts w:hint="eastAsia"/>
          <w:b/>
          <w:sz w:val="36"/>
        </w:rPr>
      </w:pPr>
    </w:p>
    <w:p>
      <w:pPr>
        <w:jc w:val="center"/>
        <w:rPr>
          <w:rFonts w:hAnsi="宋体" w:hint="eastAsia"/>
          <w:bCs/>
          <w:sz w:val="32"/>
          <w:szCs w:val="32"/>
        </w:rPr>
      </w:pPr>
    </w:p>
    <w:p>
      <w:pPr>
        <w:jc w:val="center"/>
        <w:rPr>
          <w:rFonts w:ascii="宋体" w:hAnsi="宋体" w:hint="eastAsia"/>
          <w:b/>
          <w:bCs/>
          <w:sz w:val="48"/>
          <w:szCs w:val="48"/>
        </w:rPr>
        <w:sectPr>
          <w:pgSz w:w="11906" w:h="16838"/>
          <w:pgMar w:top="1440" w:right="1346" w:bottom="1440" w:left="1620" w:header="851" w:footer="992" w:gutter="0"/>
          <w:cols w:space="708"/>
          <w:docGrid w:type="lines" w:linePitch="312"/>
        </w:sectPr>
      </w:pPr>
      <w:r>
        <w:rPr>
          <w:rFonts w:hAnsi="宋体" w:hint="eastAsia"/>
          <w:bCs/>
          <w:sz w:val="32"/>
          <w:szCs w:val="32"/>
        </w:rPr>
        <w:t>二</w:t>
      </w:r>
      <w:r>
        <w:rPr>
          <w:rFonts w:hint="eastAsia"/>
          <w:bCs/>
          <w:sz w:val="32"/>
          <w:szCs w:val="32"/>
        </w:rPr>
        <w:t>0</w:t>
      </w:r>
      <w:r>
        <w:rPr>
          <w:rFonts w:hAnsi="宋体" w:hint="eastAsia"/>
          <w:bCs/>
          <w:sz w:val="32"/>
          <w:szCs w:val="32"/>
        </w:rPr>
        <w:t>一二年八月</w:t>
      </w:r>
    </w:p>
    <w:p>
      <w:pPr>
        <w:jc w:val="center"/>
        <w:rPr>
          <w:rFonts w:ascii="宋体" w:hAnsi="宋体" w:hint="eastAsia"/>
          <w:b/>
          <w:bCs/>
          <w:sz w:val="48"/>
          <w:szCs w:val="48"/>
        </w:rPr>
      </w:pPr>
      <w:r>
        <w:rPr>
          <w:rFonts w:ascii="华文细黑" w:eastAsia="华文细黑" w:hAnsi="华文细黑" w:hint="eastAsia"/>
          <w:b/>
          <w:bCs/>
          <w:sz w:val="32"/>
        </w:rPr>
        <w:t xml:space="preserve"> </w:t>
      </w:r>
      <w:r>
        <w:rPr>
          <w:rFonts w:ascii="宋体" w:hAnsi="宋体" w:hint="eastAsia"/>
          <w:b/>
          <w:bCs/>
          <w:sz w:val="48"/>
          <w:szCs w:val="48"/>
        </w:rPr>
        <w:t>目  录</w:t>
      </w:r>
    </w:p>
    <w:p>
      <w:pPr>
        <w:pStyle w:val="TOC1"/>
        <w:tabs>
          <w:tab w:val="right" w:leader="dot" w:pos="8930"/>
        </w:tabs>
        <w:rPr>
          <w:sz w:val="28"/>
          <w:szCs w:val="28"/>
        </w:rPr>
      </w:pPr>
      <w:r>
        <w:rPr>
          <w:rFonts w:ascii="华文细黑" w:eastAsia="华文细黑" w:hAnsi="华文细黑"/>
          <w:b/>
          <w:bCs/>
          <w:sz w:val="28"/>
          <w:szCs w:val="28"/>
        </w:rPr>
        <w:fldChar w:fldCharType="begin"/>
      </w:r>
      <w:r>
        <w:rPr>
          <w:rFonts w:ascii="华文细黑" w:eastAsia="华文细黑" w:hAnsi="华文细黑"/>
          <w:b/>
          <w:bCs/>
          <w:sz w:val="28"/>
          <w:szCs w:val="28"/>
        </w:rPr>
        <w:instrText xml:space="preserve"> </w:instrText>
      </w:r>
      <w:r>
        <w:rPr>
          <w:rFonts w:ascii="华文细黑" w:eastAsia="华文细黑" w:hAnsi="华文细黑" w:hint="eastAsia"/>
          <w:b/>
          <w:bCs/>
          <w:sz w:val="28"/>
          <w:szCs w:val="28"/>
        </w:rPr>
        <w:instrText>TOC \o "1-2" \h \z \u</w:instrText>
      </w:r>
      <w:r>
        <w:rPr>
          <w:rFonts w:ascii="华文细黑" w:eastAsia="华文细黑" w:hAnsi="华文细黑"/>
          <w:b/>
          <w:bCs/>
          <w:sz w:val="28"/>
          <w:szCs w:val="28"/>
        </w:rPr>
        <w:instrText xml:space="preserve"> </w:instrText>
      </w:r>
      <w:r>
        <w:rPr>
          <w:rFonts w:ascii="华文细黑" w:eastAsia="华文细黑" w:hAnsi="华文细黑"/>
          <w:b/>
          <w:bCs/>
          <w:sz w:val="28"/>
          <w:szCs w:val="28"/>
        </w:rPr>
        <w:fldChar w:fldCharType="separate"/>
      </w:r>
      <w:hyperlink w:anchor="_Toc320874307" w:history="1">
        <w:r>
          <w:rPr>
            <w:rStyle w:val="Hyperlink"/>
            <w:rFonts w:hint="eastAsia"/>
            <w:sz w:val="28"/>
            <w:szCs w:val="28"/>
          </w:rPr>
          <w:t>第一章</w:t>
        </w:r>
        <w:r>
          <w:rPr>
            <w:rStyle w:val="Hyperlink"/>
            <w:sz w:val="28"/>
            <w:szCs w:val="28"/>
          </w:rPr>
          <w:t xml:space="preserve">  </w:t>
        </w:r>
        <w:r>
          <w:rPr>
            <w:rStyle w:val="Hyperlink"/>
            <w:rFonts w:hint="eastAsia"/>
            <w:sz w:val="28"/>
            <w:szCs w:val="28"/>
          </w:rPr>
          <w:t>建设项目基本情况</w:t>
        </w:r>
        <w:r>
          <w:rPr>
            <w:sz w:val="28"/>
            <w:szCs w:val="28"/>
          </w:rPr>
          <w:tab/>
        </w:r>
        <w:r>
          <w:rPr>
            <w:sz w:val="28"/>
            <w:szCs w:val="28"/>
          </w:rPr>
          <w:fldChar w:fldCharType="begin"/>
        </w:r>
        <w:r>
          <w:rPr>
            <w:sz w:val="28"/>
            <w:szCs w:val="28"/>
          </w:rPr>
          <w:instrText xml:space="preserve"> PAGEREF _Toc320874307 \h </w:instrText>
        </w:r>
        <w:r>
          <w:rPr>
            <w:sz w:val="28"/>
            <w:szCs w:val="28"/>
          </w:rPr>
          <w:fldChar w:fldCharType="separate"/>
        </w:r>
        <w:r>
          <w:rPr>
            <w:sz w:val="28"/>
            <w:szCs w:val="28"/>
          </w:rPr>
          <w:t>1</w:t>
        </w:r>
        <w:r>
          <w:rPr>
            <w:sz w:val="28"/>
            <w:szCs w:val="28"/>
          </w:rPr>
          <w:fldChar w:fldCharType="end"/>
        </w:r>
      </w:hyperlink>
    </w:p>
    <w:p>
      <w:pPr>
        <w:pStyle w:val="TOC2"/>
        <w:tabs>
          <w:tab w:val="right" w:leader="dot" w:pos="8930"/>
        </w:tabs>
        <w:rPr>
          <w:sz w:val="28"/>
          <w:szCs w:val="28"/>
        </w:rPr>
      </w:pPr>
      <w:hyperlink w:anchor="_Toc320874308" w:history="1">
        <w:r>
          <w:rPr>
            <w:rStyle w:val="Hyperlink"/>
            <w:sz w:val="28"/>
            <w:szCs w:val="28"/>
          </w:rPr>
          <w:t>1.1</w:t>
        </w:r>
        <w:r>
          <w:rPr>
            <w:rStyle w:val="Hyperlink"/>
            <w:rFonts w:hint="eastAsia"/>
            <w:sz w:val="28"/>
            <w:szCs w:val="28"/>
          </w:rPr>
          <w:t>项目由来</w:t>
        </w:r>
        <w:r>
          <w:rPr>
            <w:sz w:val="28"/>
            <w:szCs w:val="28"/>
          </w:rPr>
          <w:tab/>
        </w:r>
        <w:r>
          <w:rPr>
            <w:sz w:val="28"/>
            <w:szCs w:val="28"/>
          </w:rPr>
          <w:fldChar w:fldCharType="begin"/>
        </w:r>
        <w:r>
          <w:rPr>
            <w:sz w:val="28"/>
            <w:szCs w:val="28"/>
          </w:rPr>
          <w:instrText xml:space="preserve"> PAGEREF _Toc320874308 \h </w:instrText>
        </w:r>
        <w:r>
          <w:rPr>
            <w:sz w:val="28"/>
            <w:szCs w:val="28"/>
          </w:rPr>
          <w:fldChar w:fldCharType="separate"/>
        </w:r>
        <w:r>
          <w:rPr>
            <w:sz w:val="28"/>
            <w:szCs w:val="28"/>
          </w:rPr>
          <w:t>1</w:t>
        </w:r>
        <w:r>
          <w:rPr>
            <w:sz w:val="28"/>
            <w:szCs w:val="28"/>
          </w:rPr>
          <w:fldChar w:fldCharType="end"/>
        </w:r>
      </w:hyperlink>
    </w:p>
    <w:p>
      <w:pPr>
        <w:pStyle w:val="TOC1"/>
        <w:tabs>
          <w:tab w:val="right" w:leader="dot" w:pos="8930"/>
        </w:tabs>
        <w:rPr>
          <w:sz w:val="28"/>
          <w:szCs w:val="28"/>
        </w:rPr>
      </w:pPr>
      <w:hyperlink w:anchor="_Toc320874309" w:history="1">
        <w:r>
          <w:rPr>
            <w:rStyle w:val="Hyperlink"/>
            <w:rFonts w:hint="eastAsia"/>
            <w:sz w:val="28"/>
            <w:szCs w:val="28"/>
          </w:rPr>
          <w:t>第二章</w:t>
        </w:r>
        <w:r>
          <w:rPr>
            <w:rStyle w:val="Hyperlink"/>
            <w:sz w:val="28"/>
            <w:szCs w:val="28"/>
          </w:rPr>
          <w:t xml:space="preserve">   </w:t>
        </w:r>
        <w:r>
          <w:rPr>
            <w:rStyle w:val="Hyperlink"/>
            <w:rFonts w:hint="eastAsia"/>
            <w:sz w:val="28"/>
            <w:szCs w:val="28"/>
          </w:rPr>
          <w:t>项目周边环境及保护目标</w:t>
        </w:r>
        <w:r>
          <w:rPr>
            <w:sz w:val="28"/>
            <w:szCs w:val="28"/>
          </w:rPr>
          <w:tab/>
        </w:r>
        <w:r>
          <w:rPr>
            <w:sz w:val="28"/>
            <w:szCs w:val="28"/>
          </w:rPr>
          <w:fldChar w:fldCharType="begin"/>
        </w:r>
        <w:r>
          <w:rPr>
            <w:sz w:val="28"/>
            <w:szCs w:val="28"/>
          </w:rPr>
          <w:instrText xml:space="preserve"> PAGEREF _Toc320874309 \h </w:instrText>
        </w:r>
        <w:r>
          <w:rPr>
            <w:sz w:val="28"/>
            <w:szCs w:val="28"/>
          </w:rPr>
          <w:fldChar w:fldCharType="separate"/>
        </w:r>
        <w:r>
          <w:rPr>
            <w:sz w:val="28"/>
            <w:szCs w:val="28"/>
          </w:rPr>
          <w:t>2</w:t>
        </w:r>
        <w:r>
          <w:rPr>
            <w:sz w:val="28"/>
            <w:szCs w:val="28"/>
          </w:rPr>
          <w:fldChar w:fldCharType="end"/>
        </w:r>
      </w:hyperlink>
    </w:p>
    <w:p>
      <w:pPr>
        <w:pStyle w:val="TOC2"/>
        <w:tabs>
          <w:tab w:val="right" w:leader="dot" w:pos="8930"/>
        </w:tabs>
        <w:rPr>
          <w:sz w:val="28"/>
          <w:szCs w:val="28"/>
        </w:rPr>
      </w:pPr>
      <w:hyperlink w:anchor="_Toc320874310" w:history="1">
        <w:r>
          <w:rPr>
            <w:rStyle w:val="Hyperlink"/>
            <w:sz w:val="28"/>
            <w:szCs w:val="28"/>
          </w:rPr>
          <w:t>2.1</w:t>
        </w:r>
        <w:r>
          <w:rPr>
            <w:rStyle w:val="Hyperlink"/>
            <w:rFonts w:hint="eastAsia"/>
            <w:sz w:val="28"/>
            <w:szCs w:val="28"/>
          </w:rPr>
          <w:t>项目地理位置</w:t>
        </w:r>
        <w:r>
          <w:rPr>
            <w:sz w:val="28"/>
            <w:szCs w:val="28"/>
          </w:rPr>
          <w:tab/>
        </w:r>
        <w:r>
          <w:rPr>
            <w:sz w:val="28"/>
            <w:szCs w:val="28"/>
          </w:rPr>
          <w:fldChar w:fldCharType="begin"/>
        </w:r>
        <w:r>
          <w:rPr>
            <w:sz w:val="28"/>
            <w:szCs w:val="28"/>
          </w:rPr>
          <w:instrText xml:space="preserve"> PAGEREF _Toc320874310 \h </w:instrText>
        </w:r>
        <w:r>
          <w:rPr>
            <w:sz w:val="28"/>
            <w:szCs w:val="28"/>
          </w:rPr>
          <w:fldChar w:fldCharType="separate"/>
        </w:r>
        <w:r>
          <w:rPr>
            <w:sz w:val="28"/>
            <w:szCs w:val="28"/>
          </w:rPr>
          <w:t>2</w:t>
        </w:r>
        <w:r>
          <w:rPr>
            <w:sz w:val="28"/>
            <w:szCs w:val="28"/>
          </w:rPr>
          <w:fldChar w:fldCharType="end"/>
        </w:r>
      </w:hyperlink>
    </w:p>
    <w:p>
      <w:pPr>
        <w:pStyle w:val="TOC2"/>
        <w:tabs>
          <w:tab w:val="right" w:leader="dot" w:pos="8930"/>
        </w:tabs>
        <w:rPr>
          <w:sz w:val="28"/>
          <w:szCs w:val="28"/>
        </w:rPr>
      </w:pPr>
      <w:hyperlink w:anchor="_Toc320874311" w:history="1">
        <w:r>
          <w:rPr>
            <w:rStyle w:val="Hyperlink"/>
            <w:sz w:val="28"/>
            <w:szCs w:val="28"/>
          </w:rPr>
          <w:t>2.2</w:t>
        </w:r>
        <w:r>
          <w:rPr>
            <w:rStyle w:val="Hyperlink"/>
            <w:rFonts w:hint="eastAsia"/>
            <w:sz w:val="28"/>
            <w:szCs w:val="28"/>
          </w:rPr>
          <w:t>环境质量现状</w:t>
        </w:r>
        <w:r>
          <w:rPr>
            <w:sz w:val="28"/>
            <w:szCs w:val="28"/>
          </w:rPr>
          <w:tab/>
        </w:r>
        <w:r>
          <w:rPr>
            <w:sz w:val="28"/>
            <w:szCs w:val="28"/>
          </w:rPr>
          <w:fldChar w:fldCharType="begin"/>
        </w:r>
        <w:r>
          <w:rPr>
            <w:sz w:val="28"/>
            <w:szCs w:val="28"/>
          </w:rPr>
          <w:instrText xml:space="preserve"> PAGEREF _Toc320874311 \h </w:instrText>
        </w:r>
        <w:r>
          <w:rPr>
            <w:sz w:val="28"/>
            <w:szCs w:val="28"/>
          </w:rPr>
          <w:fldChar w:fldCharType="separate"/>
        </w:r>
        <w:r>
          <w:rPr>
            <w:sz w:val="28"/>
            <w:szCs w:val="28"/>
          </w:rPr>
          <w:t>2</w:t>
        </w:r>
        <w:r>
          <w:rPr>
            <w:sz w:val="28"/>
            <w:szCs w:val="28"/>
          </w:rPr>
          <w:fldChar w:fldCharType="end"/>
        </w:r>
      </w:hyperlink>
    </w:p>
    <w:p>
      <w:pPr>
        <w:pStyle w:val="TOC2"/>
        <w:tabs>
          <w:tab w:val="right" w:leader="dot" w:pos="8930"/>
        </w:tabs>
        <w:rPr>
          <w:sz w:val="28"/>
          <w:szCs w:val="28"/>
        </w:rPr>
      </w:pPr>
      <w:hyperlink w:anchor="_Toc320874312" w:history="1">
        <w:r>
          <w:rPr>
            <w:rStyle w:val="Hyperlink"/>
            <w:sz w:val="28"/>
            <w:szCs w:val="28"/>
          </w:rPr>
          <w:t>2.3</w:t>
        </w:r>
        <w:r>
          <w:rPr>
            <w:rStyle w:val="Hyperlink"/>
            <w:rFonts w:hint="eastAsia"/>
            <w:sz w:val="28"/>
            <w:szCs w:val="28"/>
          </w:rPr>
          <w:t>项目周围环境保护目标</w:t>
        </w:r>
        <w:r>
          <w:rPr>
            <w:sz w:val="28"/>
            <w:szCs w:val="28"/>
          </w:rPr>
          <w:tab/>
        </w:r>
        <w:r>
          <w:rPr>
            <w:sz w:val="28"/>
            <w:szCs w:val="28"/>
          </w:rPr>
          <w:fldChar w:fldCharType="begin"/>
        </w:r>
        <w:r>
          <w:rPr>
            <w:sz w:val="28"/>
            <w:szCs w:val="28"/>
          </w:rPr>
          <w:instrText xml:space="preserve"> PAGEREF _Toc320874312 \h </w:instrText>
        </w:r>
        <w:r>
          <w:rPr>
            <w:sz w:val="28"/>
            <w:szCs w:val="28"/>
          </w:rPr>
          <w:fldChar w:fldCharType="separate"/>
        </w:r>
        <w:r>
          <w:rPr>
            <w:sz w:val="28"/>
            <w:szCs w:val="28"/>
          </w:rPr>
          <w:t>2</w:t>
        </w:r>
        <w:r>
          <w:rPr>
            <w:sz w:val="28"/>
            <w:szCs w:val="28"/>
          </w:rPr>
          <w:fldChar w:fldCharType="end"/>
        </w:r>
      </w:hyperlink>
    </w:p>
    <w:p>
      <w:pPr>
        <w:pStyle w:val="TOC1"/>
        <w:tabs>
          <w:tab w:val="right" w:leader="dot" w:pos="8930"/>
        </w:tabs>
        <w:rPr>
          <w:sz w:val="28"/>
          <w:szCs w:val="28"/>
        </w:rPr>
      </w:pPr>
      <w:hyperlink w:anchor="_Toc320874313" w:history="1">
        <w:r>
          <w:rPr>
            <w:rStyle w:val="Hyperlink"/>
            <w:rFonts w:hint="eastAsia"/>
            <w:sz w:val="28"/>
            <w:szCs w:val="28"/>
          </w:rPr>
          <w:t>第三章</w:t>
        </w:r>
        <w:r>
          <w:rPr>
            <w:rStyle w:val="Hyperlink"/>
            <w:sz w:val="28"/>
            <w:szCs w:val="28"/>
          </w:rPr>
          <w:t xml:space="preserve">  </w:t>
        </w:r>
        <w:r>
          <w:rPr>
            <w:rStyle w:val="Hyperlink"/>
            <w:rFonts w:hint="eastAsia"/>
            <w:sz w:val="28"/>
            <w:szCs w:val="28"/>
          </w:rPr>
          <w:t>建设项目工程分析</w:t>
        </w:r>
        <w:r>
          <w:rPr>
            <w:sz w:val="28"/>
            <w:szCs w:val="28"/>
          </w:rPr>
          <w:tab/>
        </w:r>
        <w:r>
          <w:rPr>
            <w:sz w:val="28"/>
            <w:szCs w:val="28"/>
          </w:rPr>
          <w:fldChar w:fldCharType="begin"/>
        </w:r>
        <w:r>
          <w:rPr>
            <w:sz w:val="28"/>
            <w:szCs w:val="28"/>
          </w:rPr>
          <w:instrText xml:space="preserve"> PAGEREF _Toc320874313 \h </w:instrText>
        </w:r>
        <w:r>
          <w:rPr>
            <w:sz w:val="28"/>
            <w:szCs w:val="28"/>
          </w:rPr>
          <w:fldChar w:fldCharType="separate"/>
        </w:r>
        <w:r>
          <w:rPr>
            <w:sz w:val="28"/>
            <w:szCs w:val="28"/>
          </w:rPr>
          <w:t>3</w:t>
        </w:r>
        <w:r>
          <w:rPr>
            <w:sz w:val="28"/>
            <w:szCs w:val="28"/>
          </w:rPr>
          <w:fldChar w:fldCharType="end"/>
        </w:r>
      </w:hyperlink>
    </w:p>
    <w:p>
      <w:pPr>
        <w:pStyle w:val="TOC2"/>
        <w:tabs>
          <w:tab w:val="right" w:leader="dot" w:pos="8930"/>
        </w:tabs>
        <w:rPr>
          <w:sz w:val="28"/>
          <w:szCs w:val="28"/>
        </w:rPr>
      </w:pPr>
      <w:hyperlink w:anchor="_Toc320874314" w:history="1">
        <w:r>
          <w:rPr>
            <w:rStyle w:val="Hyperlink"/>
            <w:sz w:val="28"/>
            <w:szCs w:val="28"/>
          </w:rPr>
          <w:t>3.1</w:t>
        </w:r>
        <w:r>
          <w:rPr>
            <w:rStyle w:val="Hyperlink"/>
            <w:rFonts w:hint="eastAsia"/>
            <w:sz w:val="28"/>
            <w:szCs w:val="28"/>
          </w:rPr>
          <w:t>建设项目概况</w:t>
        </w:r>
        <w:r>
          <w:rPr>
            <w:sz w:val="28"/>
            <w:szCs w:val="28"/>
          </w:rPr>
          <w:tab/>
        </w:r>
        <w:r>
          <w:rPr>
            <w:sz w:val="28"/>
            <w:szCs w:val="28"/>
          </w:rPr>
          <w:fldChar w:fldCharType="begin"/>
        </w:r>
        <w:r>
          <w:rPr>
            <w:sz w:val="28"/>
            <w:szCs w:val="28"/>
          </w:rPr>
          <w:instrText xml:space="preserve"> PAGEREF _Toc320874314 \h </w:instrText>
        </w:r>
        <w:r>
          <w:rPr>
            <w:sz w:val="28"/>
            <w:szCs w:val="28"/>
          </w:rPr>
          <w:fldChar w:fldCharType="separate"/>
        </w:r>
        <w:r>
          <w:rPr>
            <w:sz w:val="28"/>
            <w:szCs w:val="28"/>
          </w:rPr>
          <w:t>3</w:t>
        </w:r>
        <w:r>
          <w:rPr>
            <w:sz w:val="28"/>
            <w:szCs w:val="28"/>
          </w:rPr>
          <w:fldChar w:fldCharType="end"/>
        </w:r>
      </w:hyperlink>
    </w:p>
    <w:p>
      <w:pPr>
        <w:pStyle w:val="TOC2"/>
        <w:tabs>
          <w:tab w:val="right" w:leader="dot" w:pos="8930"/>
        </w:tabs>
        <w:rPr>
          <w:sz w:val="28"/>
          <w:szCs w:val="28"/>
        </w:rPr>
      </w:pPr>
      <w:hyperlink w:anchor="_Toc320874315" w:history="1">
        <w:r>
          <w:rPr>
            <w:rStyle w:val="Hyperlink"/>
            <w:sz w:val="28"/>
            <w:szCs w:val="28"/>
          </w:rPr>
          <w:t>3.2</w:t>
        </w:r>
        <w:r>
          <w:rPr>
            <w:rStyle w:val="Hyperlink"/>
            <w:rFonts w:hint="eastAsia"/>
            <w:sz w:val="28"/>
            <w:szCs w:val="28"/>
          </w:rPr>
          <w:t>生产工艺流程</w:t>
        </w:r>
        <w:r>
          <w:rPr>
            <w:sz w:val="28"/>
            <w:szCs w:val="28"/>
          </w:rPr>
          <w:tab/>
        </w:r>
        <w:r>
          <w:rPr>
            <w:sz w:val="28"/>
            <w:szCs w:val="28"/>
          </w:rPr>
          <w:fldChar w:fldCharType="begin"/>
        </w:r>
        <w:r>
          <w:rPr>
            <w:sz w:val="28"/>
            <w:szCs w:val="28"/>
          </w:rPr>
          <w:instrText xml:space="preserve"> PAGEREF _Toc320874315 \h </w:instrText>
        </w:r>
        <w:r>
          <w:rPr>
            <w:sz w:val="28"/>
            <w:szCs w:val="28"/>
          </w:rPr>
          <w:fldChar w:fldCharType="separate"/>
        </w:r>
        <w:r>
          <w:rPr>
            <w:sz w:val="28"/>
            <w:szCs w:val="28"/>
          </w:rPr>
          <w:t>6</w:t>
        </w:r>
        <w:r>
          <w:rPr>
            <w:sz w:val="28"/>
            <w:szCs w:val="28"/>
          </w:rPr>
          <w:fldChar w:fldCharType="end"/>
        </w:r>
      </w:hyperlink>
    </w:p>
    <w:p>
      <w:pPr>
        <w:pStyle w:val="TOC2"/>
        <w:tabs>
          <w:tab w:val="right" w:leader="dot" w:pos="8930"/>
        </w:tabs>
        <w:rPr>
          <w:sz w:val="28"/>
          <w:szCs w:val="28"/>
        </w:rPr>
      </w:pPr>
      <w:hyperlink w:anchor="_Toc320874316" w:history="1">
        <w:r>
          <w:rPr>
            <w:rStyle w:val="Hyperlink"/>
            <w:sz w:val="28"/>
            <w:szCs w:val="28"/>
          </w:rPr>
          <w:t>3.3</w:t>
        </w:r>
        <w:r>
          <w:rPr>
            <w:rStyle w:val="Hyperlink"/>
            <w:rFonts w:hint="eastAsia"/>
            <w:sz w:val="28"/>
            <w:szCs w:val="28"/>
          </w:rPr>
          <w:t>项目污染物产生及排放情况汇总</w:t>
        </w:r>
        <w:r>
          <w:rPr>
            <w:sz w:val="28"/>
            <w:szCs w:val="28"/>
          </w:rPr>
          <w:tab/>
        </w:r>
        <w:r>
          <w:rPr>
            <w:sz w:val="28"/>
            <w:szCs w:val="28"/>
          </w:rPr>
          <w:fldChar w:fldCharType="begin"/>
        </w:r>
        <w:r>
          <w:rPr>
            <w:sz w:val="28"/>
            <w:szCs w:val="28"/>
          </w:rPr>
          <w:instrText xml:space="preserve"> PAGEREF _Toc320874316 \h </w:instrText>
        </w:r>
        <w:r>
          <w:rPr>
            <w:sz w:val="28"/>
            <w:szCs w:val="28"/>
          </w:rPr>
          <w:fldChar w:fldCharType="separate"/>
        </w:r>
        <w:r>
          <w:rPr>
            <w:sz w:val="28"/>
            <w:szCs w:val="28"/>
          </w:rPr>
          <w:t>6</w:t>
        </w:r>
        <w:r>
          <w:rPr>
            <w:sz w:val="28"/>
            <w:szCs w:val="28"/>
          </w:rPr>
          <w:fldChar w:fldCharType="end"/>
        </w:r>
      </w:hyperlink>
    </w:p>
    <w:p>
      <w:pPr>
        <w:pStyle w:val="TOC1"/>
        <w:tabs>
          <w:tab w:val="right" w:leader="dot" w:pos="8930"/>
        </w:tabs>
        <w:rPr>
          <w:sz w:val="28"/>
          <w:szCs w:val="28"/>
        </w:rPr>
      </w:pPr>
      <w:hyperlink w:anchor="_Toc320874317" w:history="1">
        <w:r>
          <w:rPr>
            <w:rStyle w:val="Hyperlink"/>
            <w:rFonts w:hint="eastAsia"/>
            <w:sz w:val="28"/>
            <w:szCs w:val="28"/>
          </w:rPr>
          <w:t>第四章</w:t>
        </w:r>
        <w:r>
          <w:rPr>
            <w:rStyle w:val="Hyperlink"/>
            <w:sz w:val="28"/>
            <w:szCs w:val="28"/>
          </w:rPr>
          <w:t xml:space="preserve">  </w:t>
        </w:r>
        <w:r>
          <w:rPr>
            <w:rStyle w:val="Hyperlink"/>
            <w:rFonts w:hint="eastAsia"/>
            <w:sz w:val="28"/>
            <w:szCs w:val="28"/>
          </w:rPr>
          <w:t>环境影响预测主要结论</w:t>
        </w:r>
        <w:r>
          <w:rPr>
            <w:sz w:val="28"/>
            <w:szCs w:val="28"/>
          </w:rPr>
          <w:tab/>
        </w:r>
        <w:r>
          <w:rPr>
            <w:sz w:val="28"/>
            <w:szCs w:val="28"/>
          </w:rPr>
          <w:fldChar w:fldCharType="begin"/>
        </w:r>
        <w:r>
          <w:rPr>
            <w:sz w:val="28"/>
            <w:szCs w:val="28"/>
          </w:rPr>
          <w:instrText xml:space="preserve"> PAGEREF _Toc320874317 \h </w:instrText>
        </w:r>
        <w:r>
          <w:rPr>
            <w:sz w:val="28"/>
            <w:szCs w:val="28"/>
          </w:rPr>
          <w:fldChar w:fldCharType="separate"/>
        </w:r>
        <w:r>
          <w:rPr>
            <w:sz w:val="28"/>
            <w:szCs w:val="28"/>
          </w:rPr>
          <w:t>7</w:t>
        </w:r>
        <w:r>
          <w:rPr>
            <w:sz w:val="28"/>
            <w:szCs w:val="28"/>
          </w:rPr>
          <w:fldChar w:fldCharType="end"/>
        </w:r>
      </w:hyperlink>
    </w:p>
    <w:p>
      <w:pPr>
        <w:pStyle w:val="TOC2"/>
        <w:tabs>
          <w:tab w:val="right" w:leader="dot" w:pos="8930"/>
        </w:tabs>
        <w:rPr>
          <w:sz w:val="28"/>
          <w:szCs w:val="28"/>
        </w:rPr>
      </w:pPr>
      <w:hyperlink w:anchor="_Toc320874318" w:history="1">
        <w:r>
          <w:rPr>
            <w:rStyle w:val="Hyperlink"/>
            <w:sz w:val="28"/>
            <w:szCs w:val="28"/>
          </w:rPr>
          <w:t>4.1</w:t>
        </w:r>
        <w:r>
          <w:rPr>
            <w:rStyle w:val="Hyperlink"/>
            <w:rFonts w:hint="eastAsia"/>
            <w:sz w:val="28"/>
            <w:szCs w:val="28"/>
          </w:rPr>
          <w:t>施工期环境影响分析</w:t>
        </w:r>
        <w:r>
          <w:rPr>
            <w:sz w:val="28"/>
            <w:szCs w:val="28"/>
          </w:rPr>
          <w:tab/>
        </w:r>
        <w:r>
          <w:rPr>
            <w:sz w:val="28"/>
            <w:szCs w:val="28"/>
          </w:rPr>
          <w:fldChar w:fldCharType="begin"/>
        </w:r>
        <w:r>
          <w:rPr>
            <w:sz w:val="28"/>
            <w:szCs w:val="28"/>
          </w:rPr>
          <w:instrText xml:space="preserve"> PAGEREF _Toc320874318 \h </w:instrText>
        </w:r>
        <w:r>
          <w:rPr>
            <w:sz w:val="28"/>
            <w:szCs w:val="28"/>
          </w:rPr>
          <w:fldChar w:fldCharType="separate"/>
        </w:r>
        <w:r>
          <w:rPr>
            <w:sz w:val="28"/>
            <w:szCs w:val="28"/>
          </w:rPr>
          <w:t>7</w:t>
        </w:r>
        <w:r>
          <w:rPr>
            <w:sz w:val="28"/>
            <w:szCs w:val="28"/>
          </w:rPr>
          <w:fldChar w:fldCharType="end"/>
        </w:r>
      </w:hyperlink>
    </w:p>
    <w:p>
      <w:pPr>
        <w:pStyle w:val="TOC2"/>
        <w:tabs>
          <w:tab w:val="right" w:leader="dot" w:pos="8930"/>
        </w:tabs>
        <w:rPr>
          <w:sz w:val="28"/>
          <w:szCs w:val="28"/>
        </w:rPr>
      </w:pPr>
      <w:hyperlink w:anchor="_Toc320874319" w:history="1">
        <w:r>
          <w:rPr>
            <w:rStyle w:val="Hyperlink"/>
            <w:sz w:val="28"/>
            <w:szCs w:val="28"/>
          </w:rPr>
          <w:t>4.2</w:t>
        </w:r>
        <w:r>
          <w:rPr>
            <w:rStyle w:val="Hyperlink"/>
            <w:rFonts w:hint="eastAsia"/>
            <w:sz w:val="28"/>
            <w:szCs w:val="28"/>
          </w:rPr>
          <w:t>营运期环境影响分析</w:t>
        </w:r>
        <w:r>
          <w:rPr>
            <w:sz w:val="28"/>
            <w:szCs w:val="28"/>
          </w:rPr>
          <w:tab/>
        </w:r>
        <w:r>
          <w:rPr>
            <w:sz w:val="28"/>
            <w:szCs w:val="28"/>
          </w:rPr>
          <w:fldChar w:fldCharType="begin"/>
        </w:r>
        <w:r>
          <w:rPr>
            <w:sz w:val="28"/>
            <w:szCs w:val="28"/>
          </w:rPr>
          <w:instrText xml:space="preserve"> PAGEREF _Toc320874319 \h </w:instrText>
        </w:r>
        <w:r>
          <w:rPr>
            <w:sz w:val="28"/>
            <w:szCs w:val="28"/>
          </w:rPr>
          <w:fldChar w:fldCharType="separate"/>
        </w:r>
        <w:r>
          <w:rPr>
            <w:sz w:val="28"/>
            <w:szCs w:val="28"/>
          </w:rPr>
          <w:t>7</w:t>
        </w:r>
        <w:r>
          <w:rPr>
            <w:sz w:val="28"/>
            <w:szCs w:val="28"/>
          </w:rPr>
          <w:fldChar w:fldCharType="end"/>
        </w:r>
      </w:hyperlink>
    </w:p>
    <w:p>
      <w:pPr>
        <w:pStyle w:val="TOC2"/>
        <w:tabs>
          <w:tab w:val="right" w:leader="dot" w:pos="8930"/>
        </w:tabs>
        <w:rPr>
          <w:sz w:val="28"/>
          <w:szCs w:val="28"/>
        </w:rPr>
      </w:pPr>
      <w:hyperlink w:anchor="_Toc320874320" w:history="1">
        <w:r>
          <w:rPr>
            <w:rStyle w:val="Hyperlink"/>
            <w:sz w:val="28"/>
            <w:szCs w:val="28"/>
          </w:rPr>
          <w:t>4.3</w:t>
        </w:r>
        <w:r>
          <w:rPr>
            <w:rStyle w:val="Hyperlink"/>
            <w:rFonts w:hint="eastAsia"/>
            <w:sz w:val="28"/>
            <w:szCs w:val="28"/>
          </w:rPr>
          <w:t>退役期环境影响分析结论</w:t>
        </w:r>
        <w:r>
          <w:rPr>
            <w:sz w:val="28"/>
            <w:szCs w:val="28"/>
          </w:rPr>
          <w:tab/>
        </w:r>
        <w:r>
          <w:rPr>
            <w:sz w:val="28"/>
            <w:szCs w:val="28"/>
          </w:rPr>
          <w:fldChar w:fldCharType="begin"/>
        </w:r>
        <w:r>
          <w:rPr>
            <w:sz w:val="28"/>
            <w:szCs w:val="28"/>
          </w:rPr>
          <w:instrText xml:space="preserve"> PAGEREF _Toc320874320 \h </w:instrText>
        </w:r>
        <w:r>
          <w:rPr>
            <w:sz w:val="28"/>
            <w:szCs w:val="28"/>
          </w:rPr>
          <w:fldChar w:fldCharType="separate"/>
        </w:r>
        <w:r>
          <w:rPr>
            <w:sz w:val="28"/>
            <w:szCs w:val="28"/>
          </w:rPr>
          <w:t>8</w:t>
        </w:r>
        <w:r>
          <w:rPr>
            <w:sz w:val="28"/>
            <w:szCs w:val="28"/>
          </w:rPr>
          <w:fldChar w:fldCharType="end"/>
        </w:r>
      </w:hyperlink>
    </w:p>
    <w:p>
      <w:pPr>
        <w:pStyle w:val="TOC1"/>
        <w:tabs>
          <w:tab w:val="right" w:leader="dot" w:pos="8930"/>
        </w:tabs>
        <w:rPr>
          <w:sz w:val="28"/>
          <w:szCs w:val="28"/>
        </w:rPr>
      </w:pPr>
      <w:hyperlink w:anchor="_Toc320874321" w:history="1">
        <w:r>
          <w:rPr>
            <w:rStyle w:val="Hyperlink"/>
            <w:rFonts w:hint="eastAsia"/>
            <w:sz w:val="28"/>
            <w:szCs w:val="28"/>
          </w:rPr>
          <w:t>第五章</w:t>
        </w:r>
        <w:r>
          <w:rPr>
            <w:rStyle w:val="Hyperlink"/>
            <w:sz w:val="28"/>
            <w:szCs w:val="28"/>
          </w:rPr>
          <w:t xml:space="preserve">  </w:t>
        </w:r>
        <w:r>
          <w:rPr>
            <w:rStyle w:val="Hyperlink"/>
            <w:rFonts w:hint="eastAsia"/>
            <w:sz w:val="28"/>
            <w:szCs w:val="28"/>
          </w:rPr>
          <w:t>污染防治措施</w:t>
        </w:r>
        <w:bookmarkStart w:id="0" w:name="_Hlt320876730"/>
        <w:r>
          <w:rPr>
            <w:sz w:val="28"/>
            <w:szCs w:val="28"/>
          </w:rPr>
          <w:tab/>
        </w:r>
        <w:bookmarkEnd w:id="0"/>
        <w:r>
          <w:rPr>
            <w:sz w:val="28"/>
            <w:szCs w:val="28"/>
          </w:rPr>
          <w:fldChar w:fldCharType="begin"/>
        </w:r>
        <w:r>
          <w:rPr>
            <w:sz w:val="28"/>
            <w:szCs w:val="28"/>
          </w:rPr>
          <w:instrText xml:space="preserve"> PAGEREF _Toc320874321 \h </w:instrText>
        </w:r>
        <w:r>
          <w:rPr>
            <w:sz w:val="28"/>
            <w:szCs w:val="28"/>
          </w:rPr>
          <w:fldChar w:fldCharType="separate"/>
        </w:r>
        <w:r>
          <w:rPr>
            <w:sz w:val="28"/>
            <w:szCs w:val="28"/>
          </w:rPr>
          <w:t>12</w:t>
        </w:r>
        <w:r>
          <w:rPr>
            <w:sz w:val="28"/>
            <w:szCs w:val="28"/>
          </w:rPr>
          <w:fldChar w:fldCharType="end"/>
        </w:r>
      </w:hyperlink>
    </w:p>
    <w:p>
      <w:pPr>
        <w:pStyle w:val="TOC1"/>
        <w:tabs>
          <w:tab w:val="right" w:leader="dot" w:pos="8930"/>
        </w:tabs>
        <w:rPr>
          <w:sz w:val="28"/>
          <w:szCs w:val="28"/>
        </w:rPr>
      </w:pPr>
      <w:hyperlink w:anchor="_Toc320874322" w:history="1">
        <w:r>
          <w:rPr>
            <w:rStyle w:val="Hyperlink"/>
            <w:rFonts w:hint="eastAsia"/>
            <w:sz w:val="28"/>
            <w:szCs w:val="28"/>
          </w:rPr>
          <w:t>第六章</w:t>
        </w:r>
        <w:r>
          <w:rPr>
            <w:rStyle w:val="Hyperlink"/>
            <w:sz w:val="28"/>
            <w:szCs w:val="28"/>
          </w:rPr>
          <w:t xml:space="preserve">  </w:t>
        </w:r>
        <w:r>
          <w:rPr>
            <w:rStyle w:val="Hyperlink"/>
            <w:rFonts w:hint="eastAsia"/>
            <w:sz w:val="28"/>
            <w:szCs w:val="28"/>
          </w:rPr>
          <w:t>总量控制和环保审批原则符合性分析</w:t>
        </w:r>
        <w:r>
          <w:rPr>
            <w:sz w:val="28"/>
            <w:szCs w:val="28"/>
          </w:rPr>
          <w:tab/>
        </w:r>
        <w:r>
          <w:rPr>
            <w:sz w:val="28"/>
            <w:szCs w:val="28"/>
          </w:rPr>
          <w:fldChar w:fldCharType="begin"/>
        </w:r>
        <w:r>
          <w:rPr>
            <w:sz w:val="28"/>
            <w:szCs w:val="28"/>
          </w:rPr>
          <w:instrText xml:space="preserve"> PAGEREF _Toc320874322 \h </w:instrText>
        </w:r>
        <w:r>
          <w:rPr>
            <w:sz w:val="28"/>
            <w:szCs w:val="28"/>
          </w:rPr>
          <w:fldChar w:fldCharType="separate"/>
        </w:r>
        <w:r>
          <w:rPr>
            <w:sz w:val="28"/>
            <w:szCs w:val="28"/>
          </w:rPr>
          <w:t>15</w:t>
        </w:r>
        <w:r>
          <w:rPr>
            <w:sz w:val="28"/>
            <w:szCs w:val="28"/>
          </w:rPr>
          <w:fldChar w:fldCharType="end"/>
        </w:r>
      </w:hyperlink>
    </w:p>
    <w:p>
      <w:pPr>
        <w:pStyle w:val="TOC2"/>
        <w:tabs>
          <w:tab w:val="right" w:leader="dot" w:pos="8930"/>
        </w:tabs>
        <w:rPr>
          <w:sz w:val="28"/>
          <w:szCs w:val="28"/>
        </w:rPr>
      </w:pPr>
      <w:hyperlink w:anchor="_Toc320874323" w:history="1">
        <w:r>
          <w:rPr>
            <w:rStyle w:val="Hyperlink"/>
            <w:sz w:val="28"/>
            <w:szCs w:val="28"/>
          </w:rPr>
          <w:t xml:space="preserve">6.1 </w:t>
        </w:r>
        <w:r>
          <w:rPr>
            <w:rStyle w:val="Hyperlink"/>
            <w:rFonts w:hint="eastAsia"/>
            <w:sz w:val="28"/>
            <w:szCs w:val="28"/>
          </w:rPr>
          <w:t>总量控制</w:t>
        </w:r>
        <w:r>
          <w:rPr>
            <w:sz w:val="28"/>
            <w:szCs w:val="28"/>
          </w:rPr>
          <w:tab/>
        </w:r>
        <w:r>
          <w:rPr>
            <w:sz w:val="28"/>
            <w:szCs w:val="28"/>
          </w:rPr>
          <w:fldChar w:fldCharType="begin"/>
        </w:r>
        <w:r>
          <w:rPr>
            <w:sz w:val="28"/>
            <w:szCs w:val="28"/>
          </w:rPr>
          <w:instrText xml:space="preserve"> PAGEREF _Toc320874323 \h </w:instrText>
        </w:r>
        <w:r>
          <w:rPr>
            <w:sz w:val="28"/>
            <w:szCs w:val="28"/>
          </w:rPr>
          <w:fldChar w:fldCharType="separate"/>
        </w:r>
        <w:r>
          <w:rPr>
            <w:sz w:val="28"/>
            <w:szCs w:val="28"/>
          </w:rPr>
          <w:t>15</w:t>
        </w:r>
        <w:r>
          <w:rPr>
            <w:sz w:val="28"/>
            <w:szCs w:val="28"/>
          </w:rPr>
          <w:fldChar w:fldCharType="end"/>
        </w:r>
      </w:hyperlink>
    </w:p>
    <w:p>
      <w:pPr>
        <w:pStyle w:val="TOC2"/>
        <w:tabs>
          <w:tab w:val="right" w:leader="dot" w:pos="8930"/>
        </w:tabs>
        <w:rPr>
          <w:sz w:val="28"/>
          <w:szCs w:val="28"/>
        </w:rPr>
      </w:pPr>
      <w:hyperlink w:anchor="_Toc320874324" w:history="1">
        <w:r>
          <w:rPr>
            <w:rStyle w:val="Hyperlink"/>
            <w:sz w:val="28"/>
            <w:szCs w:val="28"/>
          </w:rPr>
          <w:t xml:space="preserve">6.2 </w:t>
        </w:r>
        <w:r>
          <w:rPr>
            <w:rStyle w:val="Hyperlink"/>
            <w:rFonts w:hint="eastAsia"/>
            <w:sz w:val="28"/>
            <w:szCs w:val="28"/>
          </w:rPr>
          <w:t>环保审批原则符合性分析</w:t>
        </w:r>
        <w:r>
          <w:rPr>
            <w:sz w:val="28"/>
            <w:szCs w:val="28"/>
          </w:rPr>
          <w:tab/>
        </w:r>
        <w:r>
          <w:rPr>
            <w:sz w:val="28"/>
            <w:szCs w:val="28"/>
          </w:rPr>
          <w:fldChar w:fldCharType="begin"/>
        </w:r>
        <w:r>
          <w:rPr>
            <w:sz w:val="28"/>
            <w:szCs w:val="28"/>
          </w:rPr>
          <w:instrText xml:space="preserve"> PAGEREF _Toc320874324 \h </w:instrText>
        </w:r>
        <w:r>
          <w:rPr>
            <w:sz w:val="28"/>
            <w:szCs w:val="28"/>
          </w:rPr>
          <w:fldChar w:fldCharType="separate"/>
        </w:r>
        <w:r>
          <w:rPr>
            <w:sz w:val="28"/>
            <w:szCs w:val="28"/>
          </w:rPr>
          <w:t>15</w:t>
        </w:r>
        <w:r>
          <w:rPr>
            <w:sz w:val="28"/>
            <w:szCs w:val="28"/>
          </w:rPr>
          <w:fldChar w:fldCharType="end"/>
        </w:r>
      </w:hyperlink>
    </w:p>
    <w:p>
      <w:pPr>
        <w:pStyle w:val="TOC1"/>
        <w:tabs>
          <w:tab w:val="right" w:leader="dot" w:pos="8930"/>
        </w:tabs>
        <w:rPr>
          <w:sz w:val="28"/>
          <w:szCs w:val="28"/>
        </w:rPr>
      </w:pPr>
      <w:hyperlink w:anchor="_Toc320874325" w:history="1">
        <w:r>
          <w:rPr>
            <w:rStyle w:val="Hyperlink"/>
            <w:rFonts w:hint="eastAsia"/>
            <w:sz w:val="28"/>
            <w:szCs w:val="28"/>
          </w:rPr>
          <w:t>第七章</w:t>
        </w:r>
        <w:r>
          <w:rPr>
            <w:rStyle w:val="Hyperlink"/>
            <w:sz w:val="28"/>
            <w:szCs w:val="28"/>
          </w:rPr>
          <w:t xml:space="preserve">  </w:t>
        </w:r>
        <w:r>
          <w:rPr>
            <w:rStyle w:val="Hyperlink"/>
            <w:rFonts w:hint="eastAsia"/>
            <w:sz w:val="28"/>
            <w:szCs w:val="28"/>
          </w:rPr>
          <w:t>环评总结论</w:t>
        </w:r>
        <w:r>
          <w:rPr>
            <w:sz w:val="28"/>
            <w:szCs w:val="28"/>
          </w:rPr>
          <w:tab/>
        </w:r>
        <w:r>
          <w:rPr>
            <w:sz w:val="28"/>
            <w:szCs w:val="28"/>
          </w:rPr>
          <w:fldChar w:fldCharType="begin"/>
        </w:r>
        <w:r>
          <w:rPr>
            <w:sz w:val="28"/>
            <w:szCs w:val="28"/>
          </w:rPr>
          <w:instrText xml:space="preserve"> PAGEREF _Toc320874325 \h </w:instrText>
        </w:r>
        <w:r>
          <w:rPr>
            <w:sz w:val="28"/>
            <w:szCs w:val="28"/>
          </w:rPr>
          <w:fldChar w:fldCharType="separate"/>
        </w:r>
        <w:r>
          <w:rPr>
            <w:sz w:val="28"/>
            <w:szCs w:val="28"/>
          </w:rPr>
          <w:t>20</w:t>
        </w:r>
        <w:r>
          <w:rPr>
            <w:sz w:val="28"/>
            <w:szCs w:val="28"/>
          </w:rPr>
          <w:fldChar w:fldCharType="end"/>
        </w:r>
      </w:hyperlink>
    </w:p>
    <w:p>
      <w:pPr>
        <w:pStyle w:val="TOC2"/>
        <w:tabs>
          <w:tab w:val="right" w:leader="dot" w:pos="8930"/>
        </w:tabs>
        <w:rPr>
          <w:sz w:val="28"/>
          <w:szCs w:val="28"/>
        </w:rPr>
      </w:pPr>
      <w:hyperlink w:anchor="_Toc320874326" w:history="1">
        <w:r>
          <w:rPr>
            <w:rStyle w:val="Hyperlink"/>
            <w:rFonts w:hint="eastAsia"/>
            <w:kern w:val="0"/>
            <w:sz w:val="28"/>
            <w:szCs w:val="28"/>
          </w:rPr>
          <w:t>环评总结论</w:t>
        </w:r>
        <w:r>
          <w:rPr>
            <w:sz w:val="28"/>
            <w:szCs w:val="28"/>
          </w:rPr>
          <w:tab/>
        </w:r>
        <w:r>
          <w:rPr>
            <w:sz w:val="28"/>
            <w:szCs w:val="28"/>
          </w:rPr>
          <w:fldChar w:fldCharType="begin"/>
        </w:r>
        <w:r>
          <w:rPr>
            <w:sz w:val="28"/>
            <w:szCs w:val="28"/>
          </w:rPr>
          <w:instrText xml:space="preserve"> PAGEREF _Toc320874326 \h </w:instrText>
        </w:r>
        <w:r>
          <w:rPr>
            <w:sz w:val="28"/>
            <w:szCs w:val="28"/>
          </w:rPr>
          <w:fldChar w:fldCharType="separate"/>
        </w:r>
        <w:r>
          <w:rPr>
            <w:sz w:val="28"/>
            <w:szCs w:val="28"/>
          </w:rPr>
          <w:t>20</w:t>
        </w:r>
        <w:r>
          <w:rPr>
            <w:sz w:val="28"/>
            <w:szCs w:val="28"/>
          </w:rPr>
          <w:fldChar w:fldCharType="end"/>
        </w:r>
      </w:hyperlink>
    </w:p>
    <w:p>
      <w:pPr>
        <w:spacing w:line="480" w:lineRule="exact"/>
        <w:rPr>
          <w:rFonts w:ascii="华文细黑" w:eastAsia="华文细黑" w:hAnsi="华文细黑"/>
          <w:sz w:val="32"/>
        </w:rPr>
        <w:sectPr>
          <w:type w:val="nextPage"/>
          <w:pgSz w:w="11906" w:h="16838"/>
          <w:pgMar w:top="1440" w:right="1346" w:bottom="1440" w:left="1620" w:header="851" w:footer="992" w:gutter="0"/>
          <w:pgNumType w:start="2"/>
          <w:cols w:space="708"/>
          <w:titlePg w:val="0"/>
          <w:docGrid w:type="lines" w:linePitch="312"/>
        </w:sectPr>
      </w:pPr>
      <w:r>
        <w:rPr>
          <w:rFonts w:ascii="华文细黑" w:eastAsia="华文细黑" w:hAnsi="华文细黑"/>
          <w:b/>
          <w:bCs/>
          <w:sz w:val="28"/>
          <w:szCs w:val="28"/>
        </w:rPr>
        <w:fldChar w:fldCharType="end"/>
      </w:r>
    </w:p>
    <w:p>
      <w:pPr>
        <w:pStyle w:val="Heading1"/>
        <w:jc w:val="center"/>
        <w:rPr>
          <w:rFonts w:hint="eastAsia"/>
        </w:rPr>
      </w:pPr>
      <w:bookmarkStart w:id="1" w:name="_Toc183849303"/>
      <w:bookmarkStart w:id="2" w:name="_Toc320874307"/>
      <w:r>
        <w:rPr>
          <w:rFonts w:hint="eastAsia"/>
        </w:rPr>
        <w:t xml:space="preserve">第一章  </w:t>
      </w:r>
      <w:bookmarkEnd w:id="1"/>
      <w:r>
        <w:rPr>
          <w:rFonts w:hint="eastAsia"/>
        </w:rPr>
        <w:t>建设项目基本情况</w:t>
      </w:r>
      <w:bookmarkEnd w:id="2"/>
    </w:p>
    <w:p>
      <w:pPr>
        <w:pStyle w:val="Heading2"/>
        <w:tabs>
          <w:tab w:val="left" w:pos="536"/>
        </w:tabs>
        <w:spacing w:line="440" w:lineRule="exact"/>
        <w:rPr>
          <w:rFonts w:ascii="Times New Roman"/>
        </w:rPr>
      </w:pPr>
      <w:bookmarkStart w:id="3" w:name="_Toc183849304"/>
      <w:bookmarkStart w:id="4" w:name="_Toc75358012"/>
      <w:bookmarkStart w:id="5" w:name="_Toc316047524"/>
      <w:bookmarkStart w:id="6" w:name="_Toc320874308"/>
      <w:r>
        <w:rPr>
          <w:rFonts w:ascii="Times New Roman"/>
        </w:rPr>
        <w:t>1.1项目由来</w:t>
      </w:r>
      <w:bookmarkEnd w:id="3"/>
      <w:bookmarkEnd w:id="4"/>
      <w:bookmarkEnd w:id="5"/>
      <w:bookmarkEnd w:id="6"/>
    </w:p>
    <w:p>
      <w:pPr>
        <w:widowControl/>
        <w:spacing w:line="480" w:lineRule="exact"/>
        <w:ind w:firstLine="480" w:firstLineChars="200"/>
        <w:rPr>
          <w:rFonts w:hint="eastAsia"/>
          <w:sz w:val="24"/>
        </w:rPr>
      </w:pPr>
      <w:r>
        <w:rPr>
          <w:rFonts w:hint="eastAsia"/>
          <w:sz w:val="24"/>
        </w:rPr>
        <w:t>经济要发展，交通需先行。经济社会的可持续发展对道路运输的要求，不仅要有容量大、等级高、速度快的路网，而且还要有功能齐全、设施先进、规模适当、布局合理、效率高、服务优的道路运输站场体系。</w:t>
      </w:r>
    </w:p>
    <w:p>
      <w:pPr>
        <w:widowControl/>
        <w:spacing w:line="480" w:lineRule="exact"/>
        <w:ind w:firstLine="480" w:firstLineChars="200"/>
        <w:rPr>
          <w:rFonts w:hint="eastAsia"/>
          <w:sz w:val="24"/>
        </w:rPr>
      </w:pPr>
      <w:r>
        <w:rPr>
          <w:rFonts w:hint="eastAsia"/>
          <w:sz w:val="24"/>
        </w:rPr>
        <w:t>改革开放以来，尤其在</w:t>
      </w:r>
      <w:r>
        <w:rPr>
          <w:rFonts w:hint="eastAsia"/>
          <w:sz w:val="24"/>
        </w:rPr>
        <w:t>“</w:t>
      </w:r>
      <w:r>
        <w:rPr>
          <w:rFonts w:hint="eastAsia"/>
          <w:sz w:val="24"/>
        </w:rPr>
        <w:t>十五</w:t>
      </w:r>
      <w:r>
        <w:rPr>
          <w:rFonts w:hint="eastAsia"/>
          <w:sz w:val="24"/>
        </w:rPr>
        <w:t>”</w:t>
      </w:r>
      <w:r>
        <w:rPr>
          <w:rFonts w:hint="eastAsia"/>
          <w:sz w:val="24"/>
        </w:rPr>
        <w:t>、</w:t>
      </w:r>
      <w:r>
        <w:rPr>
          <w:rFonts w:hint="eastAsia"/>
          <w:sz w:val="24"/>
        </w:rPr>
        <w:t>“</w:t>
      </w:r>
      <w:r>
        <w:rPr>
          <w:rFonts w:hint="eastAsia"/>
          <w:sz w:val="24"/>
        </w:rPr>
        <w:t>十一五</w:t>
      </w:r>
      <w:r>
        <w:rPr>
          <w:rFonts w:hint="eastAsia"/>
          <w:sz w:val="24"/>
        </w:rPr>
        <w:t>”</w:t>
      </w:r>
      <w:r>
        <w:rPr>
          <w:rFonts w:hint="eastAsia"/>
          <w:sz w:val="24"/>
        </w:rPr>
        <w:t>期间，绍兴市交通事业有了长足的发展。随着104国道南联北建续建工程、绍大线、绍甘线、绍三线、诸永高速、杭甬客运专线、嘉绍跨江公路通道、杭金衢高速拓宽工程、绍兴市的道路交通状况得到了较大改善，与此同时，与之相配套的道路运输站场建设也有了一定的发展，新的汽车西站及一批城郊公交换乘站建成和投入使用，旅客乘车条件得到了明显改善。但随着绍兴市经济社会的快速发展，城市化进程的日益加快和城市人口的不断增多，绍兴市城区公路客运站场的规划建设已明显滞后，与绍兴市的经济社会发展日益不相适应。现位于市区五云门的汽车东站和城南江家溇村的原汽车南站由于车站规模偏小、设施陈旧，出租车、公交车的停车场地不配套，已不能适应人民群众乘车出行需求。而且车站的整体形象、交通现状与周边环境极不相称，给城市交通带来了较大的压力。针对这些状况，绍兴市汽车运输集团有限公司会同有关部门与领导经过多次调研，反复考察，拟投资13800万元，在</w:t>
      </w:r>
      <w:r>
        <w:rPr>
          <w:rFonts w:hAnsi="宋体" w:hint="eastAsia"/>
          <w:sz w:val="24"/>
        </w:rPr>
        <w:t>绍兴市鉴湖镇中兴路以东、印山路以南，实施</w:t>
      </w:r>
      <w:r>
        <w:rPr>
          <w:rFonts w:hint="eastAsia"/>
          <w:sz w:val="24"/>
        </w:rPr>
        <w:t>绍兴汽车南站建设项目。</w:t>
      </w:r>
    </w:p>
    <w:p>
      <w:pPr>
        <w:spacing w:line="480" w:lineRule="exact"/>
        <w:ind w:firstLine="480" w:firstLineChars="200"/>
        <w:rPr>
          <w:rFonts w:hint="eastAsia"/>
          <w:sz w:val="24"/>
        </w:rPr>
      </w:pPr>
      <w:r>
        <w:rPr>
          <w:rFonts w:hint="eastAsia"/>
          <w:sz w:val="24"/>
        </w:rPr>
        <w:t>为了</w:t>
      </w:r>
      <w:r>
        <w:rPr>
          <w:rFonts w:hAnsi="宋体" w:hint="eastAsia"/>
          <w:sz w:val="24"/>
        </w:rPr>
        <w:t>科学</w:t>
      </w:r>
      <w:r>
        <w:rPr>
          <w:rFonts w:hint="eastAsia"/>
          <w:sz w:val="24"/>
        </w:rPr>
        <w:t>客观地评价项目实施后对周围环境造成的影响，根据《建设项目环境保护管理条例》、《中华人民共和国环境影响评价法》和《</w:t>
      </w:r>
      <w:r>
        <w:rPr>
          <w:rFonts w:hAnsi="宋体"/>
          <w:sz w:val="24"/>
        </w:rPr>
        <w:t>浙江省建设项目环境保护管理办法</w:t>
      </w:r>
      <w:r>
        <w:rPr>
          <w:rFonts w:hint="eastAsia"/>
          <w:sz w:val="24"/>
        </w:rPr>
        <w:t>》中有关规定，该项目应进行环境影响评价。受绍兴市汽车运输集团有限公司</w:t>
      </w:r>
      <w:r>
        <w:rPr>
          <w:sz w:val="24"/>
        </w:rPr>
        <w:t>委托</w:t>
      </w:r>
      <w:r>
        <w:rPr>
          <w:rFonts w:hint="eastAsia"/>
          <w:sz w:val="24"/>
        </w:rPr>
        <w:t>，绍兴市环球环境保护科学设计研究院有限公司承担了该项目的环境影响评价工作。我公司在对项目现场踏勘、监测和资料收集等的基础上，根据环评导则及其它有关文件，在征求环保主管部门意见后，编制了该项目的环境影响报告表，报请环保主管部门审查、审批，为项目实施和管理提供参考依据。</w:t>
      </w:r>
    </w:p>
    <w:p>
      <w:pPr>
        <w:spacing w:line="480" w:lineRule="exact"/>
        <w:ind w:left="1860" w:hanging="1440" w:leftChars="200" w:hangingChars="600"/>
        <w:rPr>
          <w:rFonts w:hint="eastAsia"/>
          <w:sz w:val="24"/>
        </w:rPr>
        <w:sectPr>
          <w:headerReference w:type="default" r:id="rId4"/>
          <w:footerReference w:type="default" r:id="rId5"/>
          <w:pgSz w:w="11906" w:h="16838"/>
          <w:pgMar w:top="1440" w:right="1646" w:bottom="1440" w:left="1800" w:header="851" w:footer="992" w:gutter="0"/>
          <w:pgNumType w:start="1"/>
          <w:cols w:space="708"/>
          <w:docGrid w:type="lines" w:linePitch="312"/>
        </w:sectPr>
      </w:pPr>
    </w:p>
    <w:p>
      <w:pPr>
        <w:pStyle w:val="Heading1"/>
        <w:jc w:val="center"/>
        <w:rPr>
          <w:rFonts w:hint="eastAsia"/>
        </w:rPr>
      </w:pPr>
      <w:bookmarkStart w:id="7" w:name="_Toc320874309"/>
      <w:r>
        <w:rPr>
          <w:rFonts w:hint="eastAsia"/>
        </w:rPr>
        <w:t>第二章   项目周边环境及保护目标</w:t>
      </w:r>
      <w:bookmarkEnd w:id="7"/>
    </w:p>
    <w:p>
      <w:pPr>
        <w:pStyle w:val="Heading2"/>
        <w:tabs>
          <w:tab w:val="left" w:pos="536"/>
        </w:tabs>
        <w:spacing w:line="460" w:lineRule="exact"/>
        <w:rPr>
          <w:rFonts w:ascii="Times New Roman" w:hint="eastAsia"/>
        </w:rPr>
      </w:pPr>
      <w:bookmarkStart w:id="8" w:name="_Toc320874310"/>
      <w:bookmarkStart w:id="9" w:name="_Toc316047526"/>
      <w:r>
        <w:rPr>
          <w:rFonts w:ascii="Times New Roman" w:hint="eastAsia"/>
        </w:rPr>
        <w:t>2</w:t>
      </w:r>
      <w:r>
        <w:rPr>
          <w:rFonts w:ascii="Times New Roman"/>
        </w:rPr>
        <w:t>.1</w:t>
      </w:r>
      <w:r>
        <w:rPr>
          <w:rFonts w:ascii="Times New Roman" w:hint="eastAsia"/>
        </w:rPr>
        <w:t>项目地理位置</w:t>
      </w:r>
      <w:bookmarkEnd w:id="8"/>
    </w:p>
    <w:p>
      <w:pPr>
        <w:spacing w:line="500" w:lineRule="exact"/>
        <w:ind w:firstLine="480" w:firstLineChars="200"/>
        <w:rPr>
          <w:rFonts w:hint="eastAsia"/>
          <w:sz w:val="24"/>
        </w:rPr>
      </w:pPr>
      <w:r>
        <w:rPr>
          <w:rFonts w:hint="eastAsia"/>
          <w:bCs/>
          <w:sz w:val="24"/>
        </w:rPr>
        <w:t>项目位于绍兴市鉴湖镇中兴路以东、印山路以南地块。项目所在地东面为新</w:t>
      </w:r>
      <w:r>
        <w:rPr>
          <w:rFonts w:hint="eastAsia"/>
          <w:sz w:val="24"/>
        </w:rPr>
        <w:t>河江，隔河为农田</w:t>
      </w:r>
      <w:r>
        <w:rPr>
          <w:sz w:val="24"/>
        </w:rPr>
        <w:t>；南面为</w:t>
      </w:r>
      <w:r>
        <w:rPr>
          <w:rFonts w:hint="eastAsia"/>
          <w:sz w:val="24"/>
        </w:rPr>
        <w:t>栖凫路(现状为农田)</w:t>
      </w:r>
      <w:r>
        <w:rPr>
          <w:sz w:val="24"/>
        </w:rPr>
        <w:t>；西面为</w:t>
      </w:r>
      <w:r>
        <w:rPr>
          <w:rFonts w:hint="eastAsia"/>
          <w:sz w:val="24"/>
        </w:rPr>
        <w:t>中兴南路，隔路为农田</w:t>
      </w:r>
      <w:r>
        <w:rPr>
          <w:sz w:val="24"/>
        </w:rPr>
        <w:t>；北面为</w:t>
      </w:r>
      <w:r>
        <w:rPr>
          <w:rFonts w:hint="eastAsia"/>
          <w:sz w:val="24"/>
        </w:rPr>
        <w:t>印山路(现状为农田)</w:t>
      </w:r>
      <w:r>
        <w:rPr>
          <w:bCs/>
          <w:sz w:val="24"/>
        </w:rPr>
        <w:t>。</w:t>
      </w:r>
    </w:p>
    <w:p>
      <w:pPr>
        <w:pStyle w:val="Heading2"/>
        <w:tabs>
          <w:tab w:val="left" w:pos="536"/>
        </w:tabs>
        <w:spacing w:line="460" w:lineRule="exact"/>
        <w:rPr>
          <w:rFonts w:ascii="Times New Roman" w:hint="eastAsia"/>
        </w:rPr>
      </w:pPr>
      <w:bookmarkStart w:id="10" w:name="_Toc320874311"/>
      <w:r>
        <w:rPr>
          <w:rFonts w:ascii="Times New Roman" w:hint="eastAsia"/>
        </w:rPr>
        <w:t>2</w:t>
      </w:r>
      <w:r>
        <w:rPr>
          <w:rFonts w:ascii="Times New Roman"/>
        </w:rPr>
        <w:t>.</w:t>
      </w:r>
      <w:bookmarkEnd w:id="9"/>
      <w:r>
        <w:rPr>
          <w:rFonts w:ascii="Times New Roman" w:hint="eastAsia"/>
        </w:rPr>
        <w:t>2环境质量现状</w:t>
      </w:r>
      <w:bookmarkEnd w:id="10"/>
    </w:p>
    <w:p>
      <w:pPr>
        <w:spacing w:line="480" w:lineRule="exact"/>
        <w:rPr>
          <w:rFonts w:hint="eastAsia"/>
          <w:sz w:val="24"/>
        </w:rPr>
      </w:pPr>
      <w:r>
        <w:rPr>
          <w:rFonts w:hint="eastAsia"/>
          <w:bCs/>
          <w:sz w:val="24"/>
        </w:rPr>
        <w:t>2</w:t>
      </w:r>
      <w:r>
        <w:rPr>
          <w:bCs/>
          <w:sz w:val="24"/>
        </w:rPr>
        <w:t>.</w:t>
      </w:r>
      <w:r>
        <w:rPr>
          <w:rFonts w:hint="eastAsia"/>
          <w:bCs/>
          <w:sz w:val="24"/>
        </w:rPr>
        <w:t>2</w:t>
      </w:r>
      <w:r>
        <w:rPr>
          <w:bCs/>
          <w:sz w:val="24"/>
        </w:rPr>
        <w:t>.1</w:t>
      </w:r>
      <w:r>
        <w:rPr>
          <w:rFonts w:hint="eastAsia"/>
          <w:sz w:val="24"/>
        </w:rPr>
        <w:t>环境空气质量现状</w:t>
      </w:r>
    </w:p>
    <w:p>
      <w:pPr>
        <w:spacing w:line="500" w:lineRule="exact"/>
        <w:ind w:firstLine="480" w:firstLineChars="200"/>
        <w:rPr>
          <w:rFonts w:hint="eastAsia"/>
          <w:sz w:val="24"/>
        </w:rPr>
      </w:pPr>
      <w:r>
        <w:rPr>
          <w:sz w:val="24"/>
        </w:rPr>
        <w:t>监测结果表明，项目地附近的环境空气监测点中SO</w:t>
      </w:r>
      <w:r>
        <w:rPr>
          <w:sz w:val="24"/>
          <w:vertAlign w:val="subscript"/>
        </w:rPr>
        <w:t>2</w:t>
      </w:r>
      <w:r>
        <w:rPr>
          <w:sz w:val="24"/>
        </w:rPr>
        <w:t>和NO</w:t>
      </w:r>
      <w:r>
        <w:rPr>
          <w:sz w:val="24"/>
          <w:vertAlign w:val="subscript"/>
        </w:rPr>
        <w:t>2</w:t>
      </w:r>
      <w:r>
        <w:rPr>
          <w:sz w:val="24"/>
        </w:rPr>
        <w:t>的1小时平均值及PM</w:t>
      </w:r>
      <w:r>
        <w:rPr>
          <w:sz w:val="24"/>
          <w:vertAlign w:val="subscript"/>
        </w:rPr>
        <w:t>10</w:t>
      </w:r>
      <w:r>
        <w:rPr>
          <w:sz w:val="24"/>
        </w:rPr>
        <w:t>的</w:t>
      </w:r>
      <w:r>
        <w:rPr>
          <w:rFonts w:hint="eastAsia"/>
          <w:sz w:val="24"/>
        </w:rPr>
        <w:t>日</w:t>
      </w:r>
      <w:r>
        <w:rPr>
          <w:sz w:val="24"/>
        </w:rPr>
        <w:t>平均值均符合《环境空气质量标准》（GB3095-2012）中的二级标准，满足二类功能区要求。</w:t>
      </w:r>
    </w:p>
    <w:p>
      <w:pPr>
        <w:spacing w:line="480" w:lineRule="exact"/>
        <w:rPr>
          <w:rFonts w:hint="eastAsia"/>
          <w:sz w:val="24"/>
        </w:rPr>
      </w:pPr>
      <w:r>
        <w:rPr>
          <w:rFonts w:hint="eastAsia"/>
          <w:bCs/>
          <w:sz w:val="24"/>
        </w:rPr>
        <w:t>2</w:t>
      </w:r>
      <w:r>
        <w:rPr>
          <w:bCs/>
          <w:sz w:val="24"/>
        </w:rPr>
        <w:t>.</w:t>
      </w:r>
      <w:r>
        <w:rPr>
          <w:rFonts w:hint="eastAsia"/>
          <w:bCs/>
          <w:sz w:val="24"/>
        </w:rPr>
        <w:t>2</w:t>
      </w:r>
      <w:r>
        <w:rPr>
          <w:bCs/>
          <w:sz w:val="24"/>
        </w:rPr>
        <w:t>.</w:t>
      </w:r>
      <w:r>
        <w:rPr>
          <w:rFonts w:hint="eastAsia"/>
          <w:bCs/>
          <w:sz w:val="24"/>
        </w:rPr>
        <w:t>2</w:t>
      </w:r>
      <w:r>
        <w:rPr>
          <w:bCs/>
          <w:sz w:val="24"/>
        </w:rPr>
        <w:t>水环境</w:t>
      </w:r>
      <w:r>
        <w:rPr>
          <w:rFonts w:hint="eastAsia"/>
          <w:sz w:val="24"/>
        </w:rPr>
        <w:t>质量现状</w:t>
      </w:r>
    </w:p>
    <w:p>
      <w:pPr>
        <w:spacing w:line="500" w:lineRule="exact"/>
        <w:ind w:firstLine="480" w:firstLineChars="200"/>
        <w:rPr>
          <w:rFonts w:hint="eastAsia"/>
          <w:spacing w:val="-6"/>
          <w:sz w:val="24"/>
        </w:rPr>
      </w:pPr>
      <w:r>
        <w:rPr>
          <w:rFonts w:hAnsi="宋体"/>
          <w:sz w:val="24"/>
        </w:rPr>
        <w:t>从监测结果可知，项目所在地附近水域半江庙</w:t>
      </w:r>
      <w:r>
        <w:rPr>
          <w:rFonts w:hAnsi="宋体"/>
          <w:bCs/>
          <w:sz w:val="24"/>
        </w:rPr>
        <w:t>断面水环境质量</w:t>
      </w:r>
      <w:r>
        <w:rPr>
          <w:rFonts w:hAnsi="宋体"/>
          <w:sz w:val="24"/>
        </w:rPr>
        <w:t>为</w:t>
      </w:r>
      <w:r>
        <w:rPr>
          <w:rFonts w:hAnsi="宋体" w:hint="eastAsia"/>
          <w:bCs/>
          <w:sz w:val="24"/>
        </w:rPr>
        <w:t>Ⅴ</w:t>
      </w:r>
      <w:r>
        <w:rPr>
          <w:rFonts w:hAnsi="宋体"/>
          <w:sz w:val="24"/>
        </w:rPr>
        <w:t>类水，</w:t>
      </w:r>
      <w:r>
        <w:rPr>
          <w:rFonts w:hAnsi="宋体" w:hint="eastAsia"/>
          <w:sz w:val="24"/>
        </w:rPr>
        <w:t>不能</w:t>
      </w:r>
      <w:r>
        <w:rPr>
          <w:rFonts w:hAnsi="宋体"/>
          <w:sz w:val="24"/>
        </w:rPr>
        <w:t>满足Ⅲ类水功能要求</w:t>
      </w:r>
      <w:r>
        <w:rPr>
          <w:rFonts w:hAnsi="宋体" w:hint="eastAsia"/>
          <w:sz w:val="24"/>
        </w:rPr>
        <w:t>，主要超标因子为溶解氧、氨氮、</w:t>
      </w:r>
      <w:r>
        <w:rPr>
          <w:rFonts w:hAnsi="宋体"/>
          <w:sz w:val="24"/>
        </w:rPr>
        <w:t>BOD</w:t>
      </w:r>
      <w:r>
        <w:rPr>
          <w:rFonts w:hAnsi="宋体"/>
          <w:sz w:val="24"/>
          <w:vertAlign w:val="subscript"/>
        </w:rPr>
        <w:t>5</w:t>
      </w:r>
      <w:r>
        <w:rPr>
          <w:rFonts w:hAnsi="宋体" w:hint="eastAsia"/>
          <w:sz w:val="24"/>
        </w:rPr>
        <w:t>、</w:t>
      </w:r>
      <w:r>
        <w:rPr>
          <w:rFonts w:hAnsi="宋体" w:hint="eastAsia"/>
          <w:bCs/>
          <w:sz w:val="24"/>
        </w:rPr>
        <w:t>石油类</w:t>
      </w:r>
      <w:r>
        <w:rPr>
          <w:rFonts w:hAnsi="宋体" w:hint="eastAsia"/>
          <w:sz w:val="24"/>
        </w:rPr>
        <w:t>，</w:t>
      </w:r>
      <w:r>
        <w:rPr>
          <w:rFonts w:hAnsi="宋体"/>
          <w:sz w:val="24"/>
        </w:rPr>
        <w:t>分析原因主要和上游来水水质较差、沿河部分居民生活污水排入及河底污泥污染物释放等有关。</w:t>
      </w:r>
    </w:p>
    <w:p>
      <w:pPr>
        <w:spacing w:line="480" w:lineRule="exact"/>
        <w:rPr>
          <w:rFonts w:hint="eastAsia"/>
          <w:sz w:val="24"/>
        </w:rPr>
      </w:pPr>
      <w:r>
        <w:rPr>
          <w:rFonts w:hint="eastAsia"/>
          <w:bCs/>
          <w:sz w:val="24"/>
        </w:rPr>
        <w:t>2</w:t>
      </w:r>
      <w:r>
        <w:rPr>
          <w:bCs/>
          <w:sz w:val="24"/>
        </w:rPr>
        <w:t>.</w:t>
      </w:r>
      <w:r>
        <w:rPr>
          <w:rFonts w:hint="eastAsia"/>
          <w:bCs/>
          <w:sz w:val="24"/>
        </w:rPr>
        <w:t>2</w:t>
      </w:r>
      <w:r>
        <w:rPr>
          <w:bCs/>
          <w:sz w:val="24"/>
        </w:rPr>
        <w:t>.</w:t>
      </w:r>
      <w:r>
        <w:rPr>
          <w:rFonts w:hint="eastAsia"/>
          <w:bCs/>
          <w:sz w:val="24"/>
        </w:rPr>
        <w:t>3声</w:t>
      </w:r>
      <w:r>
        <w:rPr>
          <w:bCs/>
          <w:sz w:val="24"/>
        </w:rPr>
        <w:t>环境</w:t>
      </w:r>
      <w:r>
        <w:rPr>
          <w:rFonts w:hint="eastAsia"/>
          <w:sz w:val="24"/>
        </w:rPr>
        <w:t>质量现状</w:t>
      </w:r>
    </w:p>
    <w:p>
      <w:pPr>
        <w:spacing w:line="500" w:lineRule="exact"/>
        <w:ind w:firstLine="480" w:firstLineChars="200"/>
        <w:rPr>
          <w:rFonts w:hint="eastAsia"/>
          <w:spacing w:val="-6"/>
          <w:sz w:val="24"/>
        </w:rPr>
      </w:pPr>
      <w:r>
        <w:rPr>
          <w:rFonts w:hint="eastAsia"/>
          <w:spacing w:val="-6"/>
          <w:sz w:val="24"/>
        </w:rPr>
        <w:t>根据噪声现状监测结果及对照评价标准，</w:t>
      </w:r>
      <w:r>
        <w:rPr>
          <w:rFonts w:hAnsi="宋体" w:hint="eastAsia"/>
          <w:sz w:val="24"/>
        </w:rPr>
        <w:t>项目所在地东面昼间噪声达到</w:t>
      </w:r>
      <w:r>
        <w:rPr>
          <w:rFonts w:hAnsi="宋体"/>
          <w:sz w:val="24"/>
        </w:rPr>
        <w:t>《声环境质量标准》(GB3096-2008)中</w:t>
      </w:r>
      <w:r>
        <w:rPr>
          <w:rFonts w:hAnsi="宋体" w:hint="eastAsia"/>
          <w:sz w:val="24"/>
        </w:rPr>
        <w:t>1类</w:t>
      </w:r>
      <w:r>
        <w:rPr>
          <w:rFonts w:hAnsi="宋体"/>
          <w:sz w:val="24"/>
        </w:rPr>
        <w:t>标准</w:t>
      </w:r>
      <w:r>
        <w:rPr>
          <w:rFonts w:hAnsi="宋体" w:hint="eastAsia"/>
          <w:sz w:val="24"/>
        </w:rPr>
        <w:t>，满足1类功能要求；西面昼夜间噪声达到</w:t>
      </w:r>
      <w:r>
        <w:rPr>
          <w:rFonts w:hAnsi="宋体"/>
          <w:sz w:val="24"/>
        </w:rPr>
        <w:t>《声环境质量标准》(GB3096-2008)中</w:t>
      </w:r>
      <w:r>
        <w:rPr>
          <w:rFonts w:hAnsi="宋体" w:hint="eastAsia"/>
          <w:sz w:val="24"/>
        </w:rPr>
        <w:t>2类</w:t>
      </w:r>
      <w:r>
        <w:rPr>
          <w:rFonts w:hAnsi="宋体"/>
          <w:sz w:val="24"/>
        </w:rPr>
        <w:t>标准</w:t>
      </w:r>
      <w:r>
        <w:rPr>
          <w:rFonts w:hAnsi="宋体" w:hint="eastAsia"/>
          <w:sz w:val="24"/>
        </w:rPr>
        <w:t>，满足4a类功能要求。东面夜间和南、北两面昼夜间噪声均超标，分析超标原因，主要为受中兴南路施工噪声和附近居民生活噪声影响。</w:t>
      </w:r>
    </w:p>
    <w:p>
      <w:pPr>
        <w:pStyle w:val="Heading2"/>
        <w:tabs>
          <w:tab w:val="left" w:pos="536"/>
        </w:tabs>
        <w:spacing w:line="460" w:lineRule="exact"/>
        <w:rPr>
          <w:sz w:val="24"/>
        </w:rPr>
      </w:pPr>
      <w:bookmarkStart w:id="11" w:name="_Toc320874312"/>
      <w:r>
        <w:rPr>
          <w:rFonts w:ascii="Times New Roman"/>
        </w:rPr>
        <w:t>2.</w:t>
      </w:r>
      <w:bookmarkStart w:id="12" w:name="_Toc316047527"/>
      <w:r>
        <w:rPr>
          <w:rFonts w:ascii="Times New Roman" w:hint="eastAsia"/>
        </w:rPr>
        <w:t>3</w:t>
      </w:r>
      <w:r>
        <w:rPr>
          <w:rFonts w:hint="eastAsia"/>
        </w:rPr>
        <w:t>项目周围环境保护目标</w:t>
      </w:r>
      <w:bookmarkEnd w:id="11"/>
    </w:p>
    <w:p>
      <w:pPr>
        <w:spacing w:line="480" w:lineRule="exact"/>
        <w:jc w:val="center"/>
        <w:rPr>
          <w:bCs/>
          <w:sz w:val="24"/>
        </w:rPr>
      </w:pPr>
      <w:bookmarkEnd w:id="12"/>
      <w:r>
        <w:rPr>
          <w:rFonts w:hAnsi="宋体"/>
          <w:bCs/>
          <w:sz w:val="24"/>
        </w:rPr>
        <w:t>表</w:t>
      </w:r>
      <w:r>
        <w:rPr>
          <w:rFonts w:hint="eastAsia"/>
          <w:bCs/>
          <w:sz w:val="24"/>
        </w:rPr>
        <w:t>2</w:t>
      </w:r>
      <w:r>
        <w:rPr>
          <w:bCs/>
          <w:sz w:val="24"/>
        </w:rPr>
        <w:t>-</w:t>
      </w:r>
      <w:r>
        <w:rPr>
          <w:rFonts w:hint="eastAsia"/>
          <w:bCs/>
          <w:sz w:val="24"/>
        </w:rPr>
        <w:t>1</w:t>
      </w:r>
      <w:r>
        <w:rPr>
          <w:bCs/>
          <w:sz w:val="24"/>
        </w:rPr>
        <w:t xml:space="preserve">   </w:t>
      </w:r>
      <w:r>
        <w:rPr>
          <w:rFonts w:hint="eastAsia"/>
          <w:bCs/>
          <w:sz w:val="24"/>
        </w:rPr>
        <w:t xml:space="preserve"> </w:t>
      </w:r>
      <w:r>
        <w:rPr>
          <w:rFonts w:hAnsi="宋体"/>
          <w:bCs/>
          <w:sz w:val="24"/>
        </w:rPr>
        <w:t>项目主要保护目标</w:t>
      </w:r>
    </w:p>
    <w:tbl>
      <w:tblPr>
        <w:tblStyle w:val="TableNormal"/>
        <w:jc w:val="center"/>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
      <w:tblGrid>
        <w:gridCol w:w="686"/>
        <w:gridCol w:w="1509"/>
        <w:gridCol w:w="1091"/>
        <w:gridCol w:w="1400"/>
        <w:gridCol w:w="1279"/>
        <w:gridCol w:w="931"/>
        <w:gridCol w:w="1791"/>
      </w:tblGrid>
      <w:tr>
        <w:tblPrEx>
          <w:jc w:val="center"/>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000"/>
        </w:tblPrEx>
        <w:trPr>
          <w:trHeight w:val="799"/>
          <w:jc w:val="center"/>
        </w:trPr>
        <w:tc>
          <w:tcPr>
            <w:tcW w:w="686" w:type="dxa"/>
            <w:vAlign w:val="center"/>
          </w:tcPr>
          <w:p>
            <w:pPr>
              <w:spacing w:line="360" w:lineRule="exact"/>
              <w:ind w:left="-78" w:right="-67" w:leftChars="-37" w:rightChars="-32"/>
              <w:jc w:val="center"/>
              <w:rPr>
                <w:szCs w:val="21"/>
              </w:rPr>
            </w:pPr>
            <w:r>
              <w:rPr>
                <w:szCs w:val="21"/>
              </w:rPr>
              <w:t>序号</w:t>
            </w:r>
          </w:p>
        </w:tc>
        <w:tc>
          <w:tcPr>
            <w:tcW w:w="1509" w:type="dxa"/>
            <w:vAlign w:val="center"/>
          </w:tcPr>
          <w:p>
            <w:pPr>
              <w:spacing w:line="360" w:lineRule="exact"/>
              <w:jc w:val="center"/>
              <w:rPr>
                <w:rFonts w:hint="eastAsia"/>
                <w:szCs w:val="21"/>
              </w:rPr>
            </w:pPr>
            <w:r>
              <w:rPr>
                <w:szCs w:val="21"/>
              </w:rPr>
              <w:t>保护目标</w:t>
            </w:r>
          </w:p>
          <w:p>
            <w:pPr>
              <w:spacing w:line="360" w:lineRule="exact"/>
              <w:jc w:val="center"/>
              <w:rPr>
                <w:szCs w:val="21"/>
              </w:rPr>
            </w:pPr>
            <w:r>
              <w:rPr>
                <w:szCs w:val="21"/>
              </w:rPr>
              <w:t>名称</w:t>
            </w:r>
          </w:p>
        </w:tc>
        <w:tc>
          <w:tcPr>
            <w:tcW w:w="1091" w:type="dxa"/>
            <w:vAlign w:val="center"/>
          </w:tcPr>
          <w:p>
            <w:pPr>
              <w:spacing w:line="360" w:lineRule="exact"/>
              <w:ind w:left="-52" w:right="-61" w:leftChars="-25" w:rightChars="-29"/>
              <w:jc w:val="center"/>
              <w:rPr>
                <w:szCs w:val="21"/>
              </w:rPr>
            </w:pPr>
            <w:r>
              <w:rPr>
                <w:szCs w:val="21"/>
              </w:rPr>
              <w:t>方位</w:t>
            </w:r>
          </w:p>
        </w:tc>
        <w:tc>
          <w:tcPr>
            <w:tcW w:w="1400" w:type="dxa"/>
            <w:vAlign w:val="center"/>
          </w:tcPr>
          <w:p>
            <w:pPr>
              <w:spacing w:line="360" w:lineRule="exact"/>
              <w:jc w:val="center"/>
              <w:rPr>
                <w:szCs w:val="21"/>
              </w:rPr>
            </w:pPr>
            <w:r>
              <w:rPr>
                <w:szCs w:val="21"/>
              </w:rPr>
              <w:t>距项目距离(m)</w:t>
            </w:r>
          </w:p>
        </w:tc>
        <w:tc>
          <w:tcPr>
            <w:tcW w:w="1279" w:type="dxa"/>
            <w:tcBorders>
              <w:left w:val="single" w:sz="4" w:space="0" w:color="auto"/>
            </w:tcBorders>
            <w:vAlign w:val="center"/>
          </w:tcPr>
          <w:p>
            <w:pPr>
              <w:spacing w:line="360" w:lineRule="exact"/>
              <w:jc w:val="center"/>
              <w:rPr>
                <w:szCs w:val="21"/>
              </w:rPr>
            </w:pPr>
            <w:r>
              <w:rPr>
                <w:szCs w:val="21"/>
              </w:rPr>
              <w:t>规模</w:t>
            </w:r>
          </w:p>
        </w:tc>
        <w:tc>
          <w:tcPr>
            <w:tcW w:w="931" w:type="dxa"/>
            <w:tcBorders>
              <w:right w:val="single" w:sz="4" w:space="0" w:color="auto"/>
            </w:tcBorders>
            <w:vAlign w:val="center"/>
          </w:tcPr>
          <w:p>
            <w:pPr>
              <w:spacing w:line="360" w:lineRule="exact"/>
              <w:ind w:left="-59" w:right="-42" w:leftChars="-28" w:rightChars="-20"/>
              <w:jc w:val="center"/>
              <w:rPr>
                <w:szCs w:val="21"/>
              </w:rPr>
            </w:pPr>
            <w:r>
              <w:rPr>
                <w:szCs w:val="21"/>
              </w:rPr>
              <w:t>敏感性描述</w:t>
            </w:r>
          </w:p>
        </w:tc>
        <w:tc>
          <w:tcPr>
            <w:tcW w:w="1791" w:type="dxa"/>
            <w:tcBorders>
              <w:right w:val="single" w:sz="4" w:space="0" w:color="auto"/>
            </w:tcBorders>
            <w:vAlign w:val="center"/>
          </w:tcPr>
          <w:p>
            <w:pPr>
              <w:spacing w:line="360" w:lineRule="exact"/>
              <w:jc w:val="center"/>
              <w:rPr>
                <w:bCs/>
                <w:szCs w:val="21"/>
              </w:rPr>
            </w:pPr>
            <w:r>
              <w:rPr>
                <w:bCs/>
                <w:szCs w:val="21"/>
              </w:rPr>
              <w:t>保护级别</w:t>
            </w:r>
          </w:p>
        </w:tc>
      </w:tr>
      <w:tr>
        <w:tblPrEx>
          <w:jc w:val="center"/>
          <w:tblInd w:w="124" w:type="dxa"/>
          <w:tblLayout w:type="fixed"/>
          <w:tblCellMar>
            <w:top w:w="0" w:type="dxa"/>
            <w:left w:w="108" w:type="dxa"/>
            <w:bottom w:w="0" w:type="dxa"/>
            <w:right w:w="108" w:type="dxa"/>
          </w:tblCellMar>
          <w:tblLook w:val="0000"/>
        </w:tblPrEx>
        <w:trPr>
          <w:trHeight w:val="219"/>
          <w:jc w:val="center"/>
        </w:trPr>
        <w:tc>
          <w:tcPr>
            <w:tcW w:w="686" w:type="dxa"/>
            <w:vAlign w:val="center"/>
          </w:tcPr>
          <w:p>
            <w:pPr>
              <w:spacing w:line="360" w:lineRule="exact"/>
              <w:jc w:val="center"/>
              <w:rPr>
                <w:szCs w:val="21"/>
              </w:rPr>
            </w:pPr>
            <w:r>
              <w:rPr>
                <w:szCs w:val="21"/>
              </w:rPr>
              <w:t>1</w:t>
            </w:r>
          </w:p>
        </w:tc>
        <w:tc>
          <w:tcPr>
            <w:tcW w:w="1509" w:type="dxa"/>
            <w:vAlign w:val="center"/>
          </w:tcPr>
          <w:p>
            <w:pPr>
              <w:spacing w:line="360" w:lineRule="exact"/>
              <w:jc w:val="center"/>
              <w:rPr>
                <w:rFonts w:hint="eastAsia"/>
                <w:szCs w:val="21"/>
              </w:rPr>
            </w:pPr>
            <w:r>
              <w:rPr>
                <w:rFonts w:hint="eastAsia"/>
                <w:szCs w:val="21"/>
              </w:rPr>
              <w:t>上谢墅村</w:t>
            </w:r>
          </w:p>
        </w:tc>
        <w:tc>
          <w:tcPr>
            <w:tcW w:w="1091" w:type="dxa"/>
            <w:vAlign w:val="center"/>
          </w:tcPr>
          <w:p>
            <w:pPr>
              <w:spacing w:line="360" w:lineRule="exact"/>
              <w:jc w:val="center"/>
              <w:rPr>
                <w:rFonts w:hint="eastAsia"/>
                <w:szCs w:val="21"/>
              </w:rPr>
            </w:pPr>
            <w:r>
              <w:rPr>
                <w:rFonts w:hint="eastAsia"/>
                <w:szCs w:val="21"/>
              </w:rPr>
              <w:t>S</w:t>
            </w:r>
          </w:p>
        </w:tc>
        <w:tc>
          <w:tcPr>
            <w:tcW w:w="1400" w:type="dxa"/>
            <w:vAlign w:val="center"/>
          </w:tcPr>
          <w:p>
            <w:pPr>
              <w:spacing w:line="360" w:lineRule="exact"/>
              <w:jc w:val="center"/>
              <w:rPr>
                <w:rFonts w:hint="eastAsia"/>
                <w:szCs w:val="21"/>
              </w:rPr>
            </w:pPr>
            <w:r>
              <w:rPr>
                <w:rFonts w:hint="eastAsia"/>
                <w:szCs w:val="21"/>
              </w:rPr>
              <w:t>150</w:t>
            </w:r>
          </w:p>
        </w:tc>
        <w:tc>
          <w:tcPr>
            <w:tcW w:w="1279" w:type="dxa"/>
            <w:tcBorders>
              <w:left w:val="single" w:sz="4" w:space="0" w:color="auto"/>
            </w:tcBorders>
            <w:vAlign w:val="center"/>
          </w:tcPr>
          <w:p>
            <w:pPr>
              <w:spacing w:line="360" w:lineRule="exact"/>
              <w:ind w:left="-65" w:right="-38" w:leftChars="-31" w:rightChars="-18"/>
              <w:jc w:val="center"/>
              <w:rPr>
                <w:rFonts w:hint="eastAsia"/>
                <w:szCs w:val="21"/>
              </w:rPr>
            </w:pPr>
            <w:r>
              <w:rPr>
                <w:rFonts w:hint="eastAsia"/>
                <w:szCs w:val="21"/>
              </w:rPr>
              <w:t>5400人</w:t>
            </w:r>
          </w:p>
        </w:tc>
        <w:tc>
          <w:tcPr>
            <w:tcW w:w="931" w:type="dxa"/>
            <w:tcBorders>
              <w:right w:val="single" w:sz="4" w:space="0" w:color="auto"/>
            </w:tcBorders>
            <w:vAlign w:val="center"/>
          </w:tcPr>
          <w:p>
            <w:pPr>
              <w:spacing w:line="360" w:lineRule="exact"/>
              <w:jc w:val="center"/>
              <w:rPr>
                <w:szCs w:val="21"/>
              </w:rPr>
            </w:pPr>
            <w:r>
              <w:rPr>
                <w:szCs w:val="21"/>
              </w:rPr>
              <w:t>一般</w:t>
            </w:r>
          </w:p>
        </w:tc>
        <w:tc>
          <w:tcPr>
            <w:tcW w:w="1791" w:type="dxa"/>
            <w:vMerge w:val="restart"/>
            <w:tcBorders>
              <w:right w:val="single" w:sz="4" w:space="0" w:color="auto"/>
            </w:tcBorders>
            <w:vAlign w:val="center"/>
          </w:tcPr>
          <w:p>
            <w:pPr>
              <w:spacing w:line="360" w:lineRule="exact"/>
              <w:jc w:val="center"/>
              <w:rPr>
                <w:bCs/>
                <w:szCs w:val="21"/>
              </w:rPr>
            </w:pPr>
            <w:r>
              <w:rPr>
                <w:bCs/>
                <w:szCs w:val="21"/>
              </w:rPr>
              <w:t>环境空气二级</w:t>
            </w:r>
          </w:p>
          <w:p>
            <w:pPr>
              <w:spacing w:line="360" w:lineRule="exact"/>
              <w:jc w:val="center"/>
              <w:rPr>
                <w:bCs/>
                <w:szCs w:val="21"/>
              </w:rPr>
            </w:pPr>
            <w:r>
              <w:rPr>
                <w:bCs/>
                <w:szCs w:val="21"/>
              </w:rPr>
              <w:t>声环境</w:t>
            </w:r>
            <w:r>
              <w:rPr>
                <w:rFonts w:hint="eastAsia"/>
                <w:bCs/>
                <w:szCs w:val="21"/>
              </w:rPr>
              <w:t>1</w:t>
            </w:r>
            <w:r>
              <w:rPr>
                <w:bCs/>
                <w:szCs w:val="21"/>
              </w:rPr>
              <w:t>类</w:t>
            </w:r>
          </w:p>
        </w:tc>
      </w:tr>
      <w:tr>
        <w:tblPrEx>
          <w:jc w:val="center"/>
          <w:tblInd w:w="124" w:type="dxa"/>
          <w:tblLayout w:type="fixed"/>
          <w:tblCellMar>
            <w:top w:w="0" w:type="dxa"/>
            <w:left w:w="108" w:type="dxa"/>
            <w:bottom w:w="0" w:type="dxa"/>
            <w:right w:w="108" w:type="dxa"/>
          </w:tblCellMar>
          <w:tblLook w:val="0000"/>
        </w:tblPrEx>
        <w:trPr>
          <w:trHeight w:val="219"/>
          <w:jc w:val="center"/>
        </w:trPr>
        <w:tc>
          <w:tcPr>
            <w:tcW w:w="686" w:type="dxa"/>
            <w:vAlign w:val="center"/>
          </w:tcPr>
          <w:p>
            <w:pPr>
              <w:spacing w:line="360" w:lineRule="exact"/>
              <w:jc w:val="center"/>
              <w:rPr>
                <w:szCs w:val="21"/>
              </w:rPr>
            </w:pPr>
            <w:r>
              <w:rPr>
                <w:rFonts w:hint="eastAsia"/>
                <w:szCs w:val="21"/>
              </w:rPr>
              <w:t>2</w:t>
            </w:r>
          </w:p>
        </w:tc>
        <w:tc>
          <w:tcPr>
            <w:tcW w:w="1509" w:type="dxa"/>
            <w:vAlign w:val="center"/>
          </w:tcPr>
          <w:p>
            <w:pPr>
              <w:spacing w:line="360" w:lineRule="exact"/>
              <w:jc w:val="center"/>
              <w:rPr>
                <w:rFonts w:hint="eastAsia"/>
                <w:szCs w:val="21"/>
              </w:rPr>
            </w:pPr>
            <w:r>
              <w:rPr>
                <w:rFonts w:hint="eastAsia"/>
                <w:szCs w:val="21"/>
              </w:rPr>
              <w:t>南池村</w:t>
            </w:r>
          </w:p>
        </w:tc>
        <w:tc>
          <w:tcPr>
            <w:tcW w:w="1091" w:type="dxa"/>
            <w:vAlign w:val="center"/>
          </w:tcPr>
          <w:p>
            <w:pPr>
              <w:spacing w:line="360" w:lineRule="exact"/>
              <w:jc w:val="center"/>
              <w:rPr>
                <w:rFonts w:hint="eastAsia"/>
                <w:szCs w:val="21"/>
              </w:rPr>
            </w:pPr>
            <w:r>
              <w:rPr>
                <w:rFonts w:hint="eastAsia"/>
                <w:szCs w:val="21"/>
              </w:rPr>
              <w:t>W</w:t>
            </w:r>
          </w:p>
        </w:tc>
        <w:tc>
          <w:tcPr>
            <w:tcW w:w="1400" w:type="dxa"/>
            <w:vAlign w:val="center"/>
          </w:tcPr>
          <w:p>
            <w:pPr>
              <w:spacing w:line="360" w:lineRule="exact"/>
              <w:jc w:val="center"/>
              <w:rPr>
                <w:rFonts w:hint="eastAsia"/>
                <w:szCs w:val="21"/>
              </w:rPr>
            </w:pPr>
            <w:r>
              <w:rPr>
                <w:rFonts w:hint="eastAsia"/>
                <w:szCs w:val="21"/>
              </w:rPr>
              <w:t>250</w:t>
            </w:r>
          </w:p>
        </w:tc>
        <w:tc>
          <w:tcPr>
            <w:tcW w:w="1279" w:type="dxa"/>
            <w:tcBorders>
              <w:left w:val="single" w:sz="4" w:space="0" w:color="auto"/>
            </w:tcBorders>
            <w:vAlign w:val="center"/>
          </w:tcPr>
          <w:p>
            <w:pPr>
              <w:spacing w:line="360" w:lineRule="exact"/>
              <w:ind w:left="-65" w:right="-38" w:leftChars="-31" w:rightChars="-18"/>
              <w:jc w:val="center"/>
              <w:rPr>
                <w:rFonts w:hint="eastAsia"/>
                <w:spacing w:val="-20"/>
                <w:szCs w:val="21"/>
              </w:rPr>
            </w:pPr>
            <w:r>
              <w:rPr>
                <w:rFonts w:hint="eastAsia"/>
                <w:szCs w:val="21"/>
              </w:rPr>
              <w:t>2995人</w:t>
            </w:r>
          </w:p>
        </w:tc>
        <w:tc>
          <w:tcPr>
            <w:tcW w:w="931" w:type="dxa"/>
            <w:tcBorders>
              <w:right w:val="single" w:sz="4" w:space="0" w:color="auto"/>
            </w:tcBorders>
            <w:vAlign w:val="center"/>
          </w:tcPr>
          <w:p>
            <w:pPr>
              <w:spacing w:line="360" w:lineRule="exact"/>
              <w:jc w:val="center"/>
              <w:rPr>
                <w:szCs w:val="21"/>
              </w:rPr>
            </w:pPr>
            <w:r>
              <w:rPr>
                <w:szCs w:val="21"/>
              </w:rPr>
              <w:t>一般</w:t>
            </w:r>
          </w:p>
        </w:tc>
        <w:tc>
          <w:tcPr>
            <w:tcW w:w="1791" w:type="dxa"/>
            <w:vMerge/>
            <w:tcBorders>
              <w:right w:val="single" w:sz="4" w:space="0" w:color="auto"/>
            </w:tcBorders>
            <w:vAlign w:val="center"/>
          </w:tcPr>
          <w:p>
            <w:pPr>
              <w:spacing w:line="360" w:lineRule="exact"/>
              <w:jc w:val="center"/>
              <w:rPr>
                <w:bCs/>
                <w:szCs w:val="21"/>
              </w:rPr>
            </w:pPr>
          </w:p>
        </w:tc>
      </w:tr>
      <w:tr>
        <w:tblPrEx>
          <w:jc w:val="center"/>
          <w:tblInd w:w="124" w:type="dxa"/>
          <w:tblLayout w:type="fixed"/>
          <w:tblCellMar>
            <w:top w:w="0" w:type="dxa"/>
            <w:left w:w="108" w:type="dxa"/>
            <w:bottom w:w="0" w:type="dxa"/>
            <w:right w:w="108" w:type="dxa"/>
          </w:tblCellMar>
          <w:tblLook w:val="0000"/>
        </w:tblPrEx>
        <w:trPr>
          <w:trHeight w:val="362"/>
          <w:jc w:val="center"/>
        </w:trPr>
        <w:tc>
          <w:tcPr>
            <w:tcW w:w="686" w:type="dxa"/>
            <w:tcBorders>
              <w:bottom w:val="single" w:sz="4" w:space="0" w:color="auto"/>
            </w:tcBorders>
            <w:vAlign w:val="center"/>
          </w:tcPr>
          <w:p>
            <w:pPr>
              <w:spacing w:line="360" w:lineRule="exact"/>
              <w:jc w:val="center"/>
              <w:rPr>
                <w:rFonts w:hint="eastAsia"/>
                <w:szCs w:val="21"/>
              </w:rPr>
            </w:pPr>
            <w:r>
              <w:rPr>
                <w:rFonts w:hint="eastAsia"/>
                <w:szCs w:val="21"/>
              </w:rPr>
              <w:t>3</w:t>
            </w:r>
          </w:p>
        </w:tc>
        <w:tc>
          <w:tcPr>
            <w:tcW w:w="1509" w:type="dxa"/>
            <w:tcBorders>
              <w:bottom w:val="single" w:sz="4" w:space="0" w:color="auto"/>
            </w:tcBorders>
            <w:vAlign w:val="center"/>
          </w:tcPr>
          <w:p>
            <w:pPr>
              <w:spacing w:line="360" w:lineRule="exact"/>
              <w:jc w:val="center"/>
              <w:rPr>
                <w:rFonts w:hint="eastAsia"/>
                <w:szCs w:val="21"/>
              </w:rPr>
            </w:pPr>
            <w:r>
              <w:rPr>
                <w:rFonts w:hint="eastAsia"/>
                <w:szCs w:val="21"/>
              </w:rPr>
              <w:t>新河江</w:t>
            </w:r>
          </w:p>
        </w:tc>
        <w:tc>
          <w:tcPr>
            <w:tcW w:w="1091" w:type="dxa"/>
            <w:tcBorders>
              <w:bottom w:val="single" w:sz="4" w:space="0" w:color="auto"/>
            </w:tcBorders>
            <w:vAlign w:val="center"/>
          </w:tcPr>
          <w:p>
            <w:pPr>
              <w:spacing w:line="360" w:lineRule="exact"/>
              <w:jc w:val="center"/>
              <w:rPr>
                <w:rFonts w:hint="eastAsia"/>
                <w:szCs w:val="21"/>
              </w:rPr>
            </w:pPr>
            <w:r>
              <w:rPr>
                <w:rFonts w:hint="eastAsia"/>
                <w:szCs w:val="21"/>
              </w:rPr>
              <w:t>E</w:t>
            </w:r>
          </w:p>
        </w:tc>
        <w:tc>
          <w:tcPr>
            <w:tcW w:w="1400" w:type="dxa"/>
            <w:tcBorders>
              <w:bottom w:val="single" w:sz="4" w:space="0" w:color="auto"/>
            </w:tcBorders>
            <w:vAlign w:val="center"/>
          </w:tcPr>
          <w:p>
            <w:pPr>
              <w:spacing w:line="360" w:lineRule="exact"/>
              <w:jc w:val="center"/>
              <w:rPr>
                <w:rFonts w:hint="eastAsia"/>
                <w:szCs w:val="21"/>
              </w:rPr>
            </w:pPr>
            <w:r>
              <w:rPr>
                <w:rFonts w:hint="eastAsia"/>
                <w:szCs w:val="21"/>
              </w:rPr>
              <w:t>相邻</w:t>
            </w:r>
          </w:p>
        </w:tc>
        <w:tc>
          <w:tcPr>
            <w:tcW w:w="1279" w:type="dxa"/>
            <w:tcBorders>
              <w:top w:val="single" w:sz="4" w:space="0" w:color="auto"/>
              <w:left w:val="single" w:sz="4" w:space="0" w:color="auto"/>
              <w:bottom w:val="single" w:sz="4" w:space="0" w:color="auto"/>
            </w:tcBorders>
            <w:vAlign w:val="center"/>
          </w:tcPr>
          <w:p>
            <w:pPr>
              <w:spacing w:line="360" w:lineRule="exact"/>
              <w:jc w:val="center"/>
              <w:rPr>
                <w:szCs w:val="21"/>
              </w:rPr>
            </w:pPr>
            <w:r>
              <w:rPr>
                <w:szCs w:val="21"/>
              </w:rPr>
              <w:t>/</w:t>
            </w:r>
          </w:p>
        </w:tc>
        <w:tc>
          <w:tcPr>
            <w:tcW w:w="931" w:type="dxa"/>
            <w:tcBorders>
              <w:top w:val="single" w:sz="4" w:space="0" w:color="auto"/>
              <w:bottom w:val="single" w:sz="4" w:space="0" w:color="auto"/>
              <w:right w:val="single" w:sz="4" w:space="0" w:color="auto"/>
            </w:tcBorders>
            <w:vAlign w:val="center"/>
          </w:tcPr>
          <w:p>
            <w:pPr>
              <w:spacing w:line="360" w:lineRule="exact"/>
              <w:jc w:val="center"/>
              <w:rPr>
                <w:szCs w:val="21"/>
              </w:rPr>
            </w:pPr>
            <w:r>
              <w:rPr>
                <w:szCs w:val="21"/>
              </w:rPr>
              <w:t>一般</w:t>
            </w:r>
          </w:p>
        </w:tc>
        <w:tc>
          <w:tcPr>
            <w:tcW w:w="1791" w:type="dxa"/>
            <w:tcBorders>
              <w:top w:val="single" w:sz="4" w:space="0" w:color="auto"/>
              <w:right w:val="single" w:sz="4" w:space="0" w:color="auto"/>
            </w:tcBorders>
            <w:vAlign w:val="center"/>
          </w:tcPr>
          <w:p>
            <w:pPr>
              <w:spacing w:line="360" w:lineRule="exact"/>
              <w:jc w:val="center"/>
              <w:rPr>
                <w:bCs/>
                <w:szCs w:val="21"/>
              </w:rPr>
            </w:pPr>
            <w:r>
              <w:rPr>
                <w:bCs/>
                <w:szCs w:val="21"/>
              </w:rPr>
              <w:t>水环境Ⅲ类</w:t>
            </w:r>
          </w:p>
        </w:tc>
      </w:tr>
    </w:tbl>
    <w:p>
      <w:pPr>
        <w:pStyle w:val="Heading1"/>
        <w:jc w:val="center"/>
        <w:rPr>
          <w:rFonts w:hint="eastAsia"/>
        </w:rPr>
      </w:pPr>
    </w:p>
    <w:p>
      <w:pPr>
        <w:pStyle w:val="Heading1"/>
        <w:jc w:val="center"/>
        <w:sectPr>
          <w:headerReference w:type="default" r:id="rId6"/>
          <w:footerReference w:type="default" r:id="rId7"/>
          <w:pgSz w:w="11906" w:h="16838"/>
          <w:pgMar w:top="1440" w:right="1630" w:bottom="1440" w:left="1644" w:header="851" w:footer="992" w:gutter="0"/>
          <w:pgNumType w:start="2"/>
          <w:cols w:space="708"/>
          <w:docGrid w:type="lines" w:linePitch="312"/>
        </w:sectPr>
      </w:pPr>
    </w:p>
    <w:p>
      <w:pPr>
        <w:pStyle w:val="Heading1"/>
        <w:jc w:val="center"/>
        <w:rPr>
          <w:rFonts w:hint="eastAsia"/>
        </w:rPr>
      </w:pPr>
      <w:bookmarkStart w:id="13" w:name="_Toc320874313"/>
      <w:r>
        <w:rPr>
          <w:rFonts w:hint="eastAsia"/>
        </w:rPr>
        <w:t>第三章  建设项目工程分析</w:t>
      </w:r>
      <w:bookmarkEnd w:id="13"/>
    </w:p>
    <w:p>
      <w:pPr>
        <w:pStyle w:val="Heading2"/>
        <w:tabs>
          <w:tab w:val="left" w:pos="536"/>
        </w:tabs>
        <w:spacing w:line="460" w:lineRule="exact"/>
        <w:rPr>
          <w:rFonts w:ascii="Times New Roman" w:hint="eastAsia"/>
        </w:rPr>
      </w:pPr>
      <w:bookmarkStart w:id="14" w:name="_Toc316047529"/>
      <w:bookmarkStart w:id="15" w:name="_Toc320874314"/>
      <w:r>
        <w:rPr>
          <w:rFonts w:ascii="Times New Roman" w:hint="eastAsia"/>
        </w:rPr>
        <w:t>3</w:t>
      </w:r>
      <w:r>
        <w:rPr>
          <w:rFonts w:ascii="Times New Roman"/>
        </w:rPr>
        <w:t>.1</w:t>
      </w:r>
      <w:r>
        <w:rPr>
          <w:rFonts w:ascii="Times New Roman" w:hint="eastAsia"/>
        </w:rPr>
        <w:t>建设项目概况</w:t>
      </w:r>
      <w:bookmarkEnd w:id="14"/>
      <w:bookmarkEnd w:id="15"/>
    </w:p>
    <w:p>
      <w:pPr>
        <w:spacing w:line="460" w:lineRule="exact"/>
        <w:ind w:firstLine="480" w:firstLineChars="200"/>
        <w:rPr>
          <w:rFonts w:hint="eastAsia"/>
          <w:sz w:val="24"/>
        </w:rPr>
      </w:pPr>
      <w:bookmarkStart w:id="16" w:name="_Toc316047530"/>
      <w:r>
        <w:rPr>
          <w:rFonts w:ascii="宋体" w:hAnsi="宋体" w:hint="eastAsia"/>
          <w:sz w:val="24"/>
        </w:rPr>
        <w:t>⑴</w:t>
      </w:r>
      <w:r>
        <w:rPr>
          <w:rFonts w:hint="eastAsia"/>
          <w:sz w:val="24"/>
        </w:rPr>
        <w:t>项目名称及建设性质</w:t>
      </w:r>
    </w:p>
    <w:p>
      <w:pPr>
        <w:spacing w:line="480" w:lineRule="exact"/>
        <w:ind w:firstLine="480" w:firstLineChars="200"/>
        <w:rPr>
          <w:rFonts w:hint="eastAsia"/>
          <w:sz w:val="24"/>
        </w:rPr>
      </w:pPr>
      <w:r>
        <w:rPr>
          <w:rFonts w:hint="eastAsia"/>
          <w:sz w:val="24"/>
        </w:rPr>
        <w:t>项目名称：绍兴汽车南站建设项目</w:t>
      </w:r>
    </w:p>
    <w:p>
      <w:pPr>
        <w:spacing w:line="480" w:lineRule="exact"/>
        <w:ind w:firstLine="480" w:firstLineChars="200"/>
        <w:rPr>
          <w:rFonts w:hint="eastAsia"/>
          <w:sz w:val="24"/>
        </w:rPr>
      </w:pPr>
      <w:r>
        <w:rPr>
          <w:rFonts w:hint="eastAsia"/>
          <w:sz w:val="24"/>
        </w:rPr>
        <w:t>性质：新建</w:t>
      </w:r>
    </w:p>
    <w:p>
      <w:pPr>
        <w:spacing w:line="480" w:lineRule="exact"/>
        <w:ind w:firstLine="480" w:firstLineChars="200"/>
        <w:rPr>
          <w:rFonts w:ascii="宋体" w:hAnsi="宋体" w:hint="eastAsia"/>
          <w:sz w:val="24"/>
        </w:rPr>
      </w:pPr>
      <w:r>
        <w:rPr>
          <w:rFonts w:ascii="宋体" w:hAnsi="宋体" w:hint="eastAsia"/>
          <w:sz w:val="24"/>
        </w:rPr>
        <w:t>⑵</w:t>
      </w:r>
      <w:r>
        <w:rPr>
          <w:rFonts w:ascii="宋体" w:hAnsi="宋体" w:hint="eastAsia"/>
          <w:sz w:val="24"/>
        </w:rPr>
        <w:t>项目建设地点</w:t>
      </w:r>
    </w:p>
    <w:p>
      <w:pPr>
        <w:spacing w:line="480" w:lineRule="exact"/>
        <w:ind w:firstLine="480" w:firstLineChars="200"/>
        <w:rPr>
          <w:rFonts w:ascii="宋体" w:hAnsi="宋体" w:hint="eastAsia"/>
          <w:sz w:val="24"/>
        </w:rPr>
      </w:pPr>
      <w:r>
        <w:rPr>
          <w:rFonts w:ascii="宋体" w:hAnsi="宋体" w:hint="eastAsia"/>
          <w:sz w:val="24"/>
        </w:rPr>
        <w:t>绍兴市鉴湖镇中兴路以东、印山路以南。</w:t>
      </w:r>
    </w:p>
    <w:p>
      <w:pPr>
        <w:spacing w:line="480" w:lineRule="exact"/>
        <w:ind w:firstLine="480" w:firstLineChars="200"/>
        <w:rPr>
          <w:rFonts w:hint="eastAsia"/>
          <w:sz w:val="24"/>
        </w:rPr>
      </w:pPr>
      <w:r>
        <w:rPr>
          <w:rFonts w:ascii="宋体" w:hAnsi="宋体" w:hint="eastAsia"/>
          <w:sz w:val="24"/>
        </w:rPr>
        <w:t>⑶</w:t>
      </w:r>
      <w:r>
        <w:rPr>
          <w:rFonts w:hint="eastAsia"/>
          <w:sz w:val="24"/>
        </w:rPr>
        <w:t>项目总投资及建设内容</w:t>
      </w:r>
    </w:p>
    <w:p>
      <w:pPr>
        <w:spacing w:line="460" w:lineRule="exact"/>
        <w:ind w:firstLine="480" w:firstLineChars="200"/>
        <w:rPr>
          <w:rFonts w:hint="eastAsia"/>
          <w:sz w:val="24"/>
        </w:rPr>
      </w:pPr>
      <w:r>
        <w:rPr>
          <w:rFonts w:hint="eastAsia"/>
          <w:sz w:val="24"/>
        </w:rPr>
        <w:t>项目总投资13800万元，总用地面积41863平方米，总建筑面积20000平方米，其中地下室建筑面积3000平方米，建设规模按交通部一级汽车客运站标准规划建设，建设内容包括客运站房、综合服务用房、车辆维修检测与加油(气)站等附属用房以及场外工程等。总停车位161个，发车位16个，日始发班车500班次，设计日发送旅客10000人次。</w:t>
      </w:r>
    </w:p>
    <w:p>
      <w:pPr>
        <w:spacing w:line="500" w:lineRule="exact"/>
        <w:ind w:firstLine="480" w:firstLineChars="200"/>
        <w:rPr>
          <w:sz w:val="24"/>
        </w:rPr>
      </w:pPr>
      <w:r>
        <w:rPr>
          <w:rFonts w:ascii="宋体" w:hAnsi="宋体" w:hint="eastAsia"/>
          <w:sz w:val="24"/>
        </w:rPr>
        <w:t>⑷</w:t>
      </w:r>
      <w:r>
        <w:rPr>
          <w:rFonts w:hint="eastAsia"/>
          <w:sz w:val="24"/>
        </w:rPr>
        <w:t>主要经济技术指标</w:t>
      </w:r>
    </w:p>
    <w:p>
      <w:pPr>
        <w:spacing w:line="520" w:lineRule="exact"/>
        <w:jc w:val="center"/>
        <w:rPr>
          <w:rFonts w:hint="eastAsia"/>
          <w:sz w:val="24"/>
        </w:rPr>
      </w:pPr>
      <w:r>
        <w:rPr>
          <w:sz w:val="24"/>
        </w:rPr>
        <w:t>表</w:t>
      </w:r>
      <w:r>
        <w:rPr>
          <w:rFonts w:hint="eastAsia"/>
          <w:sz w:val="24"/>
        </w:rPr>
        <w:t>3</w:t>
      </w:r>
      <w:r>
        <w:rPr>
          <w:sz w:val="24"/>
        </w:rPr>
        <w:t>-1</w:t>
      </w:r>
      <w:r>
        <w:rPr>
          <w:rFonts w:hint="eastAsia"/>
          <w:sz w:val="24"/>
        </w:rPr>
        <w:t xml:space="preserve">   主要经济技术指标</w:t>
      </w:r>
    </w:p>
    <w:tbl>
      <w:tblPr>
        <w:tblStyle w:val="TableNormal"/>
        <w:jc w:val="center"/>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66"/>
        <w:gridCol w:w="38"/>
        <w:gridCol w:w="2817"/>
        <w:gridCol w:w="2046"/>
        <w:gridCol w:w="2050"/>
      </w:tblGrid>
      <w:tr>
        <w:tblPrEx>
          <w:jc w:val="center"/>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sz w:val="21"/>
                <w:szCs w:val="21"/>
              </w:rPr>
            </w:pPr>
            <w:r>
              <w:rPr>
                <w:sz w:val="21"/>
                <w:szCs w:val="21"/>
              </w:rPr>
              <w:t>项  目</w:t>
            </w:r>
          </w:p>
        </w:tc>
        <w:tc>
          <w:tcPr>
            <w:tcW w:w="2046" w:type="dxa"/>
          </w:tcPr>
          <w:p>
            <w:pPr>
              <w:pStyle w:val="BodyTextIndent"/>
              <w:spacing w:line="400" w:lineRule="exact"/>
              <w:ind w:firstLine="0" w:firstLineChars="0"/>
              <w:jc w:val="center"/>
              <w:rPr>
                <w:sz w:val="21"/>
                <w:szCs w:val="21"/>
              </w:rPr>
            </w:pPr>
            <w:r>
              <w:rPr>
                <w:sz w:val="21"/>
                <w:szCs w:val="21"/>
              </w:rPr>
              <w:t>单  位</w:t>
            </w:r>
          </w:p>
        </w:tc>
        <w:tc>
          <w:tcPr>
            <w:tcW w:w="2050" w:type="dxa"/>
          </w:tcPr>
          <w:p>
            <w:pPr>
              <w:pStyle w:val="BodyTextIndent"/>
              <w:spacing w:line="400" w:lineRule="exact"/>
              <w:ind w:firstLine="0" w:firstLineChars="0"/>
              <w:jc w:val="center"/>
              <w:rPr>
                <w:sz w:val="21"/>
                <w:szCs w:val="21"/>
              </w:rPr>
            </w:pPr>
            <w:r>
              <w:rPr>
                <w:sz w:val="21"/>
                <w:szCs w:val="21"/>
              </w:rPr>
              <w:t>数  量</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sz w:val="21"/>
                <w:szCs w:val="21"/>
              </w:rPr>
            </w:pPr>
            <w:r>
              <w:rPr>
                <w:sz w:val="21"/>
                <w:szCs w:val="21"/>
              </w:rPr>
              <w:t>总用地面积</w:t>
            </w:r>
          </w:p>
        </w:tc>
        <w:tc>
          <w:tcPr>
            <w:tcW w:w="2046" w:type="dxa"/>
          </w:tcPr>
          <w:p>
            <w:pPr>
              <w:pStyle w:val="BodyTextIndent"/>
              <w:spacing w:line="400" w:lineRule="exact"/>
              <w:ind w:firstLine="0" w:firstLineChars="0"/>
              <w:jc w:val="center"/>
              <w:rPr>
                <w:sz w:val="21"/>
                <w:szCs w:val="21"/>
              </w:rPr>
            </w:pPr>
            <w:r>
              <w:rPr>
                <w:sz w:val="21"/>
                <w:szCs w:val="21"/>
              </w:rPr>
              <w:t>m</w:t>
            </w:r>
            <w:r>
              <w:rPr>
                <w:sz w:val="21"/>
                <w:szCs w:val="21"/>
                <w:vertAlign w:val="superscript"/>
              </w:rPr>
              <w:t>2</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41863</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sz w:val="21"/>
                <w:szCs w:val="21"/>
              </w:rPr>
            </w:pPr>
            <w:r>
              <w:rPr>
                <w:sz w:val="21"/>
                <w:szCs w:val="21"/>
              </w:rPr>
              <w:t>总建筑面积</w:t>
            </w:r>
          </w:p>
        </w:tc>
        <w:tc>
          <w:tcPr>
            <w:tcW w:w="2046" w:type="dxa"/>
          </w:tcPr>
          <w:p>
            <w:pPr>
              <w:pStyle w:val="BodyTextIndent"/>
              <w:spacing w:line="400" w:lineRule="exact"/>
              <w:ind w:firstLine="0" w:firstLineChars="0"/>
              <w:jc w:val="center"/>
              <w:rPr>
                <w:sz w:val="21"/>
                <w:szCs w:val="21"/>
              </w:rPr>
            </w:pPr>
            <w:r>
              <w:rPr>
                <w:sz w:val="21"/>
                <w:szCs w:val="21"/>
              </w:rPr>
              <w:t>m</w:t>
            </w:r>
            <w:r>
              <w:rPr>
                <w:sz w:val="21"/>
                <w:szCs w:val="21"/>
                <w:vertAlign w:val="superscript"/>
              </w:rPr>
              <w:t>2</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20000</w:t>
            </w:r>
          </w:p>
        </w:tc>
      </w:tr>
      <w:tr>
        <w:tblPrEx>
          <w:jc w:val="center"/>
          <w:tblInd w:w="411" w:type="dxa"/>
          <w:tblLayout w:type="fixed"/>
          <w:tblCellMar>
            <w:top w:w="0" w:type="dxa"/>
            <w:left w:w="108" w:type="dxa"/>
            <w:bottom w:w="0" w:type="dxa"/>
            <w:right w:w="108" w:type="dxa"/>
          </w:tblCellMar>
          <w:tblLook w:val="0000"/>
        </w:tblPrEx>
        <w:trPr>
          <w:cantSplit/>
          <w:trHeight w:hRule="exact" w:val="369"/>
          <w:jc w:val="center"/>
        </w:trPr>
        <w:tc>
          <w:tcPr>
            <w:tcW w:w="1204" w:type="dxa"/>
            <w:gridSpan w:val="2"/>
            <w:vMerge w:val="restart"/>
            <w:vAlign w:val="center"/>
          </w:tcPr>
          <w:p>
            <w:pPr>
              <w:pStyle w:val="BodyTextIndent"/>
              <w:spacing w:line="400" w:lineRule="exact"/>
              <w:ind w:firstLine="0" w:firstLineChars="0"/>
              <w:jc w:val="center"/>
              <w:rPr>
                <w:sz w:val="21"/>
                <w:szCs w:val="21"/>
              </w:rPr>
            </w:pPr>
            <w:r>
              <w:rPr>
                <w:sz w:val="21"/>
                <w:szCs w:val="21"/>
              </w:rPr>
              <w:t>其中</w:t>
            </w:r>
          </w:p>
        </w:tc>
        <w:tc>
          <w:tcPr>
            <w:tcW w:w="2817" w:type="dxa"/>
          </w:tcPr>
          <w:p>
            <w:pPr>
              <w:pStyle w:val="BodyTextIndent"/>
              <w:spacing w:line="400" w:lineRule="exact"/>
              <w:ind w:firstLine="0" w:firstLineChars="0"/>
              <w:jc w:val="center"/>
              <w:rPr>
                <w:rFonts w:hint="eastAsia"/>
                <w:sz w:val="21"/>
                <w:szCs w:val="21"/>
              </w:rPr>
            </w:pPr>
            <w:r>
              <w:rPr>
                <w:rFonts w:hint="eastAsia"/>
                <w:sz w:val="21"/>
                <w:szCs w:val="21"/>
              </w:rPr>
              <w:t>地上</w:t>
            </w:r>
          </w:p>
        </w:tc>
        <w:tc>
          <w:tcPr>
            <w:tcW w:w="2046" w:type="dxa"/>
          </w:tcPr>
          <w:p>
            <w:pPr>
              <w:pStyle w:val="BodyTextIndent"/>
              <w:spacing w:line="400" w:lineRule="exact"/>
              <w:ind w:firstLine="0" w:firstLineChars="0"/>
              <w:jc w:val="center"/>
              <w:rPr>
                <w:sz w:val="21"/>
                <w:szCs w:val="21"/>
              </w:rPr>
            </w:pPr>
            <w:r>
              <w:rPr>
                <w:sz w:val="21"/>
                <w:szCs w:val="21"/>
              </w:rPr>
              <w:t>m</w:t>
            </w:r>
            <w:r>
              <w:rPr>
                <w:sz w:val="21"/>
                <w:szCs w:val="21"/>
                <w:vertAlign w:val="superscript"/>
              </w:rPr>
              <w:t>2</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17000</w:t>
            </w:r>
          </w:p>
        </w:tc>
      </w:tr>
      <w:tr>
        <w:tblPrEx>
          <w:jc w:val="center"/>
          <w:tblInd w:w="411" w:type="dxa"/>
          <w:tblLayout w:type="fixed"/>
          <w:tblCellMar>
            <w:top w:w="0" w:type="dxa"/>
            <w:left w:w="108" w:type="dxa"/>
            <w:bottom w:w="0" w:type="dxa"/>
            <w:right w:w="108" w:type="dxa"/>
          </w:tblCellMar>
          <w:tblLook w:val="0000"/>
        </w:tblPrEx>
        <w:trPr>
          <w:cantSplit/>
          <w:trHeight w:hRule="exact" w:val="369"/>
          <w:jc w:val="center"/>
        </w:trPr>
        <w:tc>
          <w:tcPr>
            <w:tcW w:w="1204" w:type="dxa"/>
            <w:gridSpan w:val="2"/>
            <w:vMerge/>
          </w:tcPr>
          <w:p>
            <w:pPr>
              <w:pStyle w:val="BodyTextIndent"/>
              <w:spacing w:line="400" w:lineRule="exact"/>
              <w:ind w:firstLine="0" w:firstLineChars="0"/>
              <w:jc w:val="center"/>
              <w:rPr>
                <w:sz w:val="21"/>
                <w:szCs w:val="21"/>
              </w:rPr>
            </w:pPr>
          </w:p>
        </w:tc>
        <w:tc>
          <w:tcPr>
            <w:tcW w:w="2817" w:type="dxa"/>
          </w:tcPr>
          <w:p>
            <w:pPr>
              <w:pStyle w:val="BodyTextIndent"/>
              <w:spacing w:line="400" w:lineRule="exact"/>
              <w:ind w:firstLine="0" w:firstLineChars="0"/>
              <w:jc w:val="center"/>
              <w:rPr>
                <w:rFonts w:hint="eastAsia"/>
                <w:sz w:val="21"/>
                <w:szCs w:val="21"/>
              </w:rPr>
            </w:pPr>
            <w:r>
              <w:rPr>
                <w:rFonts w:hint="eastAsia"/>
                <w:sz w:val="21"/>
                <w:szCs w:val="21"/>
              </w:rPr>
              <w:t>地下</w:t>
            </w:r>
          </w:p>
        </w:tc>
        <w:tc>
          <w:tcPr>
            <w:tcW w:w="2046" w:type="dxa"/>
          </w:tcPr>
          <w:p>
            <w:pPr>
              <w:pStyle w:val="BodyTextIndent"/>
              <w:spacing w:line="400" w:lineRule="exact"/>
              <w:ind w:firstLine="0" w:firstLineChars="0"/>
              <w:jc w:val="center"/>
              <w:rPr>
                <w:sz w:val="21"/>
                <w:szCs w:val="21"/>
              </w:rPr>
            </w:pPr>
            <w:r>
              <w:rPr>
                <w:sz w:val="21"/>
                <w:szCs w:val="21"/>
              </w:rPr>
              <w:t>m</w:t>
            </w:r>
            <w:r>
              <w:rPr>
                <w:sz w:val="21"/>
                <w:szCs w:val="21"/>
                <w:vertAlign w:val="superscript"/>
              </w:rPr>
              <w:t>2</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3000</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sz w:val="21"/>
                <w:szCs w:val="21"/>
              </w:rPr>
            </w:pPr>
            <w:r>
              <w:rPr>
                <w:sz w:val="21"/>
                <w:szCs w:val="21"/>
              </w:rPr>
              <w:t>建筑占地面积</w:t>
            </w:r>
          </w:p>
        </w:tc>
        <w:tc>
          <w:tcPr>
            <w:tcW w:w="2046" w:type="dxa"/>
          </w:tcPr>
          <w:p>
            <w:pPr>
              <w:pStyle w:val="BodyTextIndent"/>
              <w:spacing w:line="400" w:lineRule="exact"/>
              <w:ind w:firstLine="0" w:firstLineChars="0"/>
              <w:jc w:val="center"/>
              <w:rPr>
                <w:sz w:val="21"/>
                <w:szCs w:val="21"/>
              </w:rPr>
            </w:pPr>
            <w:r>
              <w:rPr>
                <w:sz w:val="21"/>
                <w:szCs w:val="21"/>
              </w:rPr>
              <w:t>m</w:t>
            </w:r>
            <w:r>
              <w:rPr>
                <w:sz w:val="21"/>
                <w:szCs w:val="21"/>
                <w:vertAlign w:val="superscript"/>
              </w:rPr>
              <w:t>2</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8309</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sz w:val="21"/>
                <w:szCs w:val="21"/>
              </w:rPr>
            </w:pPr>
            <w:r>
              <w:rPr>
                <w:sz w:val="21"/>
                <w:szCs w:val="21"/>
              </w:rPr>
              <w:t>容积率</w:t>
            </w:r>
          </w:p>
        </w:tc>
        <w:tc>
          <w:tcPr>
            <w:tcW w:w="2046" w:type="dxa"/>
          </w:tcPr>
          <w:p>
            <w:pPr>
              <w:pStyle w:val="BodyTextIndent"/>
              <w:spacing w:line="400" w:lineRule="exact"/>
              <w:ind w:firstLine="0" w:firstLineChars="0"/>
              <w:jc w:val="center"/>
              <w:rPr>
                <w:sz w:val="21"/>
                <w:szCs w:val="21"/>
              </w:rPr>
            </w:pPr>
            <w:r>
              <w:rPr>
                <w:sz w:val="21"/>
                <w:szCs w:val="21"/>
              </w:rPr>
              <w:t>/</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0.4</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sz w:val="21"/>
                <w:szCs w:val="21"/>
              </w:rPr>
            </w:pPr>
            <w:r>
              <w:rPr>
                <w:rFonts w:hAnsi="宋体"/>
                <w:sz w:val="21"/>
                <w:szCs w:val="21"/>
              </w:rPr>
              <w:t>建筑密</w:t>
            </w:r>
            <w:r>
              <w:rPr>
                <w:sz w:val="21"/>
                <w:szCs w:val="21"/>
              </w:rPr>
              <w:t>度</w:t>
            </w:r>
          </w:p>
        </w:tc>
        <w:tc>
          <w:tcPr>
            <w:tcW w:w="2046" w:type="dxa"/>
          </w:tcPr>
          <w:p>
            <w:pPr>
              <w:pStyle w:val="BodyTextIndent"/>
              <w:spacing w:line="400" w:lineRule="exact"/>
              <w:ind w:firstLine="0" w:firstLineChars="0"/>
              <w:jc w:val="center"/>
              <w:rPr>
                <w:sz w:val="21"/>
                <w:szCs w:val="21"/>
              </w:rPr>
            </w:pPr>
            <w:r>
              <w:rPr>
                <w:sz w:val="21"/>
                <w:szCs w:val="21"/>
              </w:rPr>
              <w:t>%</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19.8</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sz w:val="21"/>
                <w:szCs w:val="21"/>
              </w:rPr>
            </w:pPr>
            <w:r>
              <w:rPr>
                <w:rFonts w:hint="eastAsia"/>
                <w:sz w:val="21"/>
                <w:szCs w:val="21"/>
              </w:rPr>
              <w:t>地上</w:t>
            </w:r>
            <w:r>
              <w:rPr>
                <w:sz w:val="21"/>
                <w:szCs w:val="21"/>
              </w:rPr>
              <w:t>停车位</w:t>
            </w:r>
          </w:p>
        </w:tc>
        <w:tc>
          <w:tcPr>
            <w:tcW w:w="2046" w:type="dxa"/>
          </w:tcPr>
          <w:p>
            <w:pPr>
              <w:pStyle w:val="BodyTextIndent"/>
              <w:spacing w:line="400" w:lineRule="exact"/>
              <w:ind w:firstLine="0" w:firstLineChars="0"/>
              <w:jc w:val="center"/>
              <w:rPr>
                <w:rFonts w:hint="eastAsia"/>
                <w:sz w:val="21"/>
                <w:szCs w:val="21"/>
              </w:rPr>
            </w:pPr>
            <w:r>
              <w:rPr>
                <w:rFonts w:hint="eastAsia"/>
                <w:sz w:val="21"/>
                <w:szCs w:val="21"/>
              </w:rPr>
              <w:t>个</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106</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1166" w:type="dxa"/>
            <w:vMerge w:val="restart"/>
            <w:vAlign w:val="center"/>
          </w:tcPr>
          <w:p>
            <w:pPr>
              <w:pStyle w:val="BodyTextIndent"/>
              <w:spacing w:line="400" w:lineRule="exact"/>
              <w:ind w:firstLine="0" w:firstLineChars="0"/>
              <w:jc w:val="center"/>
              <w:rPr>
                <w:rFonts w:hint="eastAsia"/>
                <w:sz w:val="21"/>
                <w:szCs w:val="21"/>
              </w:rPr>
            </w:pPr>
            <w:r>
              <w:rPr>
                <w:rFonts w:hint="eastAsia"/>
                <w:sz w:val="21"/>
                <w:szCs w:val="21"/>
              </w:rPr>
              <w:t>其中</w:t>
            </w:r>
          </w:p>
        </w:tc>
        <w:tc>
          <w:tcPr>
            <w:tcW w:w="2855" w:type="dxa"/>
            <w:gridSpan w:val="2"/>
          </w:tcPr>
          <w:p>
            <w:pPr>
              <w:pStyle w:val="BodyTextIndent"/>
              <w:spacing w:line="400" w:lineRule="exact"/>
              <w:ind w:firstLine="0" w:firstLineChars="0"/>
              <w:jc w:val="center"/>
              <w:rPr>
                <w:rFonts w:hint="eastAsia"/>
                <w:sz w:val="21"/>
                <w:szCs w:val="21"/>
              </w:rPr>
            </w:pPr>
            <w:r>
              <w:rPr>
                <w:rFonts w:hint="eastAsia"/>
                <w:sz w:val="21"/>
                <w:szCs w:val="21"/>
              </w:rPr>
              <w:t>客车停车位</w:t>
            </w:r>
          </w:p>
        </w:tc>
        <w:tc>
          <w:tcPr>
            <w:tcW w:w="2046" w:type="dxa"/>
          </w:tcPr>
          <w:p>
            <w:pPr>
              <w:pStyle w:val="BodyTextIndent"/>
              <w:spacing w:line="400" w:lineRule="exact"/>
              <w:ind w:firstLine="0" w:firstLineChars="0"/>
              <w:jc w:val="center"/>
              <w:rPr>
                <w:sz w:val="21"/>
                <w:szCs w:val="21"/>
              </w:rPr>
            </w:pPr>
            <w:r>
              <w:rPr>
                <w:rFonts w:hint="eastAsia"/>
                <w:sz w:val="21"/>
                <w:szCs w:val="21"/>
              </w:rPr>
              <w:t>个</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70</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1166" w:type="dxa"/>
            <w:vMerge/>
            <w:vAlign w:val="center"/>
          </w:tcPr>
          <w:p>
            <w:pPr>
              <w:pStyle w:val="BodyTextIndent"/>
              <w:spacing w:line="400" w:lineRule="exact"/>
              <w:ind w:firstLine="0" w:firstLineChars="0"/>
              <w:jc w:val="center"/>
              <w:rPr>
                <w:rFonts w:hint="eastAsia"/>
                <w:sz w:val="21"/>
                <w:szCs w:val="21"/>
              </w:rPr>
            </w:pPr>
          </w:p>
        </w:tc>
        <w:tc>
          <w:tcPr>
            <w:tcW w:w="2855" w:type="dxa"/>
            <w:gridSpan w:val="2"/>
          </w:tcPr>
          <w:p>
            <w:pPr>
              <w:pStyle w:val="BodyTextIndent"/>
              <w:spacing w:line="400" w:lineRule="exact"/>
              <w:ind w:firstLine="0" w:firstLineChars="0"/>
              <w:jc w:val="center"/>
              <w:rPr>
                <w:rFonts w:hint="eastAsia"/>
                <w:sz w:val="21"/>
                <w:szCs w:val="21"/>
              </w:rPr>
            </w:pPr>
            <w:r>
              <w:rPr>
                <w:rFonts w:hint="eastAsia"/>
                <w:sz w:val="21"/>
                <w:szCs w:val="21"/>
              </w:rPr>
              <w:t>小汽车停车位</w:t>
            </w:r>
          </w:p>
        </w:tc>
        <w:tc>
          <w:tcPr>
            <w:tcW w:w="2046" w:type="dxa"/>
          </w:tcPr>
          <w:p>
            <w:pPr>
              <w:pStyle w:val="BodyTextIndent"/>
              <w:spacing w:line="400" w:lineRule="exact"/>
              <w:ind w:firstLine="0" w:firstLineChars="0"/>
              <w:jc w:val="center"/>
              <w:rPr>
                <w:sz w:val="21"/>
                <w:szCs w:val="21"/>
              </w:rPr>
            </w:pPr>
            <w:r>
              <w:rPr>
                <w:rFonts w:hint="eastAsia"/>
                <w:sz w:val="21"/>
                <w:szCs w:val="21"/>
              </w:rPr>
              <w:t>个</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20</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1166" w:type="dxa"/>
            <w:vMerge/>
          </w:tcPr>
          <w:p>
            <w:pPr>
              <w:pStyle w:val="BodyTextIndent"/>
              <w:spacing w:line="400" w:lineRule="exact"/>
              <w:ind w:firstLine="0" w:firstLineChars="0"/>
              <w:jc w:val="center"/>
              <w:rPr>
                <w:sz w:val="21"/>
                <w:szCs w:val="21"/>
              </w:rPr>
            </w:pPr>
          </w:p>
        </w:tc>
        <w:tc>
          <w:tcPr>
            <w:tcW w:w="2855" w:type="dxa"/>
            <w:gridSpan w:val="2"/>
          </w:tcPr>
          <w:p>
            <w:pPr>
              <w:pStyle w:val="BodyTextIndent"/>
              <w:spacing w:line="400" w:lineRule="exact"/>
              <w:ind w:firstLine="0" w:firstLineChars="0"/>
              <w:jc w:val="center"/>
              <w:rPr>
                <w:rFonts w:hint="eastAsia"/>
                <w:sz w:val="21"/>
                <w:szCs w:val="21"/>
              </w:rPr>
            </w:pPr>
            <w:r>
              <w:rPr>
                <w:rFonts w:hint="eastAsia"/>
                <w:sz w:val="21"/>
                <w:szCs w:val="21"/>
              </w:rPr>
              <w:t>公交车停车位</w:t>
            </w:r>
          </w:p>
        </w:tc>
        <w:tc>
          <w:tcPr>
            <w:tcW w:w="2046" w:type="dxa"/>
          </w:tcPr>
          <w:p>
            <w:pPr>
              <w:pStyle w:val="BodyTextIndent"/>
              <w:spacing w:line="400" w:lineRule="exact"/>
              <w:ind w:firstLine="0" w:firstLineChars="0"/>
              <w:jc w:val="center"/>
              <w:rPr>
                <w:sz w:val="21"/>
                <w:szCs w:val="21"/>
              </w:rPr>
            </w:pPr>
            <w:r>
              <w:rPr>
                <w:rFonts w:hint="eastAsia"/>
                <w:sz w:val="21"/>
                <w:szCs w:val="21"/>
              </w:rPr>
              <w:t>个</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16</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rFonts w:hint="eastAsia"/>
                <w:sz w:val="21"/>
                <w:szCs w:val="21"/>
              </w:rPr>
            </w:pPr>
            <w:r>
              <w:rPr>
                <w:rFonts w:hint="eastAsia"/>
                <w:sz w:val="21"/>
                <w:szCs w:val="21"/>
              </w:rPr>
              <w:t>地下停车位</w:t>
            </w:r>
          </w:p>
        </w:tc>
        <w:tc>
          <w:tcPr>
            <w:tcW w:w="2046" w:type="dxa"/>
          </w:tcPr>
          <w:p>
            <w:pPr>
              <w:pStyle w:val="BodyTextIndent"/>
              <w:spacing w:line="400" w:lineRule="exact"/>
              <w:ind w:firstLine="0" w:firstLineChars="0"/>
              <w:jc w:val="center"/>
              <w:rPr>
                <w:sz w:val="21"/>
                <w:szCs w:val="21"/>
              </w:rPr>
            </w:pPr>
            <w:r>
              <w:rPr>
                <w:rFonts w:hint="eastAsia"/>
                <w:sz w:val="21"/>
                <w:szCs w:val="21"/>
              </w:rPr>
              <w:t>个</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55</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rFonts w:hint="eastAsia"/>
                <w:sz w:val="21"/>
                <w:szCs w:val="21"/>
              </w:rPr>
            </w:pPr>
            <w:r>
              <w:rPr>
                <w:rFonts w:hint="eastAsia"/>
                <w:sz w:val="21"/>
                <w:szCs w:val="21"/>
              </w:rPr>
              <w:t>发车位</w:t>
            </w:r>
          </w:p>
        </w:tc>
        <w:tc>
          <w:tcPr>
            <w:tcW w:w="2046" w:type="dxa"/>
          </w:tcPr>
          <w:p>
            <w:pPr>
              <w:pStyle w:val="BodyTextIndent"/>
              <w:spacing w:line="400" w:lineRule="exact"/>
              <w:ind w:firstLine="0" w:firstLineChars="0"/>
              <w:jc w:val="center"/>
              <w:rPr>
                <w:sz w:val="21"/>
                <w:szCs w:val="21"/>
              </w:rPr>
            </w:pPr>
            <w:r>
              <w:rPr>
                <w:rFonts w:hint="eastAsia"/>
                <w:sz w:val="21"/>
                <w:szCs w:val="21"/>
              </w:rPr>
              <w:t>个</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16</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rFonts w:hint="eastAsia"/>
                <w:sz w:val="21"/>
                <w:szCs w:val="21"/>
              </w:rPr>
            </w:pPr>
            <w:r>
              <w:rPr>
                <w:rFonts w:hint="eastAsia"/>
                <w:sz w:val="21"/>
                <w:szCs w:val="21"/>
              </w:rPr>
              <w:t>日最大发送旅客</w:t>
            </w:r>
          </w:p>
        </w:tc>
        <w:tc>
          <w:tcPr>
            <w:tcW w:w="2046" w:type="dxa"/>
          </w:tcPr>
          <w:p>
            <w:pPr>
              <w:pStyle w:val="BodyTextIndent"/>
              <w:spacing w:line="400" w:lineRule="exact"/>
              <w:ind w:firstLine="0" w:firstLineChars="0"/>
              <w:jc w:val="center"/>
              <w:rPr>
                <w:rFonts w:hint="eastAsia"/>
                <w:sz w:val="21"/>
                <w:szCs w:val="21"/>
              </w:rPr>
            </w:pPr>
            <w:r>
              <w:rPr>
                <w:rFonts w:hint="eastAsia"/>
                <w:sz w:val="21"/>
                <w:szCs w:val="21"/>
              </w:rPr>
              <w:t>人次</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10000</w:t>
            </w:r>
          </w:p>
        </w:tc>
      </w:tr>
      <w:tr>
        <w:tblPrEx>
          <w:jc w:val="center"/>
          <w:tblInd w:w="411" w:type="dxa"/>
          <w:tblLayout w:type="fixed"/>
          <w:tblCellMar>
            <w:top w:w="0" w:type="dxa"/>
            <w:left w:w="108" w:type="dxa"/>
            <w:bottom w:w="0" w:type="dxa"/>
            <w:right w:w="108" w:type="dxa"/>
          </w:tblCellMar>
          <w:tblLook w:val="0000"/>
        </w:tblPrEx>
        <w:trPr>
          <w:trHeight w:hRule="exact" w:val="369"/>
          <w:jc w:val="center"/>
        </w:trPr>
        <w:tc>
          <w:tcPr>
            <w:tcW w:w="4021" w:type="dxa"/>
            <w:gridSpan w:val="3"/>
          </w:tcPr>
          <w:p>
            <w:pPr>
              <w:pStyle w:val="BodyTextIndent"/>
              <w:spacing w:line="400" w:lineRule="exact"/>
              <w:ind w:firstLine="0" w:firstLineChars="0"/>
              <w:jc w:val="center"/>
              <w:rPr>
                <w:rFonts w:hint="eastAsia"/>
                <w:sz w:val="21"/>
                <w:szCs w:val="21"/>
              </w:rPr>
            </w:pPr>
            <w:r>
              <w:rPr>
                <w:rFonts w:hint="eastAsia"/>
                <w:sz w:val="21"/>
                <w:szCs w:val="21"/>
              </w:rPr>
              <w:t>日均发送旅客</w:t>
            </w:r>
          </w:p>
        </w:tc>
        <w:tc>
          <w:tcPr>
            <w:tcW w:w="2046" w:type="dxa"/>
          </w:tcPr>
          <w:p>
            <w:pPr>
              <w:pStyle w:val="BodyTextIndent"/>
              <w:spacing w:line="400" w:lineRule="exact"/>
              <w:ind w:firstLine="0" w:firstLineChars="0"/>
              <w:jc w:val="center"/>
              <w:rPr>
                <w:rFonts w:hint="eastAsia"/>
                <w:sz w:val="21"/>
                <w:szCs w:val="21"/>
              </w:rPr>
            </w:pPr>
            <w:r>
              <w:rPr>
                <w:rFonts w:hint="eastAsia"/>
                <w:sz w:val="21"/>
                <w:szCs w:val="21"/>
              </w:rPr>
              <w:t>人次</w:t>
            </w:r>
          </w:p>
        </w:tc>
        <w:tc>
          <w:tcPr>
            <w:tcW w:w="2050" w:type="dxa"/>
          </w:tcPr>
          <w:p>
            <w:pPr>
              <w:pStyle w:val="BodyTextIndent"/>
              <w:spacing w:line="400" w:lineRule="exact"/>
              <w:ind w:firstLine="0" w:firstLineChars="0"/>
              <w:jc w:val="center"/>
              <w:rPr>
                <w:rFonts w:hint="eastAsia"/>
                <w:sz w:val="21"/>
                <w:szCs w:val="21"/>
              </w:rPr>
            </w:pPr>
            <w:r>
              <w:rPr>
                <w:rFonts w:hint="eastAsia"/>
                <w:sz w:val="21"/>
                <w:szCs w:val="21"/>
              </w:rPr>
              <w:t>5000</w:t>
            </w:r>
          </w:p>
        </w:tc>
      </w:tr>
    </w:tbl>
    <w:p>
      <w:pPr>
        <w:spacing w:line="480" w:lineRule="exact"/>
        <w:ind w:firstLine="600" w:firstLineChars="250"/>
        <w:rPr>
          <w:rFonts w:hint="eastAsia"/>
          <w:sz w:val="24"/>
        </w:rPr>
        <w:sectPr>
          <w:headerReference w:type="default" r:id="rId8"/>
          <w:footerReference w:type="default" r:id="rId9"/>
          <w:pgSz w:w="11906" w:h="16838"/>
          <w:pgMar w:top="1440" w:right="1616" w:bottom="1440" w:left="1644" w:header="851" w:footer="992" w:gutter="0"/>
          <w:pgNumType w:start="3"/>
          <w:cols w:space="708"/>
          <w:docGrid w:type="lines" w:linePitch="312"/>
        </w:sectPr>
      </w:pPr>
      <w:r>
        <w:rPr>
          <w:rFonts w:ascii="宋体" w:hAnsi="宋体" w:hint="eastAsia"/>
          <w:sz w:val="24"/>
        </w:rPr>
        <w:t>⑸</w:t>
      </w:r>
      <w:r>
        <w:rPr>
          <w:rFonts w:hint="eastAsia"/>
          <w:sz w:val="24"/>
        </w:rPr>
        <w:t>劳动定员和生产组织</w:t>
      </w:r>
    </w:p>
    <w:p>
      <w:pPr>
        <w:spacing w:line="480" w:lineRule="exact"/>
        <w:ind w:firstLine="480" w:firstLineChars="200"/>
        <w:rPr>
          <w:rFonts w:ascii="宋体" w:hAnsi="宋体" w:hint="eastAsia"/>
          <w:sz w:val="24"/>
        </w:rPr>
      </w:pPr>
      <w:r>
        <w:rPr>
          <w:rFonts w:hint="eastAsia"/>
          <w:sz w:val="24"/>
        </w:rPr>
        <w:t>项目工作人员50</w:t>
      </w:r>
      <w:r>
        <w:rPr>
          <w:sz w:val="24"/>
        </w:rPr>
        <w:t>人，</w:t>
      </w:r>
      <w:r>
        <w:rPr>
          <w:rFonts w:hint="eastAsia"/>
          <w:sz w:val="24"/>
        </w:rPr>
        <w:t>日班制工作，年工作365天，项目运营时间6:00-18:00，项目设有食堂及住宿。</w:t>
      </w:r>
    </w:p>
    <w:p>
      <w:pPr>
        <w:spacing w:line="480" w:lineRule="exact"/>
        <w:ind w:firstLine="480" w:firstLineChars="200"/>
        <w:rPr>
          <w:rFonts w:hint="eastAsia"/>
          <w:sz w:val="24"/>
        </w:rPr>
      </w:pPr>
      <w:r>
        <w:rPr>
          <w:rFonts w:ascii="宋体" w:hAnsi="宋体" w:hint="eastAsia"/>
          <w:sz w:val="24"/>
        </w:rPr>
        <w:t>⑹</w:t>
      </w:r>
      <w:r>
        <w:rPr>
          <w:rFonts w:hint="eastAsia"/>
          <w:sz w:val="24"/>
        </w:rPr>
        <w:t>原辅材料消耗</w:t>
      </w:r>
    </w:p>
    <w:p>
      <w:pPr>
        <w:spacing w:line="440" w:lineRule="exact"/>
        <w:ind w:firstLine="480" w:firstLineChars="200"/>
        <w:rPr>
          <w:sz w:val="24"/>
        </w:rPr>
      </w:pPr>
      <w:r>
        <w:rPr>
          <w:rFonts w:hAnsi="宋体"/>
          <w:sz w:val="24"/>
        </w:rPr>
        <w:t>项目原辅材料消耗情况见表</w:t>
      </w:r>
      <w:r>
        <w:rPr>
          <w:rFonts w:hint="eastAsia"/>
          <w:sz w:val="24"/>
        </w:rPr>
        <w:t>3</w:t>
      </w:r>
      <w:r>
        <w:rPr>
          <w:sz w:val="24"/>
        </w:rPr>
        <w:t>-2</w:t>
      </w:r>
      <w:r>
        <w:rPr>
          <w:rFonts w:hAnsi="宋体"/>
          <w:sz w:val="24"/>
        </w:rPr>
        <w:t>。</w:t>
      </w:r>
    </w:p>
    <w:p>
      <w:pPr>
        <w:spacing w:line="440" w:lineRule="exact"/>
        <w:jc w:val="center"/>
        <w:rPr>
          <w:sz w:val="24"/>
        </w:rPr>
      </w:pPr>
      <w:r>
        <w:rPr>
          <w:rFonts w:hAnsi="宋体"/>
          <w:sz w:val="24"/>
        </w:rPr>
        <w:t>表</w:t>
      </w:r>
      <w:r>
        <w:rPr>
          <w:rFonts w:hint="eastAsia"/>
          <w:sz w:val="24"/>
        </w:rPr>
        <w:t>3</w:t>
      </w:r>
      <w:r>
        <w:rPr>
          <w:sz w:val="24"/>
        </w:rPr>
        <w:t xml:space="preserve">-2    </w:t>
      </w:r>
      <w:r>
        <w:rPr>
          <w:rFonts w:hAnsi="宋体"/>
          <w:sz w:val="24"/>
        </w:rPr>
        <w:t>项目原辅材料消耗情况</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42"/>
        <w:gridCol w:w="2689"/>
        <w:gridCol w:w="2243"/>
        <w:gridCol w:w="2118"/>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0"/>
          <w:jc w:val="center"/>
        </w:trPr>
        <w:tc>
          <w:tcPr>
            <w:tcW w:w="1342" w:type="dxa"/>
            <w:vAlign w:val="center"/>
          </w:tcPr>
          <w:p>
            <w:pPr>
              <w:spacing w:line="360" w:lineRule="exact"/>
              <w:jc w:val="center"/>
              <w:rPr>
                <w:szCs w:val="21"/>
              </w:rPr>
            </w:pPr>
            <w:r>
              <w:rPr>
                <w:rFonts w:hAnsi="宋体"/>
                <w:szCs w:val="21"/>
              </w:rPr>
              <w:t>序号</w:t>
            </w:r>
          </w:p>
        </w:tc>
        <w:tc>
          <w:tcPr>
            <w:tcW w:w="2689" w:type="dxa"/>
            <w:vAlign w:val="center"/>
          </w:tcPr>
          <w:p>
            <w:pPr>
              <w:spacing w:line="360" w:lineRule="exact"/>
              <w:jc w:val="center"/>
              <w:rPr>
                <w:szCs w:val="21"/>
              </w:rPr>
            </w:pPr>
            <w:r>
              <w:rPr>
                <w:rFonts w:hAnsi="宋体"/>
                <w:szCs w:val="21"/>
              </w:rPr>
              <w:t>材料名称</w:t>
            </w:r>
          </w:p>
        </w:tc>
        <w:tc>
          <w:tcPr>
            <w:tcW w:w="2243" w:type="dxa"/>
            <w:vAlign w:val="center"/>
          </w:tcPr>
          <w:p>
            <w:pPr>
              <w:spacing w:line="360" w:lineRule="exact"/>
              <w:jc w:val="center"/>
              <w:rPr>
                <w:szCs w:val="21"/>
              </w:rPr>
            </w:pPr>
            <w:r>
              <w:rPr>
                <w:rFonts w:hAnsi="宋体"/>
                <w:szCs w:val="21"/>
              </w:rPr>
              <w:t>单位</w:t>
            </w:r>
          </w:p>
        </w:tc>
        <w:tc>
          <w:tcPr>
            <w:tcW w:w="2118" w:type="dxa"/>
            <w:vAlign w:val="center"/>
          </w:tcPr>
          <w:p>
            <w:pPr>
              <w:spacing w:line="360" w:lineRule="exact"/>
              <w:jc w:val="center"/>
              <w:rPr>
                <w:szCs w:val="21"/>
              </w:rPr>
            </w:pPr>
            <w:r>
              <w:rPr>
                <w:rFonts w:hAnsi="宋体"/>
                <w:szCs w:val="21"/>
              </w:rPr>
              <w:t>年用量</w:t>
            </w:r>
          </w:p>
        </w:tc>
      </w:tr>
      <w:tr>
        <w:tblPrEx>
          <w:jc w:val="center"/>
          <w:tblLayout w:type="fixed"/>
          <w:tblCellMar>
            <w:top w:w="0" w:type="dxa"/>
            <w:left w:w="108" w:type="dxa"/>
            <w:bottom w:w="0" w:type="dxa"/>
            <w:right w:w="108" w:type="dxa"/>
          </w:tblCellMar>
          <w:tblLook w:val="0000"/>
        </w:tblPrEx>
        <w:trPr>
          <w:trHeight w:val="70"/>
          <w:jc w:val="center"/>
        </w:trPr>
        <w:tc>
          <w:tcPr>
            <w:tcW w:w="1342" w:type="dxa"/>
            <w:vAlign w:val="center"/>
          </w:tcPr>
          <w:p>
            <w:pPr>
              <w:spacing w:line="360" w:lineRule="exact"/>
              <w:jc w:val="center"/>
              <w:rPr>
                <w:szCs w:val="21"/>
              </w:rPr>
            </w:pPr>
            <w:r>
              <w:rPr>
                <w:szCs w:val="21"/>
              </w:rPr>
              <w:t>1</w:t>
            </w:r>
          </w:p>
        </w:tc>
        <w:tc>
          <w:tcPr>
            <w:tcW w:w="2689" w:type="dxa"/>
            <w:vAlign w:val="center"/>
          </w:tcPr>
          <w:p>
            <w:pPr>
              <w:spacing w:line="360" w:lineRule="exact"/>
              <w:jc w:val="center"/>
              <w:rPr>
                <w:rFonts w:hAnsi="宋体" w:hint="eastAsia"/>
                <w:szCs w:val="21"/>
              </w:rPr>
            </w:pPr>
            <w:r>
              <w:rPr>
                <w:rFonts w:hAnsi="宋体" w:hint="eastAsia"/>
                <w:szCs w:val="21"/>
              </w:rPr>
              <w:t>柴油</w:t>
            </w:r>
          </w:p>
        </w:tc>
        <w:tc>
          <w:tcPr>
            <w:tcW w:w="2243" w:type="dxa"/>
            <w:vAlign w:val="center"/>
          </w:tcPr>
          <w:p>
            <w:pPr>
              <w:spacing w:line="360" w:lineRule="exact"/>
              <w:jc w:val="center"/>
              <w:rPr>
                <w:rFonts w:hAnsi="宋体"/>
                <w:szCs w:val="21"/>
              </w:rPr>
            </w:pPr>
            <w:r>
              <w:rPr>
                <w:rFonts w:hint="eastAsia"/>
                <w:szCs w:val="21"/>
              </w:rPr>
              <w:t>吨</w:t>
            </w:r>
            <w:r>
              <w:rPr>
                <w:szCs w:val="21"/>
              </w:rPr>
              <w:t>/</w:t>
            </w:r>
            <w:r>
              <w:rPr>
                <w:rFonts w:hAnsi="宋体"/>
                <w:szCs w:val="21"/>
              </w:rPr>
              <w:t>年</w:t>
            </w:r>
          </w:p>
        </w:tc>
        <w:tc>
          <w:tcPr>
            <w:tcW w:w="2118" w:type="dxa"/>
            <w:vAlign w:val="center"/>
          </w:tcPr>
          <w:p>
            <w:pPr>
              <w:spacing w:line="360" w:lineRule="exact"/>
              <w:jc w:val="center"/>
              <w:rPr>
                <w:rFonts w:hAnsi="宋体" w:hint="eastAsia"/>
                <w:szCs w:val="21"/>
              </w:rPr>
            </w:pPr>
            <w:r>
              <w:rPr>
                <w:rFonts w:hAnsi="宋体" w:hint="eastAsia"/>
                <w:szCs w:val="21"/>
              </w:rPr>
              <w:t>260</w:t>
            </w:r>
          </w:p>
        </w:tc>
      </w:tr>
      <w:tr>
        <w:tblPrEx>
          <w:jc w:val="center"/>
          <w:tblLayout w:type="fixed"/>
          <w:tblCellMar>
            <w:top w:w="0" w:type="dxa"/>
            <w:left w:w="108" w:type="dxa"/>
            <w:bottom w:w="0" w:type="dxa"/>
            <w:right w:w="108" w:type="dxa"/>
          </w:tblCellMar>
          <w:tblLook w:val="0000"/>
        </w:tblPrEx>
        <w:trPr>
          <w:trHeight w:val="70"/>
          <w:jc w:val="center"/>
        </w:trPr>
        <w:tc>
          <w:tcPr>
            <w:tcW w:w="1342" w:type="dxa"/>
            <w:vAlign w:val="center"/>
          </w:tcPr>
          <w:p>
            <w:pPr>
              <w:spacing w:line="360" w:lineRule="exact"/>
              <w:jc w:val="center"/>
              <w:rPr>
                <w:szCs w:val="21"/>
              </w:rPr>
            </w:pPr>
            <w:r>
              <w:rPr>
                <w:szCs w:val="21"/>
              </w:rPr>
              <w:t>2</w:t>
            </w:r>
          </w:p>
        </w:tc>
        <w:tc>
          <w:tcPr>
            <w:tcW w:w="2689" w:type="dxa"/>
            <w:vAlign w:val="center"/>
          </w:tcPr>
          <w:p>
            <w:pPr>
              <w:spacing w:line="360" w:lineRule="exact"/>
              <w:jc w:val="center"/>
              <w:rPr>
                <w:szCs w:val="21"/>
              </w:rPr>
            </w:pPr>
            <w:r>
              <w:rPr>
                <w:rFonts w:hAnsi="宋体"/>
                <w:szCs w:val="21"/>
              </w:rPr>
              <w:t>天然气</w:t>
            </w:r>
          </w:p>
        </w:tc>
        <w:tc>
          <w:tcPr>
            <w:tcW w:w="2243" w:type="dxa"/>
            <w:vAlign w:val="center"/>
          </w:tcPr>
          <w:p>
            <w:pPr>
              <w:spacing w:line="360" w:lineRule="exact"/>
              <w:jc w:val="center"/>
              <w:rPr>
                <w:szCs w:val="21"/>
              </w:rPr>
            </w:pPr>
            <w:r>
              <w:rPr>
                <w:rFonts w:hint="eastAsia"/>
                <w:szCs w:val="21"/>
              </w:rPr>
              <w:t>吨</w:t>
            </w:r>
            <w:r>
              <w:rPr>
                <w:szCs w:val="21"/>
              </w:rPr>
              <w:t>/</w:t>
            </w:r>
            <w:r>
              <w:rPr>
                <w:rFonts w:hAnsi="宋体"/>
                <w:szCs w:val="21"/>
              </w:rPr>
              <w:t>年</w:t>
            </w:r>
          </w:p>
        </w:tc>
        <w:tc>
          <w:tcPr>
            <w:tcW w:w="2118" w:type="dxa"/>
            <w:vAlign w:val="center"/>
          </w:tcPr>
          <w:p>
            <w:pPr>
              <w:spacing w:line="360" w:lineRule="exact"/>
              <w:jc w:val="center"/>
              <w:rPr>
                <w:rFonts w:hint="eastAsia"/>
                <w:szCs w:val="21"/>
              </w:rPr>
            </w:pPr>
            <w:r>
              <w:rPr>
                <w:rFonts w:hint="eastAsia"/>
                <w:szCs w:val="21"/>
              </w:rPr>
              <w:t>150</w:t>
            </w:r>
          </w:p>
        </w:tc>
      </w:tr>
      <w:tr>
        <w:tblPrEx>
          <w:jc w:val="center"/>
          <w:tblLayout w:type="fixed"/>
          <w:tblCellMar>
            <w:top w:w="0" w:type="dxa"/>
            <w:left w:w="108" w:type="dxa"/>
            <w:bottom w:w="0" w:type="dxa"/>
            <w:right w:w="108" w:type="dxa"/>
          </w:tblCellMar>
          <w:tblLook w:val="0000"/>
        </w:tblPrEx>
        <w:trPr>
          <w:trHeight w:val="70"/>
          <w:jc w:val="center"/>
        </w:trPr>
        <w:tc>
          <w:tcPr>
            <w:tcW w:w="1342" w:type="dxa"/>
            <w:vAlign w:val="center"/>
          </w:tcPr>
          <w:p>
            <w:pPr>
              <w:spacing w:line="360" w:lineRule="exact"/>
              <w:jc w:val="center"/>
              <w:rPr>
                <w:szCs w:val="21"/>
              </w:rPr>
            </w:pPr>
            <w:r>
              <w:rPr>
                <w:szCs w:val="21"/>
              </w:rPr>
              <w:t>3</w:t>
            </w:r>
          </w:p>
        </w:tc>
        <w:tc>
          <w:tcPr>
            <w:tcW w:w="2689" w:type="dxa"/>
            <w:vAlign w:val="center"/>
          </w:tcPr>
          <w:p>
            <w:pPr>
              <w:spacing w:line="360" w:lineRule="exact"/>
              <w:jc w:val="center"/>
              <w:rPr>
                <w:szCs w:val="21"/>
              </w:rPr>
            </w:pPr>
            <w:r>
              <w:rPr>
                <w:rFonts w:hAnsi="宋体"/>
                <w:szCs w:val="21"/>
              </w:rPr>
              <w:t>水</w:t>
            </w:r>
          </w:p>
        </w:tc>
        <w:tc>
          <w:tcPr>
            <w:tcW w:w="2243" w:type="dxa"/>
            <w:vAlign w:val="center"/>
          </w:tcPr>
          <w:p>
            <w:pPr>
              <w:spacing w:line="360" w:lineRule="exact"/>
              <w:jc w:val="center"/>
              <w:rPr>
                <w:szCs w:val="21"/>
              </w:rPr>
            </w:pPr>
            <w:r>
              <w:rPr>
                <w:rFonts w:hAnsi="宋体"/>
                <w:szCs w:val="21"/>
              </w:rPr>
              <w:t>吨</w:t>
            </w:r>
            <w:r>
              <w:rPr>
                <w:szCs w:val="21"/>
              </w:rPr>
              <w:t>/</w:t>
            </w:r>
            <w:r>
              <w:rPr>
                <w:rFonts w:hAnsi="宋体"/>
                <w:szCs w:val="21"/>
              </w:rPr>
              <w:t>年</w:t>
            </w:r>
          </w:p>
        </w:tc>
        <w:tc>
          <w:tcPr>
            <w:tcW w:w="2118" w:type="dxa"/>
            <w:vAlign w:val="center"/>
          </w:tcPr>
          <w:p>
            <w:pPr>
              <w:spacing w:line="360" w:lineRule="exact"/>
              <w:jc w:val="center"/>
              <w:rPr>
                <w:rFonts w:hint="eastAsia"/>
                <w:szCs w:val="21"/>
              </w:rPr>
            </w:pPr>
            <w:r>
              <w:rPr>
                <w:rFonts w:hint="eastAsia"/>
                <w:szCs w:val="21"/>
              </w:rPr>
              <w:t>19501</w:t>
            </w:r>
          </w:p>
        </w:tc>
      </w:tr>
      <w:tr>
        <w:tblPrEx>
          <w:jc w:val="center"/>
          <w:tblLayout w:type="fixed"/>
          <w:tblCellMar>
            <w:top w:w="0" w:type="dxa"/>
            <w:left w:w="108" w:type="dxa"/>
            <w:bottom w:w="0" w:type="dxa"/>
            <w:right w:w="108" w:type="dxa"/>
          </w:tblCellMar>
          <w:tblLook w:val="0000"/>
        </w:tblPrEx>
        <w:trPr>
          <w:trHeight w:val="70"/>
          <w:jc w:val="center"/>
        </w:trPr>
        <w:tc>
          <w:tcPr>
            <w:tcW w:w="1342" w:type="dxa"/>
            <w:vAlign w:val="center"/>
          </w:tcPr>
          <w:p>
            <w:pPr>
              <w:spacing w:line="360" w:lineRule="exact"/>
              <w:jc w:val="center"/>
              <w:rPr>
                <w:rFonts w:hint="eastAsia"/>
                <w:szCs w:val="21"/>
              </w:rPr>
            </w:pPr>
            <w:r>
              <w:rPr>
                <w:rFonts w:hint="eastAsia"/>
                <w:szCs w:val="21"/>
              </w:rPr>
              <w:t>4</w:t>
            </w:r>
          </w:p>
        </w:tc>
        <w:tc>
          <w:tcPr>
            <w:tcW w:w="2689" w:type="dxa"/>
            <w:vAlign w:val="center"/>
          </w:tcPr>
          <w:p>
            <w:pPr>
              <w:spacing w:line="360" w:lineRule="exact"/>
              <w:jc w:val="center"/>
              <w:rPr>
                <w:szCs w:val="21"/>
              </w:rPr>
            </w:pPr>
            <w:r>
              <w:rPr>
                <w:rFonts w:hAnsi="宋体"/>
                <w:szCs w:val="21"/>
              </w:rPr>
              <w:t>电</w:t>
            </w:r>
          </w:p>
        </w:tc>
        <w:tc>
          <w:tcPr>
            <w:tcW w:w="2243" w:type="dxa"/>
            <w:vAlign w:val="center"/>
          </w:tcPr>
          <w:p>
            <w:pPr>
              <w:spacing w:line="360" w:lineRule="exact"/>
              <w:jc w:val="center"/>
              <w:rPr>
                <w:szCs w:val="21"/>
              </w:rPr>
            </w:pPr>
            <w:r>
              <w:rPr>
                <w:rFonts w:hAnsi="宋体"/>
                <w:szCs w:val="21"/>
              </w:rPr>
              <w:t>万度</w:t>
            </w:r>
            <w:r>
              <w:rPr>
                <w:szCs w:val="21"/>
              </w:rPr>
              <w:t>/</w:t>
            </w:r>
            <w:r>
              <w:rPr>
                <w:rFonts w:hAnsi="宋体"/>
                <w:szCs w:val="21"/>
              </w:rPr>
              <w:t>年</w:t>
            </w:r>
          </w:p>
        </w:tc>
        <w:tc>
          <w:tcPr>
            <w:tcW w:w="2118" w:type="dxa"/>
            <w:vAlign w:val="center"/>
          </w:tcPr>
          <w:p>
            <w:pPr>
              <w:spacing w:line="360" w:lineRule="exact"/>
              <w:jc w:val="center"/>
              <w:rPr>
                <w:rFonts w:hint="eastAsia"/>
                <w:szCs w:val="21"/>
              </w:rPr>
            </w:pPr>
            <w:r>
              <w:rPr>
                <w:rFonts w:hint="eastAsia"/>
                <w:szCs w:val="21"/>
              </w:rPr>
              <w:t>294.19</w:t>
            </w:r>
          </w:p>
        </w:tc>
      </w:tr>
    </w:tbl>
    <w:p>
      <w:pPr>
        <w:spacing w:line="440" w:lineRule="exact"/>
        <w:ind w:firstLine="420" w:firstLineChars="200"/>
        <w:rPr>
          <w:rFonts w:ascii="宋体" w:hAnsi="宋体" w:hint="eastAsia"/>
        </w:rPr>
      </w:pPr>
      <w:r>
        <w:rPr>
          <w:rFonts w:hint="eastAsia"/>
          <w:szCs w:val="21"/>
        </w:rPr>
        <w:t>注：</w:t>
      </w:r>
      <w:r>
        <w:rPr>
          <w:szCs w:val="21"/>
        </w:rPr>
        <w:t>液化</w:t>
      </w:r>
      <w:hyperlink r:id="rId10" w:tgtFrame="_blank" w:history="1">
        <w:r>
          <w:rPr>
            <w:szCs w:val="21"/>
          </w:rPr>
          <w:t>天然气</w:t>
        </w:r>
      </w:hyperlink>
      <w:r>
        <w:rPr>
          <w:szCs w:val="21"/>
        </w:rPr>
        <w:t>(LiquifiedNaturalGas，简称LNG)，主要成分是甲烷</w:t>
      </w:r>
      <w:r>
        <w:rPr>
          <w:rFonts w:hint="eastAsia"/>
          <w:szCs w:val="21"/>
        </w:rPr>
        <w:t>，</w:t>
      </w:r>
      <w:r>
        <w:rPr>
          <w:rFonts w:hAnsi="宋体" w:hint="eastAsia"/>
          <w:szCs w:val="21"/>
        </w:rPr>
        <w:t>其中：CH</w:t>
      </w:r>
      <w:r>
        <w:rPr>
          <w:rFonts w:hAnsi="宋体" w:hint="eastAsia"/>
          <w:szCs w:val="21"/>
          <w:vertAlign w:val="subscript"/>
        </w:rPr>
        <w:t>4</w:t>
      </w:r>
      <w:r>
        <w:rPr>
          <w:rFonts w:hAnsi="宋体" w:hint="eastAsia"/>
          <w:szCs w:val="21"/>
        </w:rPr>
        <w:t>86.23%、C</w:t>
      </w:r>
      <w:r>
        <w:rPr>
          <w:rFonts w:hAnsi="宋体" w:hint="eastAsia"/>
          <w:szCs w:val="21"/>
          <w:vertAlign w:val="subscript"/>
        </w:rPr>
        <w:t>2</w:t>
      </w:r>
      <w:r>
        <w:rPr>
          <w:rFonts w:hAnsi="宋体" w:hint="eastAsia"/>
          <w:szCs w:val="21"/>
        </w:rPr>
        <w:t>H</w:t>
      </w:r>
      <w:r>
        <w:rPr>
          <w:rFonts w:hAnsi="宋体" w:hint="eastAsia"/>
          <w:szCs w:val="21"/>
          <w:vertAlign w:val="subscript"/>
        </w:rPr>
        <w:t>6</w:t>
      </w:r>
      <w:r>
        <w:rPr>
          <w:rFonts w:hAnsi="宋体" w:hint="eastAsia"/>
          <w:szCs w:val="21"/>
        </w:rPr>
        <w:t>12.77%、C</w:t>
      </w:r>
      <w:r>
        <w:rPr>
          <w:rFonts w:hAnsi="宋体" w:hint="eastAsia"/>
          <w:szCs w:val="21"/>
          <w:vertAlign w:val="subscript"/>
        </w:rPr>
        <w:t>3</w:t>
      </w:r>
      <w:r>
        <w:rPr>
          <w:rFonts w:hAnsi="宋体" w:hint="eastAsia"/>
          <w:szCs w:val="21"/>
        </w:rPr>
        <w:t>H</w:t>
      </w:r>
      <w:r>
        <w:rPr>
          <w:rFonts w:hAnsi="宋体" w:hint="eastAsia"/>
          <w:szCs w:val="21"/>
          <w:vertAlign w:val="subscript"/>
        </w:rPr>
        <w:t>8</w:t>
      </w:r>
      <w:r>
        <w:rPr>
          <w:rFonts w:hAnsi="宋体" w:hint="eastAsia"/>
          <w:szCs w:val="21"/>
        </w:rPr>
        <w:t>0.34%、N</w:t>
      </w:r>
      <w:r>
        <w:rPr>
          <w:rFonts w:hAnsi="宋体" w:hint="eastAsia"/>
          <w:szCs w:val="21"/>
          <w:vertAlign w:val="subscript"/>
        </w:rPr>
        <w:t>2</w:t>
      </w:r>
      <w:r>
        <w:rPr>
          <w:rFonts w:hAnsi="宋体" w:hint="eastAsia"/>
          <w:szCs w:val="21"/>
        </w:rPr>
        <w:t>0.66%</w:t>
      </w:r>
      <w:r>
        <w:rPr>
          <w:szCs w:val="21"/>
        </w:rPr>
        <w:t>。无色、无味、无毒且无腐蚀性，其体积约为同量气态天然气体积的1/600，液化天然气的重量仅为同体积水的45%左右。液化</w:t>
      </w:r>
      <w:hyperlink r:id="rId10" w:tgtFrame="_blank" w:history="1">
        <w:r>
          <w:rPr>
            <w:szCs w:val="21"/>
          </w:rPr>
          <w:t>天然气</w:t>
        </w:r>
      </w:hyperlink>
      <w:r>
        <w:rPr>
          <w:szCs w:val="21"/>
        </w:rPr>
        <w:t>是天然气经压缩、冷却，在-160</w:t>
      </w:r>
      <w:r>
        <w:rPr>
          <w:rFonts w:hint="eastAsia"/>
          <w:szCs w:val="21"/>
        </w:rPr>
        <w:t>℃</w:t>
      </w:r>
      <w:r>
        <w:rPr>
          <w:szCs w:val="21"/>
        </w:rPr>
        <w:t>下液化而成。其主要成分为甲烷，用专用船或油罐车运输，使用时重新气化。</w:t>
      </w:r>
    </w:p>
    <w:p>
      <w:pPr>
        <w:spacing w:line="480" w:lineRule="exact"/>
        <w:ind w:firstLine="480" w:firstLineChars="200"/>
        <w:rPr>
          <w:rFonts w:hint="eastAsia"/>
          <w:sz w:val="24"/>
        </w:rPr>
      </w:pPr>
      <w:r>
        <w:rPr>
          <w:rFonts w:ascii="宋体" w:hAnsi="宋体" w:hint="eastAsia"/>
          <w:sz w:val="24"/>
        </w:rPr>
        <w:t>⑺</w:t>
      </w:r>
      <w:r>
        <w:rPr>
          <w:rFonts w:hint="eastAsia"/>
          <w:sz w:val="24"/>
        </w:rPr>
        <w:t>主要设备清单</w:t>
      </w:r>
    </w:p>
    <w:p>
      <w:pPr>
        <w:spacing w:line="440" w:lineRule="exact"/>
        <w:ind w:firstLine="480" w:firstLineChars="200"/>
        <w:rPr>
          <w:rFonts w:hAnsi="宋体" w:hint="eastAsia"/>
          <w:sz w:val="24"/>
        </w:rPr>
      </w:pPr>
      <w:r>
        <w:rPr>
          <w:rFonts w:hAnsi="宋体"/>
          <w:sz w:val="24"/>
        </w:rPr>
        <w:t>项目主要设备清单情况见表</w:t>
      </w:r>
      <w:r>
        <w:rPr>
          <w:rFonts w:hint="eastAsia"/>
          <w:sz w:val="24"/>
        </w:rPr>
        <w:t>3</w:t>
      </w:r>
      <w:r>
        <w:rPr>
          <w:sz w:val="24"/>
        </w:rPr>
        <w:t>-</w:t>
      </w:r>
      <w:r>
        <w:rPr>
          <w:rFonts w:hint="eastAsia"/>
          <w:sz w:val="24"/>
        </w:rPr>
        <w:t>3</w:t>
      </w:r>
      <w:r>
        <w:rPr>
          <w:rFonts w:hAnsi="宋体"/>
          <w:sz w:val="24"/>
        </w:rPr>
        <w:t>。</w:t>
      </w:r>
    </w:p>
    <w:p>
      <w:pPr>
        <w:spacing w:line="440" w:lineRule="exact"/>
        <w:jc w:val="center"/>
        <w:rPr>
          <w:sz w:val="24"/>
        </w:rPr>
      </w:pPr>
      <w:bookmarkStart w:id="17" w:name="_Toc222624508"/>
      <w:r>
        <w:rPr>
          <w:rFonts w:hAnsi="宋体"/>
          <w:sz w:val="24"/>
        </w:rPr>
        <w:t>表</w:t>
      </w:r>
      <w:r>
        <w:rPr>
          <w:rFonts w:hint="eastAsia"/>
          <w:sz w:val="24"/>
        </w:rPr>
        <w:t>3</w:t>
      </w:r>
      <w:r>
        <w:rPr>
          <w:sz w:val="24"/>
        </w:rPr>
        <w:t>-</w:t>
      </w:r>
      <w:r>
        <w:rPr>
          <w:rFonts w:hint="eastAsia"/>
          <w:sz w:val="24"/>
        </w:rPr>
        <w:t>3</w:t>
      </w:r>
      <w:r>
        <w:rPr>
          <w:sz w:val="24"/>
        </w:rPr>
        <w:t xml:space="preserve">    </w:t>
      </w:r>
      <w:r>
        <w:rPr>
          <w:rFonts w:hAnsi="宋体"/>
          <w:sz w:val="24"/>
        </w:rPr>
        <w:t>项目主要设备清单</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6"/>
        <w:gridCol w:w="2355"/>
        <w:gridCol w:w="1395"/>
        <w:gridCol w:w="1265"/>
        <w:gridCol w:w="2091"/>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4"/>
          <w:jc w:val="center"/>
        </w:trPr>
        <w:tc>
          <w:tcPr>
            <w:tcW w:w="1286" w:type="dxa"/>
            <w:vAlign w:val="center"/>
          </w:tcPr>
          <w:p>
            <w:pPr>
              <w:spacing w:line="360" w:lineRule="exact"/>
              <w:jc w:val="center"/>
              <w:rPr>
                <w:szCs w:val="21"/>
              </w:rPr>
            </w:pPr>
            <w:r>
              <w:rPr>
                <w:rFonts w:hAnsi="宋体"/>
                <w:szCs w:val="21"/>
              </w:rPr>
              <w:t>序号</w:t>
            </w:r>
          </w:p>
        </w:tc>
        <w:tc>
          <w:tcPr>
            <w:tcW w:w="2355" w:type="dxa"/>
            <w:vAlign w:val="center"/>
          </w:tcPr>
          <w:p>
            <w:pPr>
              <w:spacing w:line="360" w:lineRule="exact"/>
              <w:jc w:val="center"/>
              <w:rPr>
                <w:szCs w:val="21"/>
              </w:rPr>
            </w:pPr>
            <w:r>
              <w:rPr>
                <w:rFonts w:hAnsi="宋体"/>
                <w:szCs w:val="21"/>
              </w:rPr>
              <w:t>设备名称</w:t>
            </w:r>
          </w:p>
        </w:tc>
        <w:tc>
          <w:tcPr>
            <w:tcW w:w="1395" w:type="dxa"/>
            <w:vAlign w:val="center"/>
          </w:tcPr>
          <w:p>
            <w:pPr>
              <w:spacing w:line="360" w:lineRule="exact"/>
              <w:jc w:val="center"/>
              <w:rPr>
                <w:rFonts w:hint="eastAsia"/>
                <w:szCs w:val="21"/>
              </w:rPr>
            </w:pPr>
            <w:r>
              <w:rPr>
                <w:rFonts w:hint="eastAsia"/>
                <w:szCs w:val="21"/>
              </w:rPr>
              <w:t>规格</w:t>
            </w:r>
          </w:p>
        </w:tc>
        <w:tc>
          <w:tcPr>
            <w:tcW w:w="1265" w:type="dxa"/>
            <w:vAlign w:val="center"/>
          </w:tcPr>
          <w:p>
            <w:pPr>
              <w:spacing w:line="360" w:lineRule="exact"/>
              <w:jc w:val="center"/>
              <w:rPr>
                <w:rFonts w:hint="eastAsia"/>
                <w:szCs w:val="21"/>
              </w:rPr>
            </w:pPr>
            <w:r>
              <w:rPr>
                <w:rFonts w:hAnsi="宋体" w:hint="eastAsia"/>
                <w:szCs w:val="21"/>
              </w:rPr>
              <w:t>单位</w:t>
            </w:r>
          </w:p>
        </w:tc>
        <w:tc>
          <w:tcPr>
            <w:tcW w:w="2091" w:type="dxa"/>
            <w:vAlign w:val="center"/>
          </w:tcPr>
          <w:p>
            <w:pPr>
              <w:spacing w:line="360" w:lineRule="exact"/>
              <w:jc w:val="center"/>
              <w:rPr>
                <w:szCs w:val="21"/>
              </w:rPr>
            </w:pPr>
            <w:r>
              <w:rPr>
                <w:rFonts w:hAnsi="宋体"/>
                <w:szCs w:val="21"/>
              </w:rPr>
              <w:t>数量</w:t>
            </w:r>
          </w:p>
        </w:tc>
      </w:tr>
      <w:tr>
        <w:tblPrEx>
          <w:jc w:val="center"/>
          <w:tblLayout w:type="fixed"/>
          <w:tblCellMar>
            <w:top w:w="0" w:type="dxa"/>
            <w:left w:w="108" w:type="dxa"/>
            <w:bottom w:w="0" w:type="dxa"/>
            <w:right w:w="108" w:type="dxa"/>
          </w:tblCellMar>
          <w:tblLook w:val="0000"/>
        </w:tblPrEx>
        <w:trPr>
          <w:trHeight w:val="284"/>
          <w:jc w:val="center"/>
        </w:trPr>
        <w:tc>
          <w:tcPr>
            <w:tcW w:w="1286" w:type="dxa"/>
            <w:vAlign w:val="center"/>
          </w:tcPr>
          <w:p>
            <w:pPr>
              <w:spacing w:line="360" w:lineRule="exact"/>
              <w:jc w:val="center"/>
              <w:rPr>
                <w:szCs w:val="21"/>
              </w:rPr>
            </w:pPr>
            <w:r>
              <w:rPr>
                <w:szCs w:val="21"/>
              </w:rPr>
              <w:t>1</w:t>
            </w:r>
          </w:p>
        </w:tc>
        <w:tc>
          <w:tcPr>
            <w:tcW w:w="2355" w:type="dxa"/>
            <w:vAlign w:val="center"/>
          </w:tcPr>
          <w:p>
            <w:pPr>
              <w:widowControl/>
              <w:jc w:val="center"/>
              <w:rPr>
                <w:rFonts w:ascii="宋体" w:hAnsi="宋体" w:cs="宋体"/>
                <w:kern w:val="0"/>
                <w:szCs w:val="21"/>
              </w:rPr>
            </w:pPr>
            <w:r>
              <w:rPr>
                <w:rFonts w:ascii="宋体" w:hAnsi="宋体" w:cs="宋体" w:hint="eastAsia"/>
                <w:kern w:val="0"/>
                <w:szCs w:val="21"/>
              </w:rPr>
              <w:t>储油罐</w:t>
            </w:r>
          </w:p>
        </w:tc>
        <w:tc>
          <w:tcPr>
            <w:tcW w:w="1395" w:type="dxa"/>
            <w:vAlign w:val="center"/>
          </w:tcPr>
          <w:p>
            <w:pPr>
              <w:widowControl/>
              <w:jc w:val="center"/>
              <w:rPr>
                <w:rFonts w:hint="eastAsia"/>
                <w:kern w:val="0"/>
                <w:szCs w:val="21"/>
              </w:rPr>
            </w:pPr>
            <w:r>
              <w:rPr>
                <w:rFonts w:hint="eastAsia"/>
                <w:kern w:val="0"/>
                <w:szCs w:val="21"/>
              </w:rPr>
              <w:t>30</w:t>
            </w:r>
            <w:r>
              <w:rPr>
                <w:kern w:val="0"/>
                <w:szCs w:val="21"/>
              </w:rPr>
              <w:t>m</w:t>
            </w:r>
            <w:r>
              <w:rPr>
                <w:rFonts w:hint="eastAsia"/>
                <w:kern w:val="0"/>
                <w:szCs w:val="21"/>
                <w:vertAlign w:val="superscript"/>
              </w:rPr>
              <w:t>3</w:t>
            </w:r>
          </w:p>
        </w:tc>
        <w:tc>
          <w:tcPr>
            <w:tcW w:w="1265" w:type="dxa"/>
            <w:vAlign w:val="center"/>
          </w:tcPr>
          <w:p>
            <w:pPr>
              <w:jc w:val="center"/>
              <w:rPr>
                <w:rFonts w:hint="eastAsia"/>
                <w:kern w:val="0"/>
                <w:szCs w:val="21"/>
              </w:rPr>
            </w:pPr>
            <w:r>
              <w:rPr>
                <w:rFonts w:hAnsi="宋体" w:hint="eastAsia"/>
                <w:kern w:val="0"/>
                <w:szCs w:val="21"/>
              </w:rPr>
              <w:t>只</w:t>
            </w:r>
          </w:p>
        </w:tc>
        <w:tc>
          <w:tcPr>
            <w:tcW w:w="2091" w:type="dxa"/>
            <w:vAlign w:val="center"/>
          </w:tcPr>
          <w:p>
            <w:pPr>
              <w:widowControl/>
              <w:jc w:val="center"/>
              <w:rPr>
                <w:rFonts w:hint="eastAsia"/>
                <w:kern w:val="0"/>
                <w:szCs w:val="21"/>
              </w:rPr>
            </w:pPr>
            <w:r>
              <w:rPr>
                <w:rFonts w:hint="eastAsia"/>
                <w:kern w:val="0"/>
                <w:szCs w:val="21"/>
              </w:rPr>
              <w:t>4</w:t>
            </w:r>
          </w:p>
        </w:tc>
      </w:tr>
      <w:tr>
        <w:tblPrEx>
          <w:jc w:val="center"/>
          <w:tblLayout w:type="fixed"/>
          <w:tblCellMar>
            <w:top w:w="0" w:type="dxa"/>
            <w:left w:w="108" w:type="dxa"/>
            <w:bottom w:w="0" w:type="dxa"/>
            <w:right w:w="108" w:type="dxa"/>
          </w:tblCellMar>
          <w:tblLook w:val="0000"/>
        </w:tblPrEx>
        <w:trPr>
          <w:trHeight w:val="284"/>
          <w:jc w:val="center"/>
        </w:trPr>
        <w:tc>
          <w:tcPr>
            <w:tcW w:w="1286" w:type="dxa"/>
            <w:vAlign w:val="center"/>
          </w:tcPr>
          <w:p>
            <w:pPr>
              <w:spacing w:line="360" w:lineRule="exact"/>
              <w:jc w:val="center"/>
              <w:rPr>
                <w:szCs w:val="21"/>
              </w:rPr>
            </w:pPr>
            <w:r>
              <w:rPr>
                <w:szCs w:val="21"/>
              </w:rPr>
              <w:t>2</w:t>
            </w:r>
          </w:p>
        </w:tc>
        <w:tc>
          <w:tcPr>
            <w:tcW w:w="2355" w:type="dxa"/>
            <w:vAlign w:val="center"/>
          </w:tcPr>
          <w:p>
            <w:pPr>
              <w:widowControl/>
              <w:jc w:val="center"/>
              <w:rPr>
                <w:rFonts w:ascii="宋体" w:hAnsi="宋体" w:cs="宋体"/>
                <w:kern w:val="0"/>
                <w:szCs w:val="21"/>
              </w:rPr>
            </w:pPr>
            <w:r>
              <w:rPr>
                <w:rFonts w:ascii="宋体" w:hAnsi="宋体" w:cs="宋体" w:hint="eastAsia"/>
                <w:kern w:val="0"/>
                <w:szCs w:val="21"/>
              </w:rPr>
              <w:t>储气罐</w:t>
            </w:r>
          </w:p>
        </w:tc>
        <w:tc>
          <w:tcPr>
            <w:tcW w:w="1395" w:type="dxa"/>
            <w:vAlign w:val="center"/>
          </w:tcPr>
          <w:p>
            <w:pPr>
              <w:widowControl/>
              <w:jc w:val="center"/>
              <w:rPr>
                <w:rFonts w:hint="eastAsia"/>
                <w:kern w:val="0"/>
                <w:szCs w:val="21"/>
              </w:rPr>
            </w:pPr>
            <w:r>
              <w:rPr>
                <w:rFonts w:hint="eastAsia"/>
                <w:kern w:val="0"/>
                <w:szCs w:val="21"/>
              </w:rPr>
              <w:t>60</w:t>
            </w:r>
            <w:r>
              <w:rPr>
                <w:kern w:val="0"/>
                <w:szCs w:val="21"/>
              </w:rPr>
              <w:t>m</w:t>
            </w:r>
            <w:r>
              <w:rPr>
                <w:rFonts w:hint="eastAsia"/>
                <w:kern w:val="0"/>
                <w:szCs w:val="21"/>
                <w:vertAlign w:val="superscript"/>
              </w:rPr>
              <w:t>3</w:t>
            </w:r>
          </w:p>
        </w:tc>
        <w:tc>
          <w:tcPr>
            <w:tcW w:w="1265" w:type="dxa"/>
            <w:vAlign w:val="center"/>
          </w:tcPr>
          <w:p>
            <w:pPr>
              <w:jc w:val="center"/>
              <w:rPr>
                <w:rFonts w:hint="eastAsia"/>
                <w:kern w:val="0"/>
                <w:szCs w:val="21"/>
              </w:rPr>
            </w:pPr>
            <w:r>
              <w:rPr>
                <w:rFonts w:hint="eastAsia"/>
                <w:kern w:val="0"/>
                <w:szCs w:val="21"/>
              </w:rPr>
              <w:t>只</w:t>
            </w:r>
          </w:p>
        </w:tc>
        <w:tc>
          <w:tcPr>
            <w:tcW w:w="2091" w:type="dxa"/>
            <w:vAlign w:val="center"/>
          </w:tcPr>
          <w:p>
            <w:pPr>
              <w:widowControl/>
              <w:jc w:val="center"/>
              <w:rPr>
                <w:rFonts w:hint="eastAsia"/>
                <w:kern w:val="0"/>
                <w:szCs w:val="21"/>
              </w:rPr>
            </w:pPr>
            <w:r>
              <w:rPr>
                <w:rFonts w:hint="eastAsia"/>
                <w:kern w:val="0"/>
                <w:szCs w:val="21"/>
              </w:rPr>
              <w:t>1</w:t>
            </w:r>
          </w:p>
        </w:tc>
      </w:tr>
      <w:tr>
        <w:tblPrEx>
          <w:jc w:val="center"/>
          <w:tblLayout w:type="fixed"/>
          <w:tblCellMar>
            <w:top w:w="0" w:type="dxa"/>
            <w:left w:w="108" w:type="dxa"/>
            <w:bottom w:w="0" w:type="dxa"/>
            <w:right w:w="108" w:type="dxa"/>
          </w:tblCellMar>
          <w:tblLook w:val="0000"/>
        </w:tblPrEx>
        <w:trPr>
          <w:trHeight w:val="284"/>
          <w:jc w:val="center"/>
        </w:trPr>
        <w:tc>
          <w:tcPr>
            <w:tcW w:w="1286" w:type="dxa"/>
            <w:vAlign w:val="center"/>
          </w:tcPr>
          <w:p>
            <w:pPr>
              <w:spacing w:line="360" w:lineRule="exact"/>
              <w:jc w:val="center"/>
              <w:rPr>
                <w:szCs w:val="21"/>
              </w:rPr>
            </w:pPr>
            <w:r>
              <w:rPr>
                <w:szCs w:val="21"/>
              </w:rPr>
              <w:t>3</w:t>
            </w:r>
          </w:p>
        </w:tc>
        <w:tc>
          <w:tcPr>
            <w:tcW w:w="2355" w:type="dxa"/>
            <w:vAlign w:val="center"/>
          </w:tcPr>
          <w:p>
            <w:pPr>
              <w:widowControl/>
              <w:jc w:val="center"/>
              <w:rPr>
                <w:rFonts w:ascii="宋体" w:hAnsi="宋体" w:cs="宋体"/>
                <w:kern w:val="0"/>
                <w:szCs w:val="21"/>
              </w:rPr>
            </w:pPr>
            <w:r>
              <w:rPr>
                <w:rFonts w:ascii="宋体" w:hAnsi="宋体" w:cs="宋体" w:hint="eastAsia"/>
                <w:kern w:val="0"/>
                <w:szCs w:val="21"/>
              </w:rPr>
              <w:t>空气压缩机</w:t>
            </w:r>
          </w:p>
        </w:tc>
        <w:tc>
          <w:tcPr>
            <w:tcW w:w="1395" w:type="dxa"/>
            <w:vAlign w:val="center"/>
          </w:tcPr>
          <w:p>
            <w:pPr>
              <w:widowControl/>
              <w:jc w:val="center"/>
              <w:rPr>
                <w:rFonts w:hint="eastAsia"/>
                <w:kern w:val="0"/>
                <w:szCs w:val="21"/>
              </w:rPr>
            </w:pPr>
            <w:r>
              <w:rPr>
                <w:rFonts w:hint="eastAsia"/>
                <w:kern w:val="0"/>
                <w:szCs w:val="21"/>
              </w:rPr>
              <w:t>/</w:t>
            </w:r>
          </w:p>
        </w:tc>
        <w:tc>
          <w:tcPr>
            <w:tcW w:w="1265" w:type="dxa"/>
            <w:vAlign w:val="center"/>
          </w:tcPr>
          <w:p>
            <w:pPr>
              <w:jc w:val="center"/>
              <w:rPr>
                <w:kern w:val="0"/>
                <w:szCs w:val="21"/>
              </w:rPr>
            </w:pPr>
            <w:r>
              <w:rPr>
                <w:rFonts w:hAnsi="宋体"/>
                <w:kern w:val="0"/>
                <w:szCs w:val="21"/>
              </w:rPr>
              <w:t>台</w:t>
            </w:r>
          </w:p>
        </w:tc>
        <w:tc>
          <w:tcPr>
            <w:tcW w:w="2091" w:type="dxa"/>
            <w:vAlign w:val="center"/>
          </w:tcPr>
          <w:p>
            <w:pPr>
              <w:widowControl/>
              <w:jc w:val="center"/>
              <w:rPr>
                <w:kern w:val="0"/>
                <w:szCs w:val="21"/>
              </w:rPr>
            </w:pPr>
            <w:r>
              <w:rPr>
                <w:kern w:val="0"/>
                <w:szCs w:val="21"/>
              </w:rPr>
              <w:t>1</w:t>
            </w:r>
          </w:p>
        </w:tc>
      </w:tr>
      <w:tr>
        <w:tblPrEx>
          <w:jc w:val="center"/>
          <w:tblLayout w:type="fixed"/>
          <w:tblCellMar>
            <w:top w:w="0" w:type="dxa"/>
            <w:left w:w="108" w:type="dxa"/>
            <w:bottom w:w="0" w:type="dxa"/>
            <w:right w:w="108" w:type="dxa"/>
          </w:tblCellMar>
          <w:tblLook w:val="0000"/>
        </w:tblPrEx>
        <w:trPr>
          <w:trHeight w:val="284"/>
          <w:jc w:val="center"/>
        </w:trPr>
        <w:tc>
          <w:tcPr>
            <w:tcW w:w="1286" w:type="dxa"/>
            <w:vAlign w:val="center"/>
          </w:tcPr>
          <w:p>
            <w:pPr>
              <w:spacing w:line="360" w:lineRule="exact"/>
              <w:jc w:val="center"/>
              <w:rPr>
                <w:szCs w:val="21"/>
              </w:rPr>
            </w:pPr>
            <w:r>
              <w:rPr>
                <w:szCs w:val="21"/>
              </w:rPr>
              <w:t>4</w:t>
            </w:r>
          </w:p>
        </w:tc>
        <w:tc>
          <w:tcPr>
            <w:tcW w:w="2355" w:type="dxa"/>
            <w:vAlign w:val="center"/>
          </w:tcPr>
          <w:p>
            <w:pPr>
              <w:widowControl/>
              <w:jc w:val="center"/>
              <w:rPr>
                <w:rFonts w:ascii="宋体" w:hAnsi="宋体" w:cs="宋体"/>
                <w:kern w:val="0"/>
                <w:szCs w:val="21"/>
              </w:rPr>
            </w:pPr>
            <w:r>
              <w:rPr>
                <w:rFonts w:ascii="宋体" w:hAnsi="宋体" w:cs="宋体" w:hint="eastAsia"/>
                <w:kern w:val="0"/>
                <w:szCs w:val="21"/>
              </w:rPr>
              <w:t>柴油二</w:t>
            </w:r>
            <w:r>
              <w:rPr>
                <w:rFonts w:ascii="宋体" w:hAnsi="宋体" w:cs="宋体"/>
                <w:kern w:val="0"/>
                <w:szCs w:val="21"/>
              </w:rPr>
              <w:t>级油气回收装置</w:t>
            </w:r>
          </w:p>
        </w:tc>
        <w:tc>
          <w:tcPr>
            <w:tcW w:w="1395" w:type="dxa"/>
            <w:vAlign w:val="center"/>
          </w:tcPr>
          <w:p>
            <w:pPr>
              <w:widowControl/>
              <w:jc w:val="center"/>
              <w:rPr>
                <w:rFonts w:hint="eastAsia"/>
                <w:kern w:val="0"/>
                <w:szCs w:val="21"/>
              </w:rPr>
            </w:pPr>
            <w:r>
              <w:rPr>
                <w:rFonts w:hint="eastAsia"/>
                <w:kern w:val="0"/>
                <w:szCs w:val="21"/>
              </w:rPr>
              <w:t>/</w:t>
            </w:r>
          </w:p>
        </w:tc>
        <w:tc>
          <w:tcPr>
            <w:tcW w:w="1265" w:type="dxa"/>
            <w:vAlign w:val="center"/>
          </w:tcPr>
          <w:p>
            <w:pPr>
              <w:jc w:val="center"/>
              <w:rPr>
                <w:rFonts w:hint="eastAsia"/>
                <w:kern w:val="0"/>
                <w:szCs w:val="21"/>
              </w:rPr>
            </w:pPr>
            <w:r>
              <w:rPr>
                <w:rFonts w:hint="eastAsia"/>
                <w:kern w:val="0"/>
                <w:szCs w:val="21"/>
              </w:rPr>
              <w:t>套</w:t>
            </w:r>
          </w:p>
        </w:tc>
        <w:tc>
          <w:tcPr>
            <w:tcW w:w="2091" w:type="dxa"/>
            <w:vAlign w:val="center"/>
          </w:tcPr>
          <w:p>
            <w:pPr>
              <w:widowControl/>
              <w:jc w:val="center"/>
              <w:rPr>
                <w:rFonts w:hint="eastAsia"/>
                <w:kern w:val="0"/>
                <w:szCs w:val="21"/>
              </w:rPr>
            </w:pPr>
            <w:r>
              <w:rPr>
                <w:rFonts w:hint="eastAsia"/>
                <w:kern w:val="0"/>
                <w:szCs w:val="21"/>
              </w:rPr>
              <w:t>1</w:t>
            </w:r>
          </w:p>
        </w:tc>
      </w:tr>
      <w:bookmarkEnd w:id="17"/>
    </w:tbl>
    <w:p>
      <w:pPr>
        <w:spacing w:line="360" w:lineRule="auto"/>
        <w:ind w:firstLine="420" w:firstLineChars="200"/>
        <w:rPr>
          <w:rFonts w:hint="eastAsia"/>
        </w:rPr>
      </w:pPr>
      <w:r>
        <w:rPr>
          <w:rFonts w:hint="eastAsia"/>
        </w:rPr>
        <w:t>油气回收系统组成：加油站油气回收系统由卸油油气回收系统、柴油密闭储存、加油油气回收系统、在线监测系统和油气排放处理装置组成。该系统的作用是将加油站在卸油、储油和加油过程中产生的油气，通过密闭收集、储存和送入油罐罐内，运送到储罐集中回收变成柴油。</w:t>
      </w:r>
    </w:p>
    <w:p>
      <w:pPr>
        <w:spacing w:line="360" w:lineRule="auto"/>
        <w:ind w:firstLine="420" w:firstLineChars="200"/>
        <w:rPr>
          <w:rFonts w:ascii="宋体" w:hAnsi="宋体" w:hint="eastAsia"/>
        </w:rPr>
      </w:pPr>
      <w:r>
        <w:rPr>
          <w:rFonts w:hint="eastAsia"/>
        </w:rPr>
        <w:t>油气回收系统的工作原理：当运油车辆向加油站卸油时，将地下储油罐排出的油气</w:t>
      </w:r>
      <w:r>
        <w:t>通过管线接到该油气回收系统并进行处理，直接分离出</w:t>
      </w:r>
      <w:r>
        <w:rPr>
          <w:rFonts w:hint="eastAsia"/>
        </w:rPr>
        <w:t>柴</w:t>
      </w:r>
      <w:r>
        <w:t>油经管线注</w:t>
      </w:r>
      <w:r>
        <w:rPr>
          <w:rFonts w:hint="eastAsia"/>
        </w:rPr>
        <w:t>入地下储油罐中，</w:t>
      </w:r>
      <w:r>
        <w:t>防止地下储油</w:t>
      </w:r>
      <w:r>
        <w:rPr>
          <w:rFonts w:hint="eastAsia"/>
        </w:rPr>
        <w:t>罐</w:t>
      </w:r>
      <w:r>
        <w:t>通气管中排出的油气排放到大气中造成污染。</w:t>
      </w:r>
      <w:r>
        <w:rPr>
          <w:rFonts w:hint="eastAsia"/>
        </w:rPr>
        <w:t>加油点加油人员</w:t>
      </w:r>
      <w:r>
        <w:t>为</w:t>
      </w:r>
      <w:r>
        <w:rPr>
          <w:rFonts w:hint="eastAsia"/>
        </w:rPr>
        <w:t>车辆</w:t>
      </w:r>
      <w:r>
        <w:t>加油时，使用具有油气回收构造的加油枪，可</w:t>
      </w:r>
      <w:r>
        <w:rPr>
          <w:rFonts w:hint="eastAsia"/>
        </w:rPr>
        <w:t>收集</w:t>
      </w:r>
      <w:r>
        <w:t>正在加油</w:t>
      </w:r>
      <w:r>
        <w:rPr>
          <w:rFonts w:hint="eastAsia"/>
        </w:rPr>
        <w:t>车辆</w:t>
      </w:r>
      <w:r>
        <w:t>的油箱</w:t>
      </w:r>
      <w:r>
        <w:rPr>
          <w:rFonts w:hint="eastAsia"/>
        </w:rPr>
        <w:t>所</w:t>
      </w:r>
      <w:r>
        <w:t>排出的油气，</w:t>
      </w:r>
      <w:r>
        <w:rPr>
          <w:rFonts w:hint="eastAsia"/>
        </w:rPr>
        <w:t>油气</w:t>
      </w:r>
      <w:r>
        <w:t>经加油枪及适当的管线连接到该油气回收系统中进行处理，分离出的</w:t>
      </w:r>
      <w:r>
        <w:rPr>
          <w:rFonts w:hint="eastAsia"/>
        </w:rPr>
        <w:t>柴</w:t>
      </w:r>
      <w:r>
        <w:t>油经管线注入地下储油</w:t>
      </w:r>
      <w:r>
        <w:rPr>
          <w:rFonts w:hint="eastAsia"/>
        </w:rPr>
        <w:t>罐</w:t>
      </w:r>
      <w:r>
        <w:t>中。</w:t>
      </w:r>
      <w:r>
        <w:rPr>
          <w:rFonts w:hint="eastAsia"/>
        </w:rPr>
        <w:t>该油气回收系统的回收效率可达95％以上，排放口距地平面高度不低于4m。</w:t>
      </w:r>
    </w:p>
    <w:p>
      <w:pPr>
        <w:spacing w:line="480" w:lineRule="exact"/>
        <w:ind w:firstLine="480" w:firstLineChars="200"/>
        <w:rPr>
          <w:rFonts w:hint="eastAsia"/>
          <w:sz w:val="24"/>
        </w:rPr>
        <w:sectPr>
          <w:headerReference w:type="default" r:id="rId11"/>
          <w:footerReference w:type="default" r:id="rId12"/>
          <w:type w:val="nextPage"/>
          <w:pgSz w:w="11906" w:h="16838"/>
          <w:pgMar w:top="1440" w:right="1616" w:bottom="1440" w:left="1644" w:header="851" w:footer="992" w:gutter="0"/>
          <w:pgNumType w:start="4"/>
          <w:cols w:space="708"/>
          <w:titlePg w:val="0"/>
          <w:docGrid w:type="lines" w:linePitch="312"/>
        </w:sectPr>
      </w:pPr>
      <w:r>
        <w:rPr>
          <w:rFonts w:ascii="宋体" w:hAnsi="宋体" w:hint="eastAsia"/>
          <w:sz w:val="24"/>
        </w:rPr>
        <w:t>⑻</w:t>
      </w:r>
      <w:r>
        <w:rPr>
          <w:rFonts w:hint="eastAsia"/>
          <w:sz w:val="24"/>
        </w:rPr>
        <w:t>公用工程</w:t>
      </w:r>
    </w:p>
    <w:p>
      <w:pPr>
        <w:spacing w:line="480" w:lineRule="exact"/>
        <w:ind w:firstLine="480" w:firstLineChars="200"/>
        <w:rPr>
          <w:rFonts w:hint="eastAsia"/>
          <w:sz w:val="24"/>
        </w:rPr>
      </w:pPr>
      <w:r>
        <w:rPr>
          <w:rFonts w:hint="eastAsia"/>
          <w:sz w:val="24"/>
        </w:rPr>
        <w:t>①</w:t>
      </w:r>
      <w:r>
        <w:rPr>
          <w:rFonts w:hint="eastAsia"/>
          <w:sz w:val="24"/>
        </w:rPr>
        <w:t>给排水</w:t>
      </w:r>
    </w:p>
    <w:p>
      <w:pPr>
        <w:spacing w:line="480" w:lineRule="exact"/>
        <w:ind w:firstLine="480"/>
        <w:rPr>
          <w:rFonts w:hint="eastAsia"/>
          <w:sz w:val="24"/>
        </w:rPr>
      </w:pPr>
      <w:r>
        <w:rPr>
          <w:rFonts w:hint="eastAsia"/>
          <w:sz w:val="24"/>
        </w:rPr>
        <w:t>项目采用城市自来水为供水水源，从基地西侧中兴南路及北侧印山路的市政给水管上接两根DN200给水管，供应基地内各建筑的生活及消防室内外用水。</w:t>
      </w:r>
    </w:p>
    <w:p>
      <w:pPr>
        <w:spacing w:line="480" w:lineRule="exact"/>
        <w:ind w:firstLine="480" w:firstLineChars="200"/>
        <w:rPr>
          <w:rFonts w:hint="eastAsia"/>
          <w:sz w:val="24"/>
        </w:rPr>
      </w:pPr>
      <w:r>
        <w:rPr>
          <w:rFonts w:hint="eastAsia"/>
          <w:sz w:val="24"/>
        </w:rPr>
        <w:t>项目排水采用雨污分流制。雨水经雨水管网收集后排入市政雨水管网；粪便污水经化粪池处理、食堂含油污水经隔油池处理后与其他生活污水一起排入中兴南路市政污水管网，送绍兴污水处理厂处理。</w:t>
      </w:r>
    </w:p>
    <w:p>
      <w:pPr>
        <w:spacing w:line="480" w:lineRule="exact"/>
        <w:ind w:firstLine="480" w:firstLineChars="200"/>
        <w:rPr>
          <w:rFonts w:hint="eastAsia"/>
          <w:sz w:val="24"/>
        </w:rPr>
      </w:pPr>
      <w:r>
        <w:rPr>
          <w:rFonts w:hint="eastAsia"/>
          <w:sz w:val="24"/>
        </w:rPr>
        <w:t>②</w:t>
      </w:r>
      <w:r>
        <w:rPr>
          <w:rFonts w:hint="eastAsia"/>
          <w:sz w:val="24"/>
        </w:rPr>
        <w:t>供电</w:t>
      </w:r>
    </w:p>
    <w:p>
      <w:pPr>
        <w:spacing w:line="480" w:lineRule="exact"/>
        <w:ind w:firstLine="480" w:firstLineChars="200"/>
        <w:rPr>
          <w:rFonts w:hint="eastAsia"/>
          <w:sz w:val="24"/>
        </w:rPr>
      </w:pPr>
      <w:r>
        <w:rPr>
          <w:rFonts w:hint="eastAsia"/>
          <w:sz w:val="24"/>
        </w:rPr>
        <w:t>项目供电由市政电缆供应。项目附设变电所一座。</w:t>
      </w:r>
    </w:p>
    <w:p>
      <w:pPr>
        <w:spacing w:line="480" w:lineRule="exact"/>
        <w:ind w:firstLine="480" w:firstLineChars="200"/>
        <w:rPr>
          <w:rFonts w:hint="eastAsia"/>
          <w:sz w:val="24"/>
        </w:rPr>
      </w:pPr>
      <w:r>
        <w:rPr>
          <w:rFonts w:hint="eastAsia"/>
          <w:sz w:val="24"/>
        </w:rPr>
        <w:t>③</w:t>
      </w:r>
      <w:r>
        <w:rPr>
          <w:rFonts w:hint="eastAsia"/>
          <w:sz w:val="24"/>
        </w:rPr>
        <w:t>防雷与接地</w:t>
      </w:r>
    </w:p>
    <w:p>
      <w:pPr>
        <w:spacing w:line="480" w:lineRule="exact"/>
        <w:ind w:firstLine="480" w:firstLineChars="200"/>
        <w:rPr>
          <w:rFonts w:hint="eastAsia"/>
          <w:sz w:val="24"/>
        </w:rPr>
      </w:pPr>
      <w:r>
        <w:rPr>
          <w:rFonts w:hint="eastAsia"/>
          <w:sz w:val="24"/>
        </w:rPr>
        <w:t>本工程按二类防雷设防，防雷接地，电器设备保护接地合用接地体，即利用基础桩基及承台内主钢筋相互焊接连通，形成一个环形接地极，要求接地电阻不大于1欧姆。</w:t>
      </w:r>
    </w:p>
    <w:p>
      <w:pPr>
        <w:spacing w:line="480" w:lineRule="exact"/>
        <w:ind w:firstLine="480" w:firstLineChars="200"/>
        <w:rPr>
          <w:rFonts w:hint="eastAsia"/>
          <w:sz w:val="24"/>
        </w:rPr>
      </w:pPr>
      <w:r>
        <w:rPr>
          <w:rFonts w:hint="eastAsia"/>
          <w:sz w:val="24"/>
        </w:rPr>
        <w:t>④</w:t>
      </w:r>
      <w:r>
        <w:rPr>
          <w:rFonts w:hint="eastAsia"/>
          <w:sz w:val="24"/>
        </w:rPr>
        <w:t>消防</w:t>
      </w:r>
    </w:p>
    <w:p>
      <w:pPr>
        <w:spacing w:line="480" w:lineRule="exact"/>
        <w:ind w:firstLine="480" w:firstLineChars="200"/>
        <w:rPr>
          <w:rFonts w:hint="eastAsia"/>
          <w:sz w:val="24"/>
        </w:rPr>
      </w:pPr>
      <w:r>
        <w:rPr>
          <w:rFonts w:hint="eastAsia"/>
          <w:sz w:val="24"/>
        </w:rPr>
        <w:t>消火栓系统：</w:t>
      </w:r>
    </w:p>
    <w:p>
      <w:pPr>
        <w:spacing w:line="480" w:lineRule="exact"/>
        <w:ind w:firstLine="480" w:firstLineChars="200"/>
        <w:rPr>
          <w:rFonts w:hint="eastAsia"/>
          <w:sz w:val="24"/>
        </w:rPr>
      </w:pPr>
      <w:r>
        <w:rPr>
          <w:rFonts w:hint="eastAsia"/>
          <w:sz w:val="24"/>
        </w:rPr>
        <w:t>消火栓流量：室内30L/S，室外30L/S，火灾延续时间2小时。</w:t>
      </w:r>
    </w:p>
    <w:p>
      <w:pPr>
        <w:spacing w:line="480" w:lineRule="exact"/>
        <w:ind w:firstLine="480" w:firstLineChars="200"/>
        <w:rPr>
          <w:rFonts w:hint="eastAsia"/>
          <w:sz w:val="24"/>
        </w:rPr>
      </w:pPr>
      <w:r>
        <w:rPr>
          <w:rFonts w:hint="eastAsia"/>
          <w:sz w:val="24"/>
        </w:rPr>
        <w:t>消火栓系统：采用水泵(2台，一用一备)、高位水箱、水泵接合器及环网组成的临时高压系统。</w:t>
      </w:r>
    </w:p>
    <w:p>
      <w:pPr>
        <w:spacing w:line="480" w:lineRule="exact"/>
        <w:ind w:firstLine="480" w:firstLineChars="200"/>
        <w:rPr>
          <w:rFonts w:hint="eastAsia"/>
          <w:sz w:val="24"/>
        </w:rPr>
      </w:pPr>
      <w:r>
        <w:rPr>
          <w:rFonts w:hint="eastAsia"/>
          <w:sz w:val="24"/>
        </w:rPr>
        <w:t>给水方式：消火栓水平、坚直成环，保证栓口压力小于0.5MPa。</w:t>
      </w:r>
    </w:p>
    <w:p>
      <w:pPr>
        <w:spacing w:line="480" w:lineRule="exact"/>
        <w:ind w:firstLine="480" w:firstLineChars="200"/>
        <w:rPr>
          <w:rFonts w:hint="eastAsia"/>
          <w:sz w:val="24"/>
        </w:rPr>
      </w:pPr>
      <w:r>
        <w:rPr>
          <w:rFonts w:hint="eastAsia"/>
          <w:sz w:val="24"/>
        </w:rPr>
        <w:t>贮水装置：消防水池存2个小时的室内消火栓用水量和1个小时的自动喷水用水量作为消防贮水，消防水池的总容积360m</w:t>
      </w:r>
      <w:r>
        <w:rPr>
          <w:rFonts w:hint="eastAsia"/>
          <w:sz w:val="24"/>
          <w:vertAlign w:val="superscript"/>
        </w:rPr>
        <w:t>3</w:t>
      </w:r>
      <w:r>
        <w:rPr>
          <w:rFonts w:hint="eastAsia"/>
          <w:sz w:val="24"/>
        </w:rPr>
        <w:t>。在屋顶设置屋顶水箱，存18吨消防贮水。</w:t>
      </w:r>
    </w:p>
    <w:p>
      <w:pPr>
        <w:spacing w:line="480" w:lineRule="exact"/>
        <w:ind w:firstLine="480" w:firstLineChars="200"/>
        <w:rPr>
          <w:rFonts w:hint="eastAsia"/>
          <w:sz w:val="24"/>
        </w:rPr>
      </w:pPr>
      <w:r>
        <w:rPr>
          <w:rFonts w:hint="eastAsia"/>
          <w:sz w:val="24"/>
        </w:rPr>
        <w:t>自动喷水灭火系统：</w:t>
      </w:r>
    </w:p>
    <w:p>
      <w:pPr>
        <w:spacing w:line="480" w:lineRule="exact"/>
        <w:ind w:firstLine="480" w:firstLineChars="200"/>
        <w:rPr>
          <w:rFonts w:hint="eastAsia"/>
          <w:sz w:val="24"/>
        </w:rPr>
      </w:pPr>
      <w:r>
        <w:rPr>
          <w:rFonts w:hint="eastAsia"/>
          <w:sz w:val="24"/>
        </w:rPr>
        <w:t>自动喷水灭火设备用水量：30L/S，火灾延续时间1小时。按中危险I级设计。</w:t>
      </w:r>
    </w:p>
    <w:p>
      <w:pPr>
        <w:spacing w:line="480" w:lineRule="exact"/>
        <w:ind w:firstLine="480" w:firstLineChars="200"/>
        <w:rPr>
          <w:rFonts w:hint="eastAsia"/>
          <w:sz w:val="24"/>
        </w:rPr>
      </w:pPr>
      <w:r>
        <w:rPr>
          <w:rFonts w:hint="eastAsia"/>
          <w:sz w:val="24"/>
        </w:rPr>
        <w:t>自动喷水水量和压力由地下水池贮水和水泵加压供给，湿式报警阀设于地下室，初期水量和压力由屋顶水箱及相应稳压设施供给。</w:t>
      </w:r>
    </w:p>
    <w:p>
      <w:pPr>
        <w:spacing w:line="480" w:lineRule="exact"/>
        <w:ind w:firstLine="480" w:firstLineChars="200"/>
        <w:rPr>
          <w:rFonts w:hint="eastAsia"/>
          <w:sz w:val="24"/>
        </w:rPr>
      </w:pPr>
      <w:r>
        <w:rPr>
          <w:rFonts w:hint="eastAsia"/>
          <w:sz w:val="24"/>
        </w:rPr>
        <w:t>灭火器：各层均按灭火器设置规范设置磷酸铵盐干粉灭火系统。按严重危险设置。</w:t>
      </w:r>
    </w:p>
    <w:p>
      <w:pPr>
        <w:spacing w:line="480" w:lineRule="exact"/>
        <w:ind w:firstLine="480" w:firstLineChars="200"/>
        <w:rPr>
          <w:rFonts w:hint="eastAsia"/>
          <w:sz w:val="24"/>
        </w:rPr>
      </w:pPr>
      <w:r>
        <w:rPr>
          <w:rFonts w:hint="eastAsia"/>
          <w:sz w:val="24"/>
        </w:rPr>
        <w:t>⑤</w:t>
      </w:r>
      <w:r>
        <w:rPr>
          <w:rFonts w:hint="eastAsia"/>
          <w:sz w:val="24"/>
        </w:rPr>
        <w:t>暖通</w:t>
      </w:r>
    </w:p>
    <w:p>
      <w:pPr>
        <w:spacing w:line="480" w:lineRule="exact"/>
        <w:ind w:firstLine="480" w:firstLineChars="200"/>
        <w:rPr>
          <w:rFonts w:hint="eastAsia"/>
          <w:sz w:val="24"/>
        </w:rPr>
        <w:sectPr>
          <w:headerReference w:type="default" r:id="rId13"/>
          <w:footerReference w:type="default" r:id="rId14"/>
          <w:type w:val="nextPage"/>
          <w:pgSz w:w="11906" w:h="16838"/>
          <w:pgMar w:top="1440" w:right="1616" w:bottom="1440" w:left="1644" w:header="851" w:footer="992" w:gutter="0"/>
          <w:pgNumType w:start="5"/>
          <w:cols w:space="708"/>
          <w:titlePg w:val="0"/>
          <w:docGrid w:type="lines" w:linePitch="312"/>
        </w:sectPr>
      </w:pPr>
    </w:p>
    <w:p>
      <w:pPr>
        <w:spacing w:line="480" w:lineRule="exact"/>
        <w:ind w:firstLine="480" w:firstLineChars="200"/>
        <w:rPr>
          <w:rFonts w:hint="eastAsia"/>
          <w:sz w:val="24"/>
        </w:rPr>
      </w:pPr>
      <w:r>
        <w:rPr>
          <w:rFonts w:hint="eastAsia"/>
          <w:sz w:val="24"/>
        </w:rPr>
        <w:t>对室内高大空间如候车大厅、售票大厅等场所采用一拖一风冷热泵分体风管空调机。对办公、综合楼等房间采用变制冷剂流量多联分体式空调系统(简称VRV空调系统)。上述空调系统均配新风系统，室外机均设置在屋顶。</w:t>
      </w:r>
    </w:p>
    <w:p>
      <w:pPr>
        <w:spacing w:line="480" w:lineRule="exact"/>
        <w:ind w:firstLine="480" w:firstLineChars="200"/>
        <w:rPr>
          <w:rFonts w:ascii="宋体" w:hAnsi="宋体" w:hint="eastAsia"/>
          <w:bCs/>
          <w:sz w:val="24"/>
        </w:rPr>
      </w:pPr>
      <w:r>
        <w:rPr>
          <w:rFonts w:ascii="宋体" w:hAnsi="宋体" w:hint="eastAsia"/>
          <w:bCs/>
          <w:sz w:val="24"/>
        </w:rPr>
        <w:t>各开水间、卫生间、机电设备用房等设机械通风系统；对人员众多处等场所另设机械排风系统进行通风换气。</w:t>
      </w:r>
    </w:p>
    <w:p>
      <w:pPr>
        <w:pStyle w:val="Heading2"/>
        <w:tabs>
          <w:tab w:val="left" w:pos="536"/>
        </w:tabs>
        <w:spacing w:line="380" w:lineRule="exact"/>
        <w:rPr>
          <w:rFonts w:ascii="Times New Roman" w:hint="eastAsia"/>
        </w:rPr>
      </w:pPr>
      <w:bookmarkStart w:id="18" w:name="_Toc320874315"/>
      <w:r>
        <w:rPr>
          <w:rFonts w:ascii="Times New Roman" w:hint="eastAsia"/>
        </w:rPr>
        <w:t>3</w:t>
      </w:r>
      <w:r>
        <w:rPr>
          <w:rFonts w:ascii="Times New Roman"/>
        </w:rPr>
        <w:t>.</w:t>
      </w:r>
      <w:r>
        <w:rPr>
          <w:rFonts w:ascii="Times New Roman" w:hint="eastAsia"/>
        </w:rPr>
        <w:t>2</w:t>
      </w:r>
      <w:bookmarkEnd w:id="16"/>
      <w:bookmarkEnd w:id="18"/>
      <w:r>
        <w:rPr>
          <w:rFonts w:ascii="Times New Roman" w:hint="eastAsia"/>
        </w:rPr>
        <w:t>营运期主要污染因素分析</w:t>
      </w:r>
    </w:p>
    <w:p>
      <w:pPr>
        <w:spacing w:line="500" w:lineRule="exact"/>
        <w:ind w:firstLine="480" w:firstLineChars="200"/>
        <w:rPr>
          <w:rFonts w:hint="eastAsia"/>
          <w:sz w:val="24"/>
        </w:rPr>
      </w:pPr>
      <w:bookmarkStart w:id="19" w:name="_Toc316047531"/>
      <w:r>
        <w:rPr>
          <w:rFonts w:hint="eastAsia"/>
          <w:sz w:val="24"/>
        </w:rPr>
        <w:t>绍</w:t>
      </w:r>
      <w:r>
        <w:rPr>
          <w:rFonts w:hint="eastAsia"/>
          <w:spacing w:val="-2"/>
          <w:sz w:val="24"/>
        </w:rPr>
        <w:t>兴汽车南站建设项目以售票厅、候车厅、办公楼、</w:t>
      </w:r>
      <w:r>
        <w:rPr>
          <w:spacing w:val="-2"/>
          <w:sz w:val="24"/>
        </w:rPr>
        <w:t>综合楼</w:t>
      </w:r>
      <w:r>
        <w:rPr>
          <w:rFonts w:hint="eastAsia"/>
          <w:spacing w:val="-2"/>
          <w:sz w:val="24"/>
        </w:rPr>
        <w:t>、维修点、加油(气)站(不对外服务)及停车场组成。项目综合楼主要用于司乘人员及办公人员的用餐和长途司乘人员的住宿；维修点主要用于车辆的例行检查、简单修理(只涉及换胎、补胎等简单维修，不包括喷漆等复杂维修)及车辆清洗。因此项目产生的主要污染物有生活废水、地下车库冲洗废水、天然气挥发废气、油气、汽车尾气、油烟废气、生活垃圾、废轮胎，以及车辆进出、空调外机和人群活动时的噪声。</w:t>
      </w:r>
    </w:p>
    <w:p>
      <w:pPr>
        <w:pStyle w:val="Heading2"/>
        <w:tabs>
          <w:tab w:val="left" w:pos="536"/>
        </w:tabs>
        <w:spacing w:line="500" w:lineRule="exact"/>
        <w:rPr>
          <w:rFonts w:ascii="Times New Roman" w:hint="eastAsia"/>
        </w:rPr>
      </w:pPr>
      <w:bookmarkStart w:id="20" w:name="_Toc320874316"/>
      <w:r>
        <w:rPr>
          <w:rFonts w:ascii="Times New Roman" w:hint="eastAsia"/>
        </w:rPr>
        <w:t>3</w:t>
      </w:r>
      <w:r>
        <w:rPr>
          <w:rFonts w:ascii="Times New Roman"/>
        </w:rPr>
        <w:t>.</w:t>
      </w:r>
      <w:r>
        <w:rPr>
          <w:rFonts w:ascii="Times New Roman" w:hint="eastAsia"/>
        </w:rPr>
        <w:t>3</w:t>
      </w:r>
      <w:r>
        <w:rPr>
          <w:rFonts w:ascii="Times New Roman"/>
          <w:szCs w:val="28"/>
        </w:rPr>
        <w:t>项</w:t>
      </w:r>
      <w:r>
        <w:rPr>
          <w:rFonts w:ascii="Times New Roman"/>
        </w:rPr>
        <w:t>目污染</w:t>
      </w:r>
      <w:r>
        <w:rPr>
          <w:rFonts w:ascii="Times New Roman" w:hint="eastAsia"/>
        </w:rPr>
        <w:t>物</w:t>
      </w:r>
      <w:r>
        <w:rPr>
          <w:rFonts w:ascii="Times New Roman"/>
        </w:rPr>
        <w:t>产生及排放情况汇总</w:t>
      </w:r>
      <w:bookmarkEnd w:id="19"/>
      <w:bookmarkEnd w:id="20"/>
    </w:p>
    <w:p>
      <w:pPr>
        <w:spacing w:line="480" w:lineRule="exact"/>
        <w:ind w:firstLine="2040" w:firstLineChars="850"/>
        <w:rPr>
          <w:rFonts w:hint="eastAsia"/>
          <w:color w:val="000000"/>
          <w:sz w:val="24"/>
        </w:rPr>
      </w:pPr>
      <w:r>
        <w:rPr>
          <w:rFonts w:hint="eastAsia"/>
          <w:color w:val="000000"/>
          <w:sz w:val="24"/>
        </w:rPr>
        <w:t>表3-4    项目污染物产生及排放情况汇总</w:t>
      </w:r>
    </w:p>
    <w:tbl>
      <w:tblPr>
        <w:tblStyle w:val="TableNormal"/>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28" w:type="dxa"/>
          <w:bottom w:w="0" w:type="dxa"/>
          <w:right w:w="28" w:type="dxa"/>
        </w:tblCellMar>
        <w:tblLook w:val="0000"/>
      </w:tblPr>
      <w:tblGrid>
        <w:gridCol w:w="990"/>
        <w:gridCol w:w="1290"/>
        <w:gridCol w:w="2056"/>
        <w:gridCol w:w="1080"/>
        <w:gridCol w:w="1424"/>
        <w:gridCol w:w="1366"/>
      </w:tblGrid>
      <w:tr>
        <w:tblPrEx>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28" w:type="dxa"/>
            <w:bottom w:w="0" w:type="dxa"/>
            <w:right w:w="28" w:type="dxa"/>
          </w:tblCellMar>
          <w:tblLook w:val="0000"/>
        </w:tblPrEx>
        <w:trPr>
          <w:trHeight w:val="278"/>
        </w:trPr>
        <w:tc>
          <w:tcPr>
            <w:tcW w:w="990" w:type="dxa"/>
            <w:tcBorders>
              <w:tl2br w:val="single" w:sz="4" w:space="0" w:color="auto"/>
            </w:tcBorders>
            <w:vAlign w:val="center"/>
          </w:tcPr>
          <w:p>
            <w:pPr>
              <w:spacing w:line="360" w:lineRule="exact"/>
              <w:jc w:val="center"/>
              <w:rPr>
                <w:szCs w:val="21"/>
              </w:rPr>
            </w:pPr>
            <w:bookmarkStart w:id="21" w:name="_Toc316047532"/>
            <w:r>
              <w:rPr>
                <w:szCs w:val="21"/>
              </w:rPr>
              <w:t xml:space="preserve">   内容</w:t>
            </w:r>
          </w:p>
          <w:p>
            <w:pPr>
              <w:spacing w:line="360" w:lineRule="exact"/>
              <w:rPr>
                <w:szCs w:val="21"/>
              </w:rPr>
            </w:pPr>
            <w:r>
              <w:rPr>
                <w:szCs w:val="21"/>
              </w:rPr>
              <w:t>类型</w:t>
            </w:r>
          </w:p>
        </w:tc>
        <w:tc>
          <w:tcPr>
            <w:tcW w:w="1290" w:type="dxa"/>
            <w:vAlign w:val="center"/>
          </w:tcPr>
          <w:p>
            <w:pPr>
              <w:spacing w:line="360" w:lineRule="exact"/>
              <w:jc w:val="center"/>
              <w:rPr>
                <w:szCs w:val="21"/>
              </w:rPr>
            </w:pPr>
            <w:r>
              <w:rPr>
                <w:szCs w:val="21"/>
              </w:rPr>
              <w:t>排放源</w:t>
            </w:r>
          </w:p>
        </w:tc>
        <w:tc>
          <w:tcPr>
            <w:tcW w:w="3136" w:type="dxa"/>
            <w:gridSpan w:val="2"/>
            <w:vAlign w:val="center"/>
          </w:tcPr>
          <w:p>
            <w:pPr>
              <w:spacing w:line="360" w:lineRule="exact"/>
              <w:jc w:val="center"/>
              <w:rPr>
                <w:szCs w:val="21"/>
              </w:rPr>
            </w:pPr>
            <w:r>
              <w:rPr>
                <w:szCs w:val="21"/>
              </w:rPr>
              <w:t>污染物名称</w:t>
            </w:r>
          </w:p>
        </w:tc>
        <w:tc>
          <w:tcPr>
            <w:tcW w:w="1424" w:type="dxa"/>
            <w:vAlign w:val="center"/>
          </w:tcPr>
          <w:p>
            <w:pPr>
              <w:spacing w:line="360" w:lineRule="exact"/>
              <w:jc w:val="center"/>
              <w:rPr>
                <w:szCs w:val="21"/>
              </w:rPr>
            </w:pPr>
            <w:r>
              <w:rPr>
                <w:szCs w:val="21"/>
              </w:rPr>
              <w:t>产生量</w:t>
            </w:r>
          </w:p>
        </w:tc>
        <w:tc>
          <w:tcPr>
            <w:tcW w:w="1366" w:type="dxa"/>
            <w:vAlign w:val="center"/>
          </w:tcPr>
          <w:p>
            <w:pPr>
              <w:spacing w:line="360" w:lineRule="exact"/>
              <w:jc w:val="center"/>
              <w:rPr>
                <w:szCs w:val="21"/>
              </w:rPr>
            </w:pPr>
            <w:r>
              <w:rPr>
                <w:szCs w:val="21"/>
              </w:rPr>
              <w:t>排放量</w:t>
            </w:r>
          </w:p>
        </w:tc>
      </w:tr>
      <w:tr>
        <w:tblPrEx>
          <w:tblInd w:w="58" w:type="dxa"/>
          <w:tblLayout w:type="fixed"/>
          <w:tblCellMar>
            <w:top w:w="0" w:type="dxa"/>
            <w:left w:w="28" w:type="dxa"/>
            <w:bottom w:w="0" w:type="dxa"/>
            <w:right w:w="28" w:type="dxa"/>
          </w:tblCellMar>
          <w:tblLook w:val="0000"/>
        </w:tblPrEx>
        <w:trPr>
          <w:cantSplit/>
          <w:trHeight w:val="156"/>
        </w:trPr>
        <w:tc>
          <w:tcPr>
            <w:tcW w:w="990" w:type="dxa"/>
            <w:vMerge w:val="restart"/>
            <w:vAlign w:val="center"/>
          </w:tcPr>
          <w:p>
            <w:pPr>
              <w:spacing w:line="360" w:lineRule="exact"/>
              <w:ind w:firstLine="105" w:firstLineChars="50"/>
              <w:jc w:val="center"/>
              <w:rPr>
                <w:szCs w:val="21"/>
              </w:rPr>
            </w:pPr>
            <w:r>
              <w:rPr>
                <w:szCs w:val="21"/>
              </w:rPr>
              <w:t>水</w:t>
            </w:r>
          </w:p>
          <w:p>
            <w:pPr>
              <w:spacing w:line="360" w:lineRule="exact"/>
              <w:ind w:firstLine="105" w:firstLineChars="50"/>
              <w:jc w:val="center"/>
              <w:rPr>
                <w:szCs w:val="21"/>
              </w:rPr>
            </w:pPr>
            <w:r>
              <w:rPr>
                <w:szCs w:val="21"/>
              </w:rPr>
              <w:t>污染物</w:t>
            </w:r>
          </w:p>
        </w:tc>
        <w:tc>
          <w:tcPr>
            <w:tcW w:w="1290" w:type="dxa"/>
            <w:vMerge w:val="restart"/>
            <w:vAlign w:val="center"/>
          </w:tcPr>
          <w:p>
            <w:pPr>
              <w:spacing w:line="360" w:lineRule="exact"/>
              <w:jc w:val="center"/>
              <w:rPr>
                <w:szCs w:val="21"/>
              </w:rPr>
            </w:pPr>
            <w:r>
              <w:rPr>
                <w:rFonts w:hint="eastAsia"/>
                <w:szCs w:val="21"/>
              </w:rPr>
              <w:t>综合</w:t>
            </w:r>
            <w:r>
              <w:rPr>
                <w:szCs w:val="21"/>
              </w:rPr>
              <w:t>污水</w:t>
            </w:r>
          </w:p>
        </w:tc>
        <w:tc>
          <w:tcPr>
            <w:tcW w:w="2056" w:type="dxa"/>
            <w:vMerge w:val="restart"/>
            <w:vAlign w:val="center"/>
          </w:tcPr>
          <w:p>
            <w:pPr>
              <w:pStyle w:val="xl37"/>
              <w:widowControl w:val="0"/>
              <w:spacing w:before="0" w:beforeLines="0" w:beforeAutospacing="0" w:after="0" w:afterLines="0" w:afterAutospacing="0" w:line="360" w:lineRule="exact"/>
              <w:rPr>
                <w:rFonts w:ascii="Times New Roman" w:hAnsi="Times New Roman"/>
                <w:kern w:val="2"/>
                <w:sz w:val="21"/>
                <w:szCs w:val="21"/>
              </w:rPr>
            </w:pPr>
            <w:r>
              <w:rPr>
                <w:rFonts w:ascii="Times New Roman" w:hAnsi="Times New Roman"/>
                <w:kern w:val="2"/>
                <w:sz w:val="21"/>
                <w:szCs w:val="21"/>
              </w:rPr>
              <w:t>废水量</w:t>
            </w:r>
          </w:p>
        </w:tc>
        <w:tc>
          <w:tcPr>
            <w:tcW w:w="1080" w:type="dxa"/>
            <w:vAlign w:val="center"/>
          </w:tcPr>
          <w:p>
            <w:pPr>
              <w:pStyle w:val="xl37"/>
              <w:widowControl w:val="0"/>
              <w:spacing w:before="0" w:beforeLines="0" w:beforeAutospacing="0" w:after="0" w:afterLines="0" w:afterAutospacing="0" w:line="360" w:lineRule="exact"/>
              <w:rPr>
                <w:rFonts w:ascii="Times New Roman" w:hAnsi="Times New Roman"/>
                <w:kern w:val="2"/>
                <w:sz w:val="21"/>
                <w:szCs w:val="21"/>
              </w:rPr>
            </w:pPr>
            <w:r>
              <w:rPr>
                <w:rFonts w:ascii="Times New Roman" w:hAnsi="Times New Roman"/>
                <w:kern w:val="2"/>
                <w:sz w:val="21"/>
                <w:szCs w:val="21"/>
              </w:rPr>
              <w:t>t/d</w:t>
            </w:r>
          </w:p>
        </w:tc>
        <w:tc>
          <w:tcPr>
            <w:tcW w:w="1424" w:type="dxa"/>
            <w:vAlign w:val="center"/>
          </w:tcPr>
          <w:p>
            <w:pPr>
              <w:pStyle w:val="xl37"/>
              <w:widowControl w:val="0"/>
              <w:spacing w:before="0" w:beforeLines="0" w:beforeAutospacing="0" w:after="0" w:afterLines="0" w:afterAutospacing="0" w:line="360" w:lineRule="exact"/>
              <w:rPr>
                <w:rFonts w:ascii="Times New Roman" w:hAnsi="Times New Roman" w:hint="eastAsia"/>
                <w:kern w:val="2"/>
                <w:sz w:val="21"/>
                <w:szCs w:val="21"/>
              </w:rPr>
            </w:pPr>
            <w:r>
              <w:rPr>
                <w:rFonts w:ascii="Times New Roman" w:hAnsi="Times New Roman" w:hint="eastAsia"/>
                <w:kern w:val="2"/>
                <w:sz w:val="21"/>
                <w:szCs w:val="21"/>
              </w:rPr>
              <w:t>72</w:t>
            </w:r>
          </w:p>
        </w:tc>
        <w:tc>
          <w:tcPr>
            <w:tcW w:w="1366" w:type="dxa"/>
            <w:vAlign w:val="center"/>
          </w:tcPr>
          <w:p>
            <w:pPr>
              <w:pStyle w:val="xl37"/>
              <w:widowControl w:val="0"/>
              <w:spacing w:before="0" w:beforeLines="0" w:beforeAutospacing="0" w:after="0" w:afterLines="0" w:afterAutospacing="0" w:line="360" w:lineRule="exact"/>
              <w:rPr>
                <w:rFonts w:ascii="Times New Roman" w:hAnsi="Times New Roman" w:hint="eastAsia"/>
                <w:kern w:val="2"/>
                <w:sz w:val="21"/>
                <w:szCs w:val="21"/>
              </w:rPr>
            </w:pPr>
            <w:r>
              <w:rPr>
                <w:rFonts w:ascii="Times New Roman" w:hAnsi="Times New Roman" w:hint="eastAsia"/>
                <w:kern w:val="2"/>
                <w:sz w:val="21"/>
                <w:szCs w:val="21"/>
              </w:rPr>
              <w:t>72</w:t>
            </w:r>
          </w:p>
        </w:tc>
      </w:tr>
      <w:tr>
        <w:tblPrEx>
          <w:tblInd w:w="58" w:type="dxa"/>
          <w:tblLayout w:type="fixed"/>
          <w:tblCellMar>
            <w:top w:w="0" w:type="dxa"/>
            <w:left w:w="28" w:type="dxa"/>
            <w:bottom w:w="0" w:type="dxa"/>
            <w:right w:w="28" w:type="dxa"/>
          </w:tblCellMar>
          <w:tblLook w:val="0000"/>
        </w:tblPrEx>
        <w:trPr>
          <w:cantSplit/>
          <w:trHeight w:val="369"/>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jc w:val="center"/>
              <w:rPr>
                <w:szCs w:val="21"/>
              </w:rPr>
            </w:pPr>
          </w:p>
        </w:tc>
        <w:tc>
          <w:tcPr>
            <w:tcW w:w="2056" w:type="dxa"/>
            <w:vMerge/>
            <w:vAlign w:val="center"/>
          </w:tcPr>
          <w:p>
            <w:pPr>
              <w:spacing w:line="360" w:lineRule="exact"/>
              <w:jc w:val="center"/>
              <w:rPr>
                <w:szCs w:val="21"/>
              </w:rPr>
            </w:pPr>
          </w:p>
        </w:tc>
        <w:tc>
          <w:tcPr>
            <w:tcW w:w="1080" w:type="dxa"/>
            <w:vAlign w:val="center"/>
          </w:tcPr>
          <w:p>
            <w:pPr>
              <w:spacing w:line="360" w:lineRule="exact"/>
              <w:jc w:val="center"/>
              <w:rPr>
                <w:szCs w:val="21"/>
              </w:rPr>
            </w:pPr>
            <w:r>
              <w:rPr>
                <w:szCs w:val="21"/>
              </w:rPr>
              <w:t>t/a</w:t>
            </w:r>
          </w:p>
        </w:tc>
        <w:tc>
          <w:tcPr>
            <w:tcW w:w="1424" w:type="dxa"/>
            <w:vAlign w:val="center"/>
          </w:tcPr>
          <w:p>
            <w:pPr>
              <w:pStyle w:val="xl37"/>
              <w:widowControl w:val="0"/>
              <w:spacing w:before="0" w:beforeLines="0" w:beforeAutospacing="0" w:after="0" w:afterLines="0" w:afterAutospacing="0" w:line="360" w:lineRule="exact"/>
              <w:rPr>
                <w:rFonts w:ascii="Times New Roman" w:hAnsi="Times New Roman" w:hint="eastAsia"/>
                <w:kern w:val="2"/>
                <w:sz w:val="21"/>
                <w:szCs w:val="21"/>
              </w:rPr>
            </w:pPr>
            <w:r>
              <w:rPr>
                <w:rFonts w:ascii="Times New Roman" w:hAnsi="Times New Roman" w:hint="eastAsia"/>
                <w:kern w:val="2"/>
                <w:sz w:val="21"/>
                <w:szCs w:val="21"/>
              </w:rPr>
              <w:t>16007</w:t>
            </w:r>
          </w:p>
        </w:tc>
        <w:tc>
          <w:tcPr>
            <w:tcW w:w="1366" w:type="dxa"/>
            <w:vAlign w:val="center"/>
          </w:tcPr>
          <w:p>
            <w:pPr>
              <w:pStyle w:val="xl37"/>
              <w:widowControl w:val="0"/>
              <w:spacing w:before="0" w:beforeLines="0" w:beforeAutospacing="0" w:after="0" w:afterLines="0" w:afterAutospacing="0" w:line="360" w:lineRule="exact"/>
              <w:rPr>
                <w:rFonts w:ascii="Times New Roman" w:hAnsi="Times New Roman" w:hint="eastAsia"/>
                <w:kern w:val="2"/>
                <w:sz w:val="21"/>
                <w:szCs w:val="21"/>
              </w:rPr>
            </w:pPr>
            <w:r>
              <w:rPr>
                <w:rFonts w:ascii="Times New Roman" w:hAnsi="Times New Roman" w:hint="eastAsia"/>
                <w:kern w:val="2"/>
                <w:sz w:val="21"/>
                <w:szCs w:val="21"/>
              </w:rPr>
              <w:t>16007</w:t>
            </w:r>
          </w:p>
        </w:tc>
      </w:tr>
      <w:tr>
        <w:tblPrEx>
          <w:tblInd w:w="58" w:type="dxa"/>
          <w:tblLayout w:type="fixed"/>
          <w:tblCellMar>
            <w:top w:w="0" w:type="dxa"/>
            <w:left w:w="28" w:type="dxa"/>
            <w:bottom w:w="0" w:type="dxa"/>
            <w:right w:w="28" w:type="dxa"/>
          </w:tblCellMar>
          <w:tblLook w:val="0000"/>
        </w:tblPrEx>
        <w:trPr>
          <w:cantSplit/>
          <w:trHeight w:val="413"/>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ind w:firstLine="573"/>
              <w:jc w:val="center"/>
              <w:rPr>
                <w:szCs w:val="21"/>
              </w:rPr>
            </w:pPr>
          </w:p>
        </w:tc>
        <w:tc>
          <w:tcPr>
            <w:tcW w:w="2056" w:type="dxa"/>
            <w:vMerge w:val="restart"/>
            <w:vAlign w:val="center"/>
          </w:tcPr>
          <w:p>
            <w:pPr>
              <w:spacing w:line="360" w:lineRule="exact"/>
              <w:jc w:val="center"/>
              <w:rPr>
                <w:szCs w:val="21"/>
              </w:rPr>
            </w:pPr>
            <w:r>
              <w:rPr>
                <w:szCs w:val="21"/>
              </w:rPr>
              <w:t>CODcr</w:t>
            </w:r>
          </w:p>
        </w:tc>
        <w:tc>
          <w:tcPr>
            <w:tcW w:w="1080" w:type="dxa"/>
            <w:vAlign w:val="center"/>
          </w:tcPr>
          <w:p>
            <w:pPr>
              <w:spacing w:line="360" w:lineRule="exact"/>
              <w:jc w:val="center"/>
              <w:rPr>
                <w:szCs w:val="21"/>
              </w:rPr>
            </w:pPr>
            <w:r>
              <w:rPr>
                <w:szCs w:val="21"/>
              </w:rPr>
              <w:t>mg/L</w:t>
            </w:r>
          </w:p>
        </w:tc>
        <w:tc>
          <w:tcPr>
            <w:tcW w:w="1424" w:type="dxa"/>
            <w:vAlign w:val="center"/>
          </w:tcPr>
          <w:p>
            <w:pPr>
              <w:spacing w:line="360" w:lineRule="exact"/>
              <w:jc w:val="center"/>
              <w:rPr>
                <w:rFonts w:hint="eastAsia"/>
                <w:szCs w:val="21"/>
              </w:rPr>
            </w:pPr>
            <w:r>
              <w:rPr>
                <w:rFonts w:hint="eastAsia"/>
                <w:szCs w:val="21"/>
              </w:rPr>
              <w:t>300</w:t>
            </w:r>
          </w:p>
        </w:tc>
        <w:tc>
          <w:tcPr>
            <w:tcW w:w="1366" w:type="dxa"/>
            <w:vAlign w:val="center"/>
          </w:tcPr>
          <w:p>
            <w:pPr>
              <w:spacing w:line="360" w:lineRule="exact"/>
              <w:jc w:val="center"/>
              <w:rPr>
                <w:rFonts w:hint="eastAsia"/>
                <w:szCs w:val="21"/>
              </w:rPr>
            </w:pPr>
            <w:r>
              <w:rPr>
                <w:rFonts w:hint="eastAsia"/>
                <w:szCs w:val="21"/>
              </w:rPr>
              <w:t>300</w:t>
            </w:r>
          </w:p>
        </w:tc>
      </w:tr>
      <w:tr>
        <w:tblPrEx>
          <w:tblInd w:w="58" w:type="dxa"/>
          <w:tblLayout w:type="fixed"/>
          <w:tblCellMar>
            <w:top w:w="0" w:type="dxa"/>
            <w:left w:w="28" w:type="dxa"/>
            <w:bottom w:w="0" w:type="dxa"/>
            <w:right w:w="28" w:type="dxa"/>
          </w:tblCellMar>
          <w:tblLook w:val="0000"/>
        </w:tblPrEx>
        <w:trPr>
          <w:cantSplit/>
          <w:trHeight w:val="279"/>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ind w:firstLine="573"/>
              <w:jc w:val="center"/>
              <w:rPr>
                <w:szCs w:val="21"/>
              </w:rPr>
            </w:pPr>
          </w:p>
        </w:tc>
        <w:tc>
          <w:tcPr>
            <w:tcW w:w="2056" w:type="dxa"/>
            <w:vMerge/>
            <w:vAlign w:val="center"/>
          </w:tcPr>
          <w:p>
            <w:pPr>
              <w:spacing w:line="360" w:lineRule="exact"/>
              <w:ind w:firstLine="573"/>
              <w:jc w:val="center"/>
              <w:rPr>
                <w:szCs w:val="21"/>
              </w:rPr>
            </w:pP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4.80</w:t>
            </w:r>
          </w:p>
        </w:tc>
        <w:tc>
          <w:tcPr>
            <w:tcW w:w="1366" w:type="dxa"/>
            <w:vAlign w:val="center"/>
          </w:tcPr>
          <w:p>
            <w:pPr>
              <w:spacing w:line="360" w:lineRule="exact"/>
              <w:jc w:val="center"/>
              <w:rPr>
                <w:rFonts w:hint="eastAsia"/>
                <w:szCs w:val="21"/>
              </w:rPr>
            </w:pPr>
            <w:r>
              <w:rPr>
                <w:rFonts w:hint="eastAsia"/>
                <w:szCs w:val="21"/>
              </w:rPr>
              <w:t>4.80</w:t>
            </w:r>
          </w:p>
        </w:tc>
      </w:tr>
      <w:tr>
        <w:tblPrEx>
          <w:tblInd w:w="58" w:type="dxa"/>
          <w:tblLayout w:type="fixed"/>
          <w:tblCellMar>
            <w:top w:w="0" w:type="dxa"/>
            <w:left w:w="28" w:type="dxa"/>
            <w:bottom w:w="0" w:type="dxa"/>
            <w:right w:w="28" w:type="dxa"/>
          </w:tblCellMar>
          <w:tblLook w:val="0000"/>
        </w:tblPrEx>
        <w:trPr>
          <w:cantSplit/>
          <w:trHeight w:val="383"/>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ind w:firstLine="573"/>
              <w:jc w:val="center"/>
              <w:rPr>
                <w:szCs w:val="21"/>
              </w:rPr>
            </w:pPr>
          </w:p>
        </w:tc>
        <w:tc>
          <w:tcPr>
            <w:tcW w:w="2056" w:type="dxa"/>
            <w:vMerge w:val="restart"/>
            <w:vAlign w:val="center"/>
          </w:tcPr>
          <w:p>
            <w:pPr>
              <w:spacing w:line="360" w:lineRule="exact"/>
              <w:ind w:firstLine="840" w:firstLineChars="400"/>
              <w:rPr>
                <w:szCs w:val="21"/>
              </w:rPr>
            </w:pPr>
            <w:r>
              <w:rPr>
                <w:szCs w:val="21"/>
              </w:rPr>
              <w:t>氨氮</w:t>
            </w:r>
          </w:p>
        </w:tc>
        <w:tc>
          <w:tcPr>
            <w:tcW w:w="1080" w:type="dxa"/>
            <w:vAlign w:val="center"/>
          </w:tcPr>
          <w:p>
            <w:pPr>
              <w:spacing w:line="360" w:lineRule="exact"/>
              <w:jc w:val="center"/>
              <w:rPr>
                <w:szCs w:val="21"/>
              </w:rPr>
            </w:pPr>
            <w:r>
              <w:rPr>
                <w:szCs w:val="21"/>
              </w:rPr>
              <w:t>mg/L</w:t>
            </w:r>
          </w:p>
        </w:tc>
        <w:tc>
          <w:tcPr>
            <w:tcW w:w="1424" w:type="dxa"/>
            <w:vAlign w:val="center"/>
          </w:tcPr>
          <w:p>
            <w:pPr>
              <w:spacing w:line="360" w:lineRule="exact"/>
              <w:jc w:val="center"/>
              <w:rPr>
                <w:rFonts w:hint="eastAsia"/>
                <w:szCs w:val="21"/>
              </w:rPr>
            </w:pPr>
            <w:r>
              <w:rPr>
                <w:rFonts w:hint="eastAsia"/>
                <w:szCs w:val="21"/>
              </w:rPr>
              <w:t>35</w:t>
            </w:r>
          </w:p>
        </w:tc>
        <w:tc>
          <w:tcPr>
            <w:tcW w:w="1366" w:type="dxa"/>
            <w:vAlign w:val="center"/>
          </w:tcPr>
          <w:p>
            <w:pPr>
              <w:spacing w:line="360" w:lineRule="exact"/>
              <w:jc w:val="center"/>
              <w:rPr>
                <w:rFonts w:hint="eastAsia"/>
                <w:szCs w:val="21"/>
              </w:rPr>
            </w:pPr>
            <w:r>
              <w:rPr>
                <w:rFonts w:hint="eastAsia"/>
                <w:szCs w:val="21"/>
              </w:rPr>
              <w:t>35</w:t>
            </w:r>
          </w:p>
        </w:tc>
      </w:tr>
      <w:tr>
        <w:tblPrEx>
          <w:tblInd w:w="58" w:type="dxa"/>
          <w:tblLayout w:type="fixed"/>
          <w:tblCellMar>
            <w:top w:w="0" w:type="dxa"/>
            <w:left w:w="28" w:type="dxa"/>
            <w:bottom w:w="0" w:type="dxa"/>
            <w:right w:w="28" w:type="dxa"/>
          </w:tblCellMar>
          <w:tblLook w:val="0000"/>
        </w:tblPrEx>
        <w:trPr>
          <w:cantSplit/>
          <w:trHeight w:val="247"/>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ind w:firstLine="573"/>
              <w:jc w:val="center"/>
              <w:rPr>
                <w:szCs w:val="21"/>
              </w:rPr>
            </w:pPr>
          </w:p>
        </w:tc>
        <w:tc>
          <w:tcPr>
            <w:tcW w:w="2056" w:type="dxa"/>
            <w:vMerge/>
            <w:vAlign w:val="center"/>
          </w:tcPr>
          <w:p>
            <w:pPr>
              <w:spacing w:line="360" w:lineRule="exact"/>
              <w:ind w:firstLine="573"/>
              <w:jc w:val="center"/>
              <w:rPr>
                <w:szCs w:val="21"/>
              </w:rPr>
            </w:pP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0.56</w:t>
            </w:r>
          </w:p>
        </w:tc>
        <w:tc>
          <w:tcPr>
            <w:tcW w:w="1366" w:type="dxa"/>
            <w:vAlign w:val="center"/>
          </w:tcPr>
          <w:p>
            <w:pPr>
              <w:spacing w:line="360" w:lineRule="exact"/>
              <w:jc w:val="center"/>
              <w:rPr>
                <w:rFonts w:hint="eastAsia"/>
                <w:szCs w:val="21"/>
              </w:rPr>
            </w:pPr>
            <w:r>
              <w:rPr>
                <w:rFonts w:hint="eastAsia"/>
                <w:szCs w:val="21"/>
              </w:rPr>
              <w:t>0.56</w:t>
            </w:r>
          </w:p>
        </w:tc>
      </w:tr>
      <w:tr>
        <w:tblPrEx>
          <w:tblInd w:w="58" w:type="dxa"/>
          <w:tblLayout w:type="fixed"/>
          <w:tblCellMar>
            <w:top w:w="0" w:type="dxa"/>
            <w:left w:w="28" w:type="dxa"/>
            <w:bottom w:w="0" w:type="dxa"/>
            <w:right w:w="28" w:type="dxa"/>
          </w:tblCellMar>
          <w:tblLook w:val="0000"/>
        </w:tblPrEx>
        <w:trPr>
          <w:cantSplit/>
          <w:trHeight w:val="247"/>
        </w:trPr>
        <w:tc>
          <w:tcPr>
            <w:tcW w:w="990" w:type="dxa"/>
            <w:vMerge w:val="restart"/>
            <w:vAlign w:val="center"/>
          </w:tcPr>
          <w:p>
            <w:pPr>
              <w:spacing w:line="360" w:lineRule="exact"/>
              <w:ind w:firstLine="105" w:firstLineChars="50"/>
              <w:jc w:val="center"/>
              <w:rPr>
                <w:rFonts w:hint="eastAsia"/>
                <w:szCs w:val="21"/>
              </w:rPr>
            </w:pPr>
            <w:r>
              <w:rPr>
                <w:rFonts w:hint="eastAsia"/>
                <w:szCs w:val="21"/>
              </w:rPr>
              <w:t>大气</w:t>
            </w:r>
          </w:p>
          <w:p>
            <w:pPr>
              <w:spacing w:line="360" w:lineRule="exact"/>
              <w:ind w:firstLine="105" w:firstLineChars="50"/>
              <w:jc w:val="center"/>
              <w:rPr>
                <w:rFonts w:hint="eastAsia"/>
                <w:szCs w:val="21"/>
              </w:rPr>
            </w:pPr>
            <w:r>
              <w:rPr>
                <w:rFonts w:hint="eastAsia"/>
                <w:szCs w:val="21"/>
              </w:rPr>
              <w:t>污染物</w:t>
            </w:r>
          </w:p>
        </w:tc>
        <w:tc>
          <w:tcPr>
            <w:tcW w:w="1290" w:type="dxa"/>
            <w:vMerge w:val="restart"/>
            <w:vAlign w:val="center"/>
          </w:tcPr>
          <w:p>
            <w:pPr>
              <w:spacing w:line="360" w:lineRule="exact"/>
              <w:jc w:val="center"/>
              <w:rPr>
                <w:rFonts w:hint="eastAsia"/>
                <w:szCs w:val="21"/>
              </w:rPr>
            </w:pPr>
            <w:r>
              <w:rPr>
                <w:rFonts w:hint="eastAsia"/>
                <w:szCs w:val="21"/>
              </w:rPr>
              <w:t>加油(气)站</w:t>
            </w:r>
          </w:p>
        </w:tc>
        <w:tc>
          <w:tcPr>
            <w:tcW w:w="2056" w:type="dxa"/>
            <w:vAlign w:val="center"/>
          </w:tcPr>
          <w:p>
            <w:pPr>
              <w:spacing w:line="360" w:lineRule="exact"/>
              <w:jc w:val="center"/>
              <w:rPr>
                <w:rFonts w:hint="eastAsia"/>
                <w:szCs w:val="21"/>
              </w:rPr>
            </w:pPr>
            <w:r>
              <w:rPr>
                <w:rFonts w:hint="eastAsia"/>
                <w:szCs w:val="21"/>
              </w:rPr>
              <w:t>轻烃类</w:t>
            </w: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少量</w:t>
            </w:r>
          </w:p>
        </w:tc>
        <w:tc>
          <w:tcPr>
            <w:tcW w:w="1366" w:type="dxa"/>
            <w:vAlign w:val="center"/>
          </w:tcPr>
          <w:p>
            <w:pPr>
              <w:spacing w:line="360" w:lineRule="exact"/>
              <w:jc w:val="center"/>
              <w:rPr>
                <w:rFonts w:hint="eastAsia"/>
                <w:szCs w:val="21"/>
              </w:rPr>
            </w:pPr>
            <w:r>
              <w:rPr>
                <w:rFonts w:hint="eastAsia"/>
                <w:szCs w:val="21"/>
              </w:rPr>
              <w:t>少量</w:t>
            </w:r>
          </w:p>
        </w:tc>
      </w:tr>
      <w:tr>
        <w:tblPrEx>
          <w:tblInd w:w="58" w:type="dxa"/>
          <w:tblLayout w:type="fixed"/>
          <w:tblCellMar>
            <w:top w:w="0" w:type="dxa"/>
            <w:left w:w="28" w:type="dxa"/>
            <w:bottom w:w="0" w:type="dxa"/>
            <w:right w:w="28" w:type="dxa"/>
          </w:tblCellMar>
          <w:tblLook w:val="0000"/>
        </w:tblPrEx>
        <w:trPr>
          <w:cantSplit/>
          <w:trHeight w:val="247"/>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jc w:val="center"/>
              <w:rPr>
                <w:szCs w:val="21"/>
              </w:rPr>
            </w:pPr>
          </w:p>
        </w:tc>
        <w:tc>
          <w:tcPr>
            <w:tcW w:w="2056" w:type="dxa"/>
            <w:vAlign w:val="center"/>
          </w:tcPr>
          <w:p>
            <w:pPr>
              <w:spacing w:line="360" w:lineRule="exact"/>
              <w:jc w:val="center"/>
              <w:rPr>
                <w:szCs w:val="21"/>
              </w:rPr>
            </w:pPr>
            <w:r>
              <w:rPr>
                <w:rFonts w:hint="eastAsia"/>
                <w:szCs w:val="21"/>
              </w:rPr>
              <w:t>非甲烷总烃</w:t>
            </w: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0.388</w:t>
            </w:r>
          </w:p>
        </w:tc>
        <w:tc>
          <w:tcPr>
            <w:tcW w:w="1366" w:type="dxa"/>
            <w:vAlign w:val="center"/>
          </w:tcPr>
          <w:p>
            <w:pPr>
              <w:spacing w:line="360" w:lineRule="exact"/>
              <w:jc w:val="center"/>
              <w:rPr>
                <w:rFonts w:hint="eastAsia"/>
                <w:szCs w:val="21"/>
              </w:rPr>
            </w:pPr>
            <w:r>
              <w:rPr>
                <w:rFonts w:hint="eastAsia"/>
                <w:szCs w:val="21"/>
              </w:rPr>
              <w:t>0.017</w:t>
            </w:r>
          </w:p>
        </w:tc>
      </w:tr>
      <w:tr>
        <w:tblPrEx>
          <w:tblInd w:w="58" w:type="dxa"/>
          <w:tblLayout w:type="fixed"/>
          <w:tblCellMar>
            <w:top w:w="0" w:type="dxa"/>
            <w:left w:w="28" w:type="dxa"/>
            <w:bottom w:w="0" w:type="dxa"/>
            <w:right w:w="28" w:type="dxa"/>
          </w:tblCellMar>
          <w:tblLook w:val="0000"/>
        </w:tblPrEx>
        <w:trPr>
          <w:cantSplit/>
          <w:trHeight w:val="247"/>
        </w:trPr>
        <w:tc>
          <w:tcPr>
            <w:tcW w:w="990" w:type="dxa"/>
            <w:vMerge/>
            <w:vAlign w:val="center"/>
          </w:tcPr>
          <w:p>
            <w:pPr>
              <w:spacing w:line="360" w:lineRule="exact"/>
              <w:ind w:firstLine="105" w:firstLineChars="50"/>
              <w:rPr>
                <w:szCs w:val="21"/>
              </w:rPr>
            </w:pPr>
          </w:p>
        </w:tc>
        <w:tc>
          <w:tcPr>
            <w:tcW w:w="1290" w:type="dxa"/>
            <w:vMerge w:val="restart"/>
            <w:vAlign w:val="center"/>
          </w:tcPr>
          <w:p>
            <w:pPr>
              <w:spacing w:line="360" w:lineRule="exact"/>
              <w:jc w:val="center"/>
              <w:rPr>
                <w:rFonts w:hint="eastAsia"/>
                <w:szCs w:val="21"/>
              </w:rPr>
            </w:pPr>
            <w:r>
              <w:rPr>
                <w:rFonts w:hint="eastAsia"/>
                <w:szCs w:val="21"/>
              </w:rPr>
              <w:t>汽车尾气</w:t>
            </w:r>
          </w:p>
        </w:tc>
        <w:tc>
          <w:tcPr>
            <w:tcW w:w="2056" w:type="dxa"/>
            <w:vAlign w:val="center"/>
          </w:tcPr>
          <w:p>
            <w:pPr>
              <w:spacing w:line="360" w:lineRule="exact"/>
              <w:jc w:val="center"/>
              <w:rPr>
                <w:rFonts w:hint="eastAsia"/>
                <w:szCs w:val="21"/>
              </w:rPr>
            </w:pPr>
            <w:r>
              <w:rPr>
                <w:rFonts w:hint="eastAsia"/>
                <w:szCs w:val="21"/>
              </w:rPr>
              <w:t>HC</w:t>
            </w: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0.432</w:t>
            </w:r>
          </w:p>
        </w:tc>
        <w:tc>
          <w:tcPr>
            <w:tcW w:w="1366" w:type="dxa"/>
            <w:vAlign w:val="center"/>
          </w:tcPr>
          <w:p>
            <w:pPr>
              <w:spacing w:line="360" w:lineRule="exact"/>
              <w:jc w:val="center"/>
              <w:rPr>
                <w:rFonts w:hint="eastAsia"/>
                <w:szCs w:val="21"/>
              </w:rPr>
            </w:pPr>
            <w:r>
              <w:rPr>
                <w:rFonts w:hint="eastAsia"/>
                <w:szCs w:val="21"/>
              </w:rPr>
              <w:t>0.432</w:t>
            </w:r>
          </w:p>
        </w:tc>
      </w:tr>
      <w:tr>
        <w:tblPrEx>
          <w:tblInd w:w="58" w:type="dxa"/>
          <w:tblLayout w:type="fixed"/>
          <w:tblCellMar>
            <w:top w:w="0" w:type="dxa"/>
            <w:left w:w="28" w:type="dxa"/>
            <w:bottom w:w="0" w:type="dxa"/>
            <w:right w:w="28" w:type="dxa"/>
          </w:tblCellMar>
          <w:tblLook w:val="0000"/>
        </w:tblPrEx>
        <w:trPr>
          <w:cantSplit/>
          <w:trHeight w:val="247"/>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jc w:val="center"/>
              <w:rPr>
                <w:szCs w:val="21"/>
              </w:rPr>
            </w:pPr>
          </w:p>
        </w:tc>
        <w:tc>
          <w:tcPr>
            <w:tcW w:w="2056" w:type="dxa"/>
            <w:vAlign w:val="center"/>
          </w:tcPr>
          <w:p>
            <w:pPr>
              <w:spacing w:line="360" w:lineRule="exact"/>
              <w:jc w:val="center"/>
              <w:rPr>
                <w:rFonts w:hint="eastAsia"/>
                <w:szCs w:val="21"/>
              </w:rPr>
            </w:pPr>
            <w:r>
              <w:rPr>
                <w:rFonts w:hint="eastAsia"/>
                <w:szCs w:val="21"/>
              </w:rPr>
              <w:t>CO</w:t>
            </w: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15.144</w:t>
            </w:r>
          </w:p>
        </w:tc>
        <w:tc>
          <w:tcPr>
            <w:tcW w:w="1366" w:type="dxa"/>
            <w:vAlign w:val="center"/>
          </w:tcPr>
          <w:p>
            <w:pPr>
              <w:spacing w:line="360" w:lineRule="exact"/>
              <w:jc w:val="center"/>
              <w:rPr>
                <w:rFonts w:hint="eastAsia"/>
                <w:szCs w:val="21"/>
              </w:rPr>
            </w:pPr>
            <w:r>
              <w:rPr>
                <w:rFonts w:hint="eastAsia"/>
                <w:szCs w:val="21"/>
              </w:rPr>
              <w:t>15.144</w:t>
            </w:r>
          </w:p>
        </w:tc>
      </w:tr>
      <w:tr>
        <w:tblPrEx>
          <w:tblInd w:w="58" w:type="dxa"/>
          <w:tblLayout w:type="fixed"/>
          <w:tblCellMar>
            <w:top w:w="0" w:type="dxa"/>
            <w:left w:w="28" w:type="dxa"/>
            <w:bottom w:w="0" w:type="dxa"/>
            <w:right w:w="28" w:type="dxa"/>
          </w:tblCellMar>
          <w:tblLook w:val="0000"/>
        </w:tblPrEx>
        <w:trPr>
          <w:cantSplit/>
          <w:trHeight w:val="247"/>
        </w:trPr>
        <w:tc>
          <w:tcPr>
            <w:tcW w:w="990" w:type="dxa"/>
            <w:vMerge/>
            <w:vAlign w:val="center"/>
          </w:tcPr>
          <w:p>
            <w:pPr>
              <w:spacing w:line="360" w:lineRule="exact"/>
              <w:ind w:firstLine="105" w:firstLineChars="50"/>
              <w:rPr>
                <w:szCs w:val="21"/>
              </w:rPr>
            </w:pPr>
          </w:p>
        </w:tc>
        <w:tc>
          <w:tcPr>
            <w:tcW w:w="1290" w:type="dxa"/>
            <w:vMerge/>
            <w:vAlign w:val="center"/>
          </w:tcPr>
          <w:p>
            <w:pPr>
              <w:spacing w:line="360" w:lineRule="exact"/>
              <w:jc w:val="center"/>
              <w:rPr>
                <w:szCs w:val="21"/>
              </w:rPr>
            </w:pPr>
          </w:p>
        </w:tc>
        <w:tc>
          <w:tcPr>
            <w:tcW w:w="2056" w:type="dxa"/>
            <w:vAlign w:val="center"/>
          </w:tcPr>
          <w:p>
            <w:pPr>
              <w:spacing w:line="360" w:lineRule="exact"/>
              <w:jc w:val="center"/>
              <w:rPr>
                <w:rFonts w:hint="eastAsia"/>
                <w:szCs w:val="21"/>
              </w:rPr>
            </w:pPr>
            <w:r>
              <w:rPr>
                <w:rFonts w:hint="eastAsia"/>
                <w:szCs w:val="21"/>
              </w:rPr>
              <w:t>NOx</w:t>
            </w: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0.487</w:t>
            </w:r>
          </w:p>
        </w:tc>
        <w:tc>
          <w:tcPr>
            <w:tcW w:w="1366" w:type="dxa"/>
            <w:vAlign w:val="center"/>
          </w:tcPr>
          <w:p>
            <w:pPr>
              <w:spacing w:line="360" w:lineRule="exact"/>
              <w:jc w:val="center"/>
              <w:rPr>
                <w:rFonts w:hint="eastAsia"/>
                <w:szCs w:val="21"/>
              </w:rPr>
            </w:pPr>
            <w:r>
              <w:rPr>
                <w:rFonts w:hint="eastAsia"/>
                <w:szCs w:val="21"/>
              </w:rPr>
              <w:t>0.487</w:t>
            </w:r>
          </w:p>
        </w:tc>
      </w:tr>
      <w:tr>
        <w:tblPrEx>
          <w:tblInd w:w="58" w:type="dxa"/>
          <w:tblLayout w:type="fixed"/>
          <w:tblCellMar>
            <w:top w:w="0" w:type="dxa"/>
            <w:left w:w="28" w:type="dxa"/>
            <w:bottom w:w="0" w:type="dxa"/>
            <w:right w:w="28" w:type="dxa"/>
          </w:tblCellMar>
          <w:tblLook w:val="0000"/>
        </w:tblPrEx>
        <w:trPr>
          <w:cantSplit/>
          <w:trHeight w:val="247"/>
        </w:trPr>
        <w:tc>
          <w:tcPr>
            <w:tcW w:w="990" w:type="dxa"/>
            <w:vMerge/>
            <w:vAlign w:val="center"/>
          </w:tcPr>
          <w:p>
            <w:pPr>
              <w:spacing w:line="360" w:lineRule="exact"/>
              <w:ind w:firstLine="105" w:firstLineChars="50"/>
              <w:rPr>
                <w:szCs w:val="21"/>
              </w:rPr>
            </w:pPr>
          </w:p>
        </w:tc>
        <w:tc>
          <w:tcPr>
            <w:tcW w:w="1290" w:type="dxa"/>
            <w:vAlign w:val="center"/>
          </w:tcPr>
          <w:p>
            <w:pPr>
              <w:spacing w:line="360" w:lineRule="exact"/>
              <w:jc w:val="center"/>
              <w:rPr>
                <w:rFonts w:hint="eastAsia"/>
                <w:szCs w:val="21"/>
              </w:rPr>
            </w:pPr>
            <w:r>
              <w:rPr>
                <w:rFonts w:hint="eastAsia"/>
                <w:szCs w:val="21"/>
              </w:rPr>
              <w:t>食堂</w:t>
            </w:r>
          </w:p>
        </w:tc>
        <w:tc>
          <w:tcPr>
            <w:tcW w:w="2056" w:type="dxa"/>
            <w:vAlign w:val="center"/>
          </w:tcPr>
          <w:p>
            <w:pPr>
              <w:spacing w:line="360" w:lineRule="exact"/>
              <w:jc w:val="center"/>
              <w:rPr>
                <w:rFonts w:hint="eastAsia"/>
                <w:szCs w:val="21"/>
              </w:rPr>
            </w:pPr>
            <w:r>
              <w:rPr>
                <w:rFonts w:hint="eastAsia"/>
                <w:szCs w:val="21"/>
              </w:rPr>
              <w:t>油烟废气</w:t>
            </w:r>
          </w:p>
        </w:tc>
        <w:tc>
          <w:tcPr>
            <w:tcW w:w="1080" w:type="dxa"/>
            <w:vAlign w:val="center"/>
          </w:tcPr>
          <w:p>
            <w:pPr>
              <w:spacing w:line="360" w:lineRule="exact"/>
              <w:jc w:val="center"/>
              <w:rPr>
                <w:rFonts w:hint="eastAsia"/>
                <w:szCs w:val="21"/>
              </w:rPr>
            </w:pPr>
            <w:r>
              <w:rPr>
                <w:szCs w:val="21"/>
              </w:rPr>
              <w:t>kg</w:t>
            </w:r>
            <w:r>
              <w:rPr>
                <w:rFonts w:hint="eastAsia"/>
                <w:szCs w:val="21"/>
              </w:rPr>
              <w:t>/a</w:t>
            </w:r>
          </w:p>
        </w:tc>
        <w:tc>
          <w:tcPr>
            <w:tcW w:w="1424" w:type="dxa"/>
            <w:vAlign w:val="center"/>
          </w:tcPr>
          <w:p>
            <w:pPr>
              <w:spacing w:line="360" w:lineRule="exact"/>
              <w:jc w:val="center"/>
              <w:rPr>
                <w:rFonts w:hint="eastAsia"/>
                <w:szCs w:val="21"/>
              </w:rPr>
            </w:pPr>
            <w:r>
              <w:rPr>
                <w:rFonts w:hint="eastAsia"/>
                <w:szCs w:val="21"/>
              </w:rPr>
              <w:t>65.31</w:t>
            </w:r>
          </w:p>
        </w:tc>
        <w:tc>
          <w:tcPr>
            <w:tcW w:w="1366" w:type="dxa"/>
            <w:vAlign w:val="center"/>
          </w:tcPr>
          <w:p>
            <w:pPr>
              <w:spacing w:line="360" w:lineRule="exact"/>
              <w:jc w:val="center"/>
              <w:rPr>
                <w:rFonts w:hint="eastAsia"/>
                <w:szCs w:val="21"/>
              </w:rPr>
            </w:pPr>
            <w:r>
              <w:rPr>
                <w:rFonts w:hint="eastAsia"/>
                <w:szCs w:val="21"/>
              </w:rPr>
              <w:t>16.33</w:t>
            </w:r>
          </w:p>
        </w:tc>
      </w:tr>
      <w:tr>
        <w:tblPrEx>
          <w:tblInd w:w="58" w:type="dxa"/>
          <w:tblLayout w:type="fixed"/>
          <w:tblCellMar>
            <w:top w:w="0" w:type="dxa"/>
            <w:left w:w="28" w:type="dxa"/>
            <w:bottom w:w="0" w:type="dxa"/>
            <w:right w:w="28" w:type="dxa"/>
          </w:tblCellMar>
          <w:tblLook w:val="0000"/>
        </w:tblPrEx>
        <w:trPr>
          <w:cantSplit/>
          <w:trHeight w:val="188"/>
        </w:trPr>
        <w:tc>
          <w:tcPr>
            <w:tcW w:w="990" w:type="dxa"/>
            <w:vMerge w:val="restart"/>
            <w:vAlign w:val="center"/>
          </w:tcPr>
          <w:p>
            <w:pPr>
              <w:pStyle w:val="xl37"/>
              <w:widowControl w:val="0"/>
              <w:spacing w:line="360" w:lineRule="exact"/>
              <w:rPr>
                <w:rFonts w:ascii="Times New Roman" w:hAnsi="Times New Roman"/>
                <w:kern w:val="2"/>
                <w:sz w:val="21"/>
                <w:szCs w:val="21"/>
              </w:rPr>
            </w:pPr>
            <w:r>
              <w:rPr>
                <w:rFonts w:ascii="Times New Roman" w:hAnsi="Times New Roman"/>
                <w:kern w:val="2"/>
                <w:sz w:val="21"/>
                <w:szCs w:val="21"/>
              </w:rPr>
              <w:t>固废</w:t>
            </w:r>
          </w:p>
        </w:tc>
        <w:tc>
          <w:tcPr>
            <w:tcW w:w="1290" w:type="dxa"/>
            <w:vAlign w:val="center"/>
          </w:tcPr>
          <w:p>
            <w:pPr>
              <w:spacing w:line="360" w:lineRule="exact"/>
              <w:jc w:val="center"/>
              <w:rPr>
                <w:szCs w:val="21"/>
              </w:rPr>
            </w:pPr>
            <w:r>
              <w:rPr>
                <w:szCs w:val="21"/>
              </w:rPr>
              <w:t>生产</w:t>
            </w:r>
          </w:p>
        </w:tc>
        <w:tc>
          <w:tcPr>
            <w:tcW w:w="2056" w:type="dxa"/>
            <w:vAlign w:val="center"/>
          </w:tcPr>
          <w:p>
            <w:pPr>
              <w:spacing w:line="360" w:lineRule="exact"/>
              <w:jc w:val="center"/>
              <w:rPr>
                <w:rFonts w:hint="eastAsia"/>
                <w:szCs w:val="21"/>
              </w:rPr>
            </w:pPr>
            <w:r>
              <w:rPr>
                <w:rFonts w:hint="eastAsia"/>
                <w:szCs w:val="21"/>
              </w:rPr>
              <w:t>废轮胎</w:t>
            </w: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1.0</w:t>
            </w:r>
          </w:p>
        </w:tc>
        <w:tc>
          <w:tcPr>
            <w:tcW w:w="1366" w:type="dxa"/>
            <w:vAlign w:val="center"/>
          </w:tcPr>
          <w:p>
            <w:pPr>
              <w:spacing w:line="360" w:lineRule="exact"/>
              <w:jc w:val="center"/>
              <w:rPr>
                <w:szCs w:val="21"/>
              </w:rPr>
            </w:pPr>
            <w:r>
              <w:rPr>
                <w:szCs w:val="21"/>
              </w:rPr>
              <w:t>0</w:t>
            </w:r>
          </w:p>
        </w:tc>
      </w:tr>
      <w:tr>
        <w:tblPrEx>
          <w:tblInd w:w="58" w:type="dxa"/>
          <w:tblLayout w:type="fixed"/>
          <w:tblCellMar>
            <w:top w:w="0" w:type="dxa"/>
            <w:left w:w="28" w:type="dxa"/>
            <w:bottom w:w="0" w:type="dxa"/>
            <w:right w:w="28" w:type="dxa"/>
          </w:tblCellMar>
          <w:tblLook w:val="0000"/>
        </w:tblPrEx>
        <w:trPr>
          <w:cantSplit/>
          <w:trHeight w:val="101"/>
        </w:trPr>
        <w:tc>
          <w:tcPr>
            <w:tcW w:w="990" w:type="dxa"/>
            <w:vMerge/>
            <w:vAlign w:val="center"/>
          </w:tcPr>
          <w:p>
            <w:pPr>
              <w:spacing w:line="360" w:lineRule="exact"/>
              <w:jc w:val="center"/>
              <w:rPr>
                <w:szCs w:val="21"/>
              </w:rPr>
            </w:pPr>
          </w:p>
        </w:tc>
        <w:tc>
          <w:tcPr>
            <w:tcW w:w="1290" w:type="dxa"/>
            <w:vAlign w:val="center"/>
          </w:tcPr>
          <w:p>
            <w:pPr>
              <w:spacing w:line="360" w:lineRule="exact"/>
              <w:jc w:val="center"/>
              <w:rPr>
                <w:szCs w:val="21"/>
              </w:rPr>
            </w:pPr>
            <w:r>
              <w:rPr>
                <w:szCs w:val="21"/>
              </w:rPr>
              <w:t>生活</w:t>
            </w:r>
          </w:p>
        </w:tc>
        <w:tc>
          <w:tcPr>
            <w:tcW w:w="2056" w:type="dxa"/>
            <w:vAlign w:val="center"/>
          </w:tcPr>
          <w:p>
            <w:pPr>
              <w:spacing w:line="360" w:lineRule="exact"/>
              <w:jc w:val="center"/>
              <w:rPr>
                <w:szCs w:val="21"/>
              </w:rPr>
            </w:pPr>
            <w:r>
              <w:rPr>
                <w:szCs w:val="21"/>
              </w:rPr>
              <w:t>生活垃圾</w:t>
            </w:r>
          </w:p>
        </w:tc>
        <w:tc>
          <w:tcPr>
            <w:tcW w:w="1080" w:type="dxa"/>
            <w:vAlign w:val="center"/>
          </w:tcPr>
          <w:p>
            <w:pPr>
              <w:spacing w:line="360" w:lineRule="exact"/>
              <w:jc w:val="center"/>
              <w:rPr>
                <w:szCs w:val="21"/>
              </w:rPr>
            </w:pPr>
            <w:r>
              <w:rPr>
                <w:szCs w:val="21"/>
              </w:rPr>
              <w:t>t/a</w:t>
            </w:r>
          </w:p>
        </w:tc>
        <w:tc>
          <w:tcPr>
            <w:tcW w:w="1424" w:type="dxa"/>
            <w:vAlign w:val="center"/>
          </w:tcPr>
          <w:p>
            <w:pPr>
              <w:spacing w:line="360" w:lineRule="exact"/>
              <w:jc w:val="center"/>
              <w:rPr>
                <w:rFonts w:hint="eastAsia"/>
                <w:szCs w:val="21"/>
              </w:rPr>
            </w:pPr>
            <w:r>
              <w:rPr>
                <w:rFonts w:hint="eastAsia"/>
                <w:szCs w:val="21"/>
              </w:rPr>
              <w:t>430.7</w:t>
            </w:r>
          </w:p>
        </w:tc>
        <w:tc>
          <w:tcPr>
            <w:tcW w:w="1366" w:type="dxa"/>
            <w:vAlign w:val="center"/>
          </w:tcPr>
          <w:p>
            <w:pPr>
              <w:spacing w:line="360" w:lineRule="exact"/>
              <w:jc w:val="center"/>
              <w:rPr>
                <w:szCs w:val="21"/>
              </w:rPr>
            </w:pPr>
            <w:r>
              <w:rPr>
                <w:szCs w:val="21"/>
              </w:rPr>
              <w:t>0</w:t>
            </w:r>
          </w:p>
        </w:tc>
      </w:tr>
    </w:tbl>
    <w:p>
      <w:pPr>
        <w:pStyle w:val="Heading2"/>
        <w:tabs>
          <w:tab w:val="left" w:pos="536"/>
        </w:tabs>
        <w:spacing w:line="500" w:lineRule="exact"/>
        <w:rPr>
          <w:rFonts w:ascii="Times New Roman" w:hint="eastAsia"/>
        </w:rPr>
      </w:pPr>
    </w:p>
    <w:p>
      <w:pPr>
        <w:pStyle w:val="Heading2"/>
        <w:tabs>
          <w:tab w:val="left" w:pos="536"/>
        </w:tabs>
        <w:spacing w:line="500" w:lineRule="exact"/>
        <w:rPr>
          <w:rFonts w:ascii="Times New Roman" w:hint="eastAsia"/>
        </w:rPr>
      </w:pPr>
    </w:p>
    <w:p>
      <w:pPr>
        <w:pStyle w:val="Heading2"/>
        <w:tabs>
          <w:tab w:val="left" w:pos="536"/>
        </w:tabs>
        <w:spacing w:line="500" w:lineRule="exact"/>
        <w:rPr>
          <w:rFonts w:ascii="Times New Roman" w:hint="eastAsia"/>
        </w:rPr>
      </w:pPr>
    </w:p>
    <w:p>
      <w:pPr>
        <w:spacing w:line="480" w:lineRule="exact"/>
        <w:ind w:left="1860" w:hanging="1440" w:leftChars="200" w:hangingChars="600"/>
        <w:rPr>
          <w:sz w:val="24"/>
        </w:rPr>
        <w:sectPr>
          <w:headerReference w:type="default" r:id="rId15"/>
          <w:footerReference w:type="default" r:id="rId16"/>
          <w:type w:val="nextPage"/>
          <w:pgSz w:w="11906" w:h="16838"/>
          <w:pgMar w:top="1440" w:right="1616" w:bottom="1440" w:left="1644" w:header="851" w:footer="992" w:gutter="0"/>
          <w:pgNumType w:start="6"/>
          <w:cols w:space="708"/>
          <w:titlePg w:val="0"/>
          <w:docGrid w:type="lines" w:linePitch="312"/>
        </w:sectPr>
      </w:pPr>
      <w:bookmarkEnd w:id="21"/>
    </w:p>
    <w:p>
      <w:pPr>
        <w:pStyle w:val="Heading1"/>
        <w:jc w:val="center"/>
        <w:rPr>
          <w:rFonts w:hint="eastAsia"/>
        </w:rPr>
      </w:pPr>
      <w:bookmarkStart w:id="22" w:name="_Toc183849309"/>
      <w:bookmarkStart w:id="23" w:name="_Toc320874317"/>
      <w:r>
        <w:rPr>
          <w:rFonts w:hint="eastAsia"/>
        </w:rPr>
        <w:t>第四章  环境影响预测主要结论</w:t>
      </w:r>
      <w:bookmarkEnd w:id="22"/>
      <w:bookmarkEnd w:id="23"/>
    </w:p>
    <w:p>
      <w:pPr>
        <w:pStyle w:val="Heading2"/>
        <w:tabs>
          <w:tab w:val="left" w:pos="536"/>
        </w:tabs>
        <w:spacing w:line="500" w:lineRule="exact"/>
        <w:rPr>
          <w:rFonts w:ascii="Times New Roman" w:hint="eastAsia"/>
        </w:rPr>
      </w:pPr>
      <w:bookmarkStart w:id="24" w:name="_Toc316047537"/>
      <w:bookmarkStart w:id="25" w:name="_Toc320874318"/>
      <w:r>
        <w:rPr>
          <w:rFonts w:ascii="Times New Roman" w:hint="eastAsia"/>
        </w:rPr>
        <w:t>4.1施工期环境影响分析</w:t>
      </w:r>
      <w:bookmarkEnd w:id="24"/>
      <w:bookmarkEnd w:id="25"/>
    </w:p>
    <w:p>
      <w:pPr>
        <w:spacing w:line="480" w:lineRule="exact"/>
        <w:ind w:firstLine="480" w:firstLineChars="200"/>
        <w:rPr>
          <w:sz w:val="24"/>
        </w:rPr>
      </w:pPr>
      <w:r>
        <w:rPr>
          <w:sz w:val="24"/>
        </w:rPr>
        <w:t>⑴施工期大气环境影响分析结论：施工期对大气环境的影响主要是施工及运输时产生的粉尘和各种机械、车辆排放的尾气。本工程所在地区风速相对较小，只有在大风及干燥天气施工，施工现场及其下风向将有粉尘存在。因施工期采取了防治措施，施工产生的粉尘及汽车尾气影响范围预计不大。由于装修期相对较长，油漆废气的释放较缓慢，故产生的油漆废气不会对周围环境产生大的影响。所以，施工期大气污染物对周围影响不大。</w:t>
      </w:r>
    </w:p>
    <w:p>
      <w:pPr>
        <w:spacing w:line="480" w:lineRule="exact"/>
        <w:ind w:firstLine="480" w:firstLineChars="200"/>
        <w:rPr>
          <w:sz w:val="24"/>
        </w:rPr>
      </w:pPr>
      <w:r>
        <w:rPr>
          <w:sz w:val="24"/>
        </w:rPr>
        <w:t>⑵施工期噪声环境影响分析结论：施工期的噪声污染源主要为施工机械设备的运转和运输车辆的运行。项目施工期产生的噪声对环境保护目标——</w:t>
      </w:r>
      <w:r>
        <w:rPr>
          <w:rFonts w:hint="eastAsia"/>
          <w:sz w:val="24"/>
        </w:rPr>
        <w:t>上谢墅村（相距150米）、南池村（相距250米）会带来一定影响</w:t>
      </w:r>
      <w:r>
        <w:rPr>
          <w:sz w:val="24"/>
        </w:rPr>
        <w:t>，应采取相关降噪措施，减轻对附近居民生活的影响。禁止夜间(22:00~6:00)施工，确因工艺需要夜间施工的，建设单位应报请</w:t>
      </w:r>
      <w:r>
        <w:rPr>
          <w:rFonts w:hint="eastAsia"/>
          <w:sz w:val="24"/>
        </w:rPr>
        <w:t>绍兴市</w:t>
      </w:r>
      <w:r>
        <w:rPr>
          <w:sz w:val="24"/>
        </w:rPr>
        <w:t>环保局批准，到有关部门办理夜间施工许可证，并告示周围民众。同时，建设与施工单位应与施工场地周围单位、居民建立良好的关系，及时让他们了解施工进度及采取的降噪措施，并取得大家的共同理解。</w:t>
      </w:r>
    </w:p>
    <w:p>
      <w:pPr>
        <w:spacing w:line="480" w:lineRule="exact"/>
        <w:ind w:firstLine="480" w:firstLineChars="200"/>
        <w:rPr>
          <w:sz w:val="24"/>
        </w:rPr>
      </w:pPr>
      <w:r>
        <w:rPr>
          <w:sz w:val="24"/>
        </w:rPr>
        <w:t>⑶施工期废水及固体废物影响分析结论</w:t>
      </w:r>
    </w:p>
    <w:p>
      <w:pPr>
        <w:spacing w:line="480" w:lineRule="exact"/>
        <w:ind w:firstLine="480" w:firstLineChars="200"/>
        <w:rPr>
          <w:rFonts w:hint="eastAsia"/>
          <w:sz w:val="24"/>
        </w:rPr>
      </w:pPr>
      <w:r>
        <w:rPr>
          <w:sz w:val="24"/>
        </w:rPr>
        <w:t>①施工期的废水：施工期生产废水应通过设置的临时沉淀池沉淀后上层清液循环回用，底层沉淀泥浆干燥后作为建筑垃圾清运；食堂废水经临时隔油池隔油后进入化粪池，粪便废水经设置临时化粪池处理后由环卫吸粪车及时清运，因此施工期间对水环境基本无影响。②施工期的固体废物：施工期的固体废物主要是建筑垃圾和生活垃圾。建筑垃圾应及时进行清运、填埋或回收利用，防止长期堆放后干燥而产生扬尘。生活垃圾须及时联系并由环卫部门清运处理，做到日产日清，防止腐烂变质、孳生蚊蝇、产生恶臭、传染疾病，对周围环境和人员健康带来不利影响。经上述处理后，项目建设期产生的生活垃圾对周围环境影响较小。</w:t>
      </w:r>
    </w:p>
    <w:p>
      <w:pPr>
        <w:spacing w:line="480" w:lineRule="exact"/>
        <w:ind w:firstLine="480" w:firstLineChars="200"/>
        <w:rPr>
          <w:sz w:val="24"/>
        </w:rPr>
      </w:pPr>
      <w:r>
        <w:rPr>
          <w:rFonts w:hint="eastAsia"/>
          <w:sz w:val="24"/>
        </w:rPr>
        <w:t>⑷</w:t>
      </w:r>
      <w:r>
        <w:rPr>
          <w:sz w:val="24"/>
        </w:rPr>
        <w:t>土方堆放、清运、回填影响分析</w:t>
      </w:r>
    </w:p>
    <w:p>
      <w:pPr>
        <w:spacing w:line="480" w:lineRule="exact"/>
        <w:ind w:firstLine="480" w:firstLineChars="200"/>
        <w:rPr>
          <w:sz w:val="24"/>
        </w:rPr>
      </w:pPr>
      <w:r>
        <w:rPr>
          <w:sz w:val="24"/>
        </w:rPr>
        <w:t>因项目施工场地较小，而开挖土方较多，挖方量约</w:t>
      </w:r>
      <w:r>
        <w:rPr>
          <w:rFonts w:hint="eastAsia"/>
          <w:sz w:val="24"/>
        </w:rPr>
        <w:t>13500m</w:t>
      </w:r>
      <w:r>
        <w:rPr>
          <w:rFonts w:hint="eastAsia"/>
          <w:sz w:val="24"/>
          <w:vertAlign w:val="superscript"/>
        </w:rPr>
        <w:t>3</w:t>
      </w:r>
      <w:r>
        <w:rPr>
          <w:sz w:val="24"/>
        </w:rPr>
        <w:t>，除部分用于回填和绿化用土外，将产生较多弃方，应及时外运，妥善处置。</w:t>
      </w:r>
      <w:r>
        <w:rPr>
          <w:bCs/>
          <w:sz w:val="24"/>
        </w:rPr>
        <w:t>项目建设地原</w:t>
      </w:r>
      <w:r>
        <w:rPr>
          <w:sz w:val="24"/>
        </w:rPr>
        <w:t>为农田</w:t>
      </w:r>
      <w:r>
        <w:rPr>
          <w:bCs/>
          <w:sz w:val="24"/>
        </w:rPr>
        <w:t>，没有其他工业企业建设过，土壤中不存在工业污染物和放射性污染物，</w:t>
      </w:r>
      <w:r>
        <w:rPr>
          <w:sz w:val="24"/>
        </w:rPr>
        <w:br/>
      </w:r>
      <w:r>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https://d.book118.com/435131033242011041</w:t>
        </w:r>
      </w:hyperlink>
    </w:p>
    <w:p>
      <w:pPr>
        <w:spacing w:line="480" w:lineRule="exact"/>
        <w:ind w:firstLine="480" w:firstLineChars="200"/>
        <w:rPr>
          <w:sz w:val="24"/>
        </w:rPr>
      </w:pPr>
    </w:p>
    <w:sectPr>
      <w:headerReference w:type="default" r:id="rId18"/>
      <w:footerReference w:type="default" r:id="rId19"/>
      <w:pgSz w:w="11906" w:h="16838"/>
      <w:pgMar w:top="1440" w:right="1646" w:bottom="1440" w:left="1800" w:header="851" w:footer="992" w:gutter="0"/>
      <w:pgNumType w:start="7"/>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Courier New">
    <w:panose1 w:val="02070309020205020404"/>
    <w:charset w:val="01"/>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Script">
    <w:altName w:val="Courier New"/>
    <w:panose1 w:val="00000000000000000000"/>
    <w:charset w:val="01"/>
    <w:family w:val="script"/>
    <w:pitch w:val="default"/>
    <w:sig w:usb0="00000003" w:usb1="00000000" w:usb2="00000000" w:usb3="00000000" w:csb0="00000000" w:csb1="00000000"/>
  </w:font>
  <w:font w:name="Arial Unicode MS">
    <w:panose1 w:val="020B0604020202020204"/>
    <w:charset w:val="86"/>
    <w:family w:val="roman"/>
    <w:pitch w:val="default"/>
    <w:sig w:usb0="F7FFAEFF" w:usb1="F9DFFFFF" w:usb2="0000007F" w:usb3="00000000" w:csb0="203F01FF" w:csb1="DFFF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3</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4</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5</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7</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rPr>
        <w:rStyle w:val="PageNumber"/>
      </w:rPr>
      <w:instrText xml:space="preserve"> PAGE </w:instrText>
    </w:r>
    <w:r>
      <w:fldChar w:fldCharType="separate"/>
    </w:r>
    <w:r>
      <w:rPr>
        <w:rStyle w:val="PageNumber"/>
      </w:rPr>
      <w:t>7</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00000002"/>
    <w:multiLevelType w:val="multilevel"/>
    <w:tmpl w:val="00000002"/>
    <w:lvl w:ilvl="0">
      <w:start w:val="1"/>
      <w:numFmt w:val="decimal"/>
      <w:lvlText w:val="%1"/>
      <w:lvlJc w:val="left"/>
      <w:pPr>
        <w:tabs>
          <w:tab w:val="num" w:pos="994"/>
        </w:tabs>
        <w:ind w:left="540" w:firstLine="0"/>
      </w:pPr>
      <w:rPr>
        <w:rFonts w:hint="default"/>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defaultTabStop w:val="420"/>
  <w:drawingGridHorizontalSpacing w:val="2"/>
  <w:drawingGridVerticalSpacing w:val="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2C8C2971"/>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uiPriority="0" w:qFormat="1"/>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spacing w:line="480" w:lineRule="exact"/>
      <w:outlineLvl w:val="0"/>
    </w:pPr>
    <w:rPr>
      <w:b/>
      <w:sz w:val="30"/>
    </w:rPr>
  </w:style>
  <w:style w:type="paragraph" w:styleId="Heading2">
    <w:name w:val="heading 2"/>
    <w:basedOn w:val="Normal"/>
    <w:next w:val="NormalIndent"/>
    <w:pPr>
      <w:tabs>
        <w:tab w:val="left" w:pos="536"/>
      </w:tabs>
      <w:spacing w:line="480" w:lineRule="exact"/>
      <w:outlineLvl w:val="1"/>
    </w:pPr>
    <w:rPr>
      <w:rFonts w:ascii="黑体"/>
      <w:b/>
      <w:bCs/>
      <w:sz w:val="28"/>
    </w:rPr>
  </w:style>
  <w:style w:type="paragraph" w:styleId="Heading3">
    <w:name w:val="heading 3"/>
    <w:basedOn w:val="Normal"/>
    <w:next w:val="Normal"/>
    <w:pPr>
      <w:keepNext/>
      <w:keepLines/>
      <w:adjustRightInd w:val="0"/>
      <w:spacing w:before="260" w:beforeLines="0" w:after="260" w:afterLines="0" w:line="416" w:lineRule="atLeast"/>
      <w:textAlignment w:val="baseline"/>
      <w:outlineLvl w:val="2"/>
    </w:pPr>
    <w:rPr>
      <w:rFonts w:ascii="宋体"/>
      <w:b/>
      <w:bCs/>
      <w:kern w:val="0"/>
      <w:sz w:val="32"/>
      <w:szCs w:val="32"/>
    </w:rPr>
  </w:style>
  <w:style w:type="paragraph" w:styleId="Heading5">
    <w:name w:val="heading 5"/>
    <w:basedOn w:val="Normal"/>
    <w:next w:val="Normal"/>
    <w:pPr>
      <w:keepNext/>
      <w:keepLines/>
      <w:numPr>
        <w:ilvl w:val="4"/>
        <w:numId w:val="1"/>
      </w:numPr>
      <w:adjustRightInd w:val="0"/>
      <w:spacing w:before="280" w:beforeLines="0" w:after="290" w:afterLines="0" w:line="376" w:lineRule="atLeast"/>
      <w:ind w:firstLine="482"/>
      <w:jc w:val="left"/>
      <w:textAlignment w:val="baseline"/>
      <w:outlineLvl w:val="4"/>
    </w:pPr>
    <w:rPr>
      <w:rFonts w:ascii="宋体"/>
      <w:b/>
      <w:kern w:val="0"/>
      <w:sz w:val="28"/>
      <w:szCs w:val="21"/>
    </w:rPr>
  </w:style>
  <w:style w:type="paragraph" w:styleId="Heading6">
    <w:name w:val="heading 6"/>
    <w:basedOn w:val="Normal"/>
    <w:next w:val="Normal"/>
    <w:pPr>
      <w:keepNext/>
      <w:keepLines/>
      <w:numPr>
        <w:ilvl w:val="5"/>
        <w:numId w:val="1"/>
      </w:numPr>
      <w:adjustRightInd w:val="0"/>
      <w:spacing w:before="240" w:beforeLines="0" w:after="64" w:afterLines="0" w:line="320" w:lineRule="atLeast"/>
      <w:ind w:firstLine="482"/>
      <w:jc w:val="left"/>
      <w:textAlignment w:val="baseline"/>
      <w:outlineLvl w:val="5"/>
    </w:pPr>
    <w:rPr>
      <w:rFonts w:ascii="Arial" w:eastAsia="黑体" w:hAnsi="Arial"/>
      <w:b/>
      <w:kern w:val="0"/>
      <w:sz w:val="24"/>
      <w:szCs w:val="21"/>
    </w:rPr>
  </w:style>
  <w:style w:type="paragraph" w:styleId="Heading7">
    <w:name w:val="heading 7"/>
    <w:basedOn w:val="Normal"/>
    <w:next w:val="Normal"/>
    <w:pPr>
      <w:keepNext/>
      <w:keepLines/>
      <w:numPr>
        <w:ilvl w:val="6"/>
        <w:numId w:val="1"/>
      </w:numPr>
      <w:adjustRightInd w:val="0"/>
      <w:spacing w:before="240" w:beforeLines="0" w:after="64" w:afterLines="0" w:line="320" w:lineRule="atLeast"/>
      <w:ind w:firstLine="482"/>
      <w:jc w:val="left"/>
      <w:textAlignment w:val="baseline"/>
      <w:outlineLvl w:val="6"/>
    </w:pPr>
    <w:rPr>
      <w:rFonts w:ascii="宋体"/>
      <w:b/>
      <w:kern w:val="0"/>
      <w:sz w:val="24"/>
      <w:szCs w:val="21"/>
    </w:rPr>
  </w:style>
  <w:style w:type="paragraph" w:styleId="Heading8">
    <w:name w:val="heading 8"/>
    <w:basedOn w:val="Normal"/>
    <w:next w:val="Normal"/>
    <w:pPr>
      <w:keepNext/>
      <w:keepLines/>
      <w:numPr>
        <w:ilvl w:val="7"/>
        <w:numId w:val="1"/>
      </w:numPr>
      <w:adjustRightInd w:val="0"/>
      <w:spacing w:before="240" w:beforeLines="0" w:after="64" w:afterLines="0" w:line="320" w:lineRule="atLeast"/>
      <w:ind w:firstLine="482"/>
      <w:jc w:val="left"/>
      <w:textAlignment w:val="baseline"/>
      <w:outlineLvl w:val="7"/>
    </w:pPr>
    <w:rPr>
      <w:rFonts w:ascii="Arial" w:eastAsia="黑体" w:hAnsi="Arial"/>
      <w:kern w:val="0"/>
      <w:sz w:val="24"/>
      <w:szCs w:val="21"/>
    </w:rPr>
  </w:style>
  <w:style w:type="paragraph" w:styleId="Heading9">
    <w:name w:val="heading 9"/>
    <w:basedOn w:val="Normal"/>
    <w:next w:val="Normal"/>
    <w:pPr>
      <w:keepNext/>
      <w:keepLines/>
      <w:numPr>
        <w:ilvl w:val="8"/>
        <w:numId w:val="1"/>
      </w:numPr>
      <w:adjustRightInd w:val="0"/>
      <w:spacing w:before="240" w:beforeLines="0" w:after="64" w:afterLines="0" w:line="320" w:lineRule="atLeast"/>
      <w:ind w:firstLine="482"/>
      <w:jc w:val="left"/>
      <w:textAlignment w:val="baseline"/>
      <w:outlineLvl w:val="8"/>
    </w:pPr>
    <w:rPr>
      <w:rFonts w:ascii="Arial" w:eastAsia="黑体" w:hAnsi="Arial"/>
      <w:kern w:val="0"/>
      <w:sz w:val="24"/>
      <w:szCs w:val="21"/>
    </w:rPr>
  </w:style>
  <w:style w:type="character" w:default="1" w:styleId="DefaultParagraphFont">
    <w:name w:val="Default Paragraph Font"/>
    <w:link w:val="CharCharCharCharCharChar1CharCharCharCharCharCharCharCharCharCharCharChar1CharCharCharCharCharCharCharCharCharCharCharCharChar"/>
  </w:style>
  <w:style w:type="table" w:default="1" w:styleId="TableNormal">
    <w:name w:val="Normal Table"/>
    <w:semiHidden/>
    <w:tblPr>
      <w:tblCellMar>
        <w:top w:w="0" w:type="dxa"/>
        <w:left w:w="108" w:type="dxa"/>
        <w:bottom w:w="0" w:type="dxa"/>
        <w:right w:w="108" w:type="dxa"/>
      </w:tblCellMar>
    </w:tblPr>
  </w:style>
  <w:style w:type="paragraph" w:styleId="NormalIndent">
    <w:name w:val="Normal Indent"/>
    <w:basedOn w:val="Normal"/>
    <w:pPr>
      <w:ind w:firstLine="420" w:firstLineChars="200"/>
    </w:pPr>
  </w:style>
  <w:style w:type="paragraph" w:styleId="DocumentMap">
    <w:name w:val="Document Map"/>
    <w:basedOn w:val="Normal"/>
    <w:pPr>
      <w:shd w:val="clear" w:color="auto" w:fill="000080"/>
    </w:pPr>
  </w:style>
  <w:style w:type="paragraph" w:styleId="BodyText">
    <w:name w:val="Body Text"/>
    <w:basedOn w:val="Normal"/>
    <w:pPr>
      <w:spacing w:after="120" w:afterLines="0"/>
    </w:pPr>
  </w:style>
  <w:style w:type="paragraph" w:styleId="BodyTextIndent">
    <w:name w:val="Body Text Indent"/>
    <w:basedOn w:val="Normal"/>
    <w:pPr>
      <w:spacing w:line="460" w:lineRule="exact"/>
      <w:ind w:firstLine="480" w:firstLineChars="200"/>
    </w:pPr>
    <w:rPr>
      <w:sz w:val="24"/>
    </w:rPr>
  </w:style>
  <w:style w:type="paragraph" w:styleId="BlockText">
    <w:name w:val="Block Text"/>
    <w:basedOn w:val="Normal"/>
    <w:pPr>
      <w:spacing w:line="380" w:lineRule="exact"/>
      <w:ind w:left="140" w:right="140" w:firstLine="480" w:leftChars="50" w:rightChars="50" w:firstLineChars="200"/>
    </w:pPr>
    <w:rPr>
      <w:sz w:val="24"/>
    </w:rPr>
  </w:style>
  <w:style w:type="paragraph" w:styleId="PlainText">
    <w:name w:val="Plain Text"/>
    <w:basedOn w:val="Normal"/>
    <w:rPr>
      <w:rFonts w:ascii="宋体" w:hAnsi="Courier New"/>
      <w:szCs w:val="20"/>
    </w:rPr>
  </w:style>
  <w:style w:type="paragraph" w:styleId="Date">
    <w:name w:val="Date"/>
    <w:basedOn w:val="Normal"/>
    <w:next w:val="Normal"/>
    <w:pPr>
      <w:ind w:left="100" w:leftChars="2500"/>
    </w:pPr>
    <w:rPr>
      <w:sz w:val="24"/>
    </w:rPr>
  </w:style>
  <w:style w:type="paragraph" w:styleId="BodyTextIndent2">
    <w:name w:val="Body Text Indent 2"/>
    <w:basedOn w:val="Normal"/>
    <w:pPr>
      <w:spacing w:after="120" w:afterLines="0" w:line="480" w:lineRule="auto"/>
      <w:ind w:left="420" w:leftChars="2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BodyTextIndent3">
    <w:name w:val="Body Text Indent 3"/>
    <w:basedOn w:val="Normal"/>
    <w:pPr>
      <w:spacing w:after="120" w:afterLines="0"/>
      <w:ind w:left="420" w:leftChars="200"/>
    </w:pPr>
    <w:rPr>
      <w:sz w:val="16"/>
      <w:szCs w:val="16"/>
    </w:rPr>
  </w:style>
  <w:style w:type="paragraph" w:styleId="TOC2">
    <w:name w:val="toc 2"/>
    <w:basedOn w:val="Normal"/>
    <w:next w:val="Normal"/>
    <w:pPr>
      <w:ind w:left="420" w:leftChars="200"/>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BodyTextFirstIndent">
    <w:name w:val="Body Text First Indent"/>
    <w:basedOn w:val="BodyText"/>
    <w:pPr>
      <w:ind w:firstLine="420" w:firstLineChars="100"/>
    </w:pPr>
  </w:style>
  <w:style w:type="paragraph" w:customStyle="1" w:styleId="CharCharCharCharCharChar1CharCharCharCharCharCharCharCharCharCharCharChar1CharCharCharCharCharCharCharCharCharCharCharCharChar">
    <w:name w:val=" Char Char Char Char Char Char1 Char Char Char Char Char Char Char Char Char Char Char Char1 Char Char Char Char Char Char Char Char Char Char Char Char Char"/>
    <w:basedOn w:val="Normal"/>
    <w:link w:val="DefaultParagraphFont"/>
  </w:style>
  <w:style w:type="character" w:styleId="Strong">
    <w:name w:val="Strong"/>
    <w:basedOn w:val="DefaultParagraphFont"/>
    <w:rPr>
      <w:b/>
      <w:bCs/>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f1">
    <w:name w:val="f1"/>
    <w:basedOn w:val="DefaultParagraphFont"/>
  </w:style>
  <w:style w:type="character" w:customStyle="1" w:styleId="1CharChar">
    <w:name w:val="1 Char Char"/>
    <w:basedOn w:val="DefaultParagraphFont"/>
    <w:link w:val="1"/>
    <w:rPr>
      <w:rFonts w:eastAsia="仿宋_GB2312"/>
      <w:kern w:val="2"/>
      <w:sz w:val="24"/>
      <w:lang w:val="en-US" w:eastAsia="zh-CN" w:bidi="ar-SA"/>
    </w:rPr>
  </w:style>
  <w:style w:type="paragraph" w:customStyle="1" w:styleId="1">
    <w:name w:val="1"/>
    <w:basedOn w:val="Normal"/>
    <w:next w:val="BodyTextIndent"/>
    <w:link w:val="1CharChar"/>
    <w:pPr>
      <w:spacing w:line="360" w:lineRule="auto"/>
      <w:ind w:firstLine="480" w:firstLineChars="200"/>
    </w:pPr>
    <w:rPr>
      <w:rFonts w:eastAsia="仿宋_GB2312"/>
      <w:kern w:val="2"/>
      <w:sz w:val="24"/>
      <w:lang w:val="en-US" w:eastAsia="zh-CN" w:bidi="ar-SA"/>
    </w:rPr>
  </w:style>
  <w:style w:type="character" w:customStyle="1" w:styleId="2Char">
    <w:name w:val="标题 2 Char"/>
    <w:aliases w:val="标题节 Char"/>
    <w:basedOn w:val="DefaultParagraphFont"/>
    <w:rPr>
      <w:rFonts w:ascii="黑体" w:eastAsia="宋体"/>
      <w:b/>
      <w:bCs/>
      <w:kern w:val="2"/>
      <w:sz w:val="28"/>
      <w:szCs w:val="24"/>
      <w:lang w:val="en-US" w:eastAsia="zh-CN" w:bidi="ar-SA"/>
    </w:rPr>
  </w:style>
  <w:style w:type="character" w:customStyle="1" w:styleId="line221">
    <w:name w:val="line221"/>
    <w:basedOn w:val="DefaultParagraphFont"/>
    <w:rPr>
      <w:sz w:val="20"/>
      <w:szCs w:val="20"/>
    </w:rPr>
  </w:style>
  <w:style w:type="character" w:customStyle="1" w:styleId="01CharChar">
    <w:name w:val="正文01 Char Char"/>
    <w:basedOn w:val="DefaultParagraphFont"/>
    <w:link w:val="01"/>
    <w:rPr>
      <w:rFonts w:eastAsia="宋体"/>
      <w:kern w:val="2"/>
      <w:sz w:val="24"/>
      <w:szCs w:val="24"/>
      <w:lang w:val="en-US" w:eastAsia="zh-CN" w:bidi="ar-SA"/>
    </w:rPr>
  </w:style>
  <w:style w:type="paragraph" w:customStyle="1" w:styleId="01">
    <w:name w:val="正文01"/>
    <w:basedOn w:val="Normal"/>
    <w:link w:val="01CharChar"/>
    <w:pPr>
      <w:spacing w:before="60" w:beforeLines="0" w:line="460" w:lineRule="exact"/>
      <w:ind w:firstLine="200" w:firstLineChars="200"/>
    </w:pPr>
    <w:rPr>
      <w:rFonts w:eastAsia="宋体"/>
      <w:kern w:val="2"/>
      <w:sz w:val="24"/>
      <w:szCs w:val="24"/>
      <w:lang w:val="en-US" w:eastAsia="zh-CN" w:bidi="ar-SA"/>
    </w:rPr>
  </w:style>
  <w:style w:type="paragraph" w:customStyle="1" w:styleId="3">
    <w:name w:val="样式3"/>
    <w:basedOn w:val="Heading2"/>
    <w:pPr>
      <w:keepNext/>
      <w:keepLines/>
      <w:numPr>
        <w:ilvl w:val="1"/>
        <w:numId w:val="2"/>
      </w:numPr>
      <w:tabs>
        <w:tab w:val="clear" w:pos="536"/>
        <w:tab w:val="left" w:pos="1380"/>
      </w:tabs>
      <w:spacing w:before="180" w:beforeLines="0" w:after="180" w:afterLines="0" w:line="360" w:lineRule="auto"/>
      <w:jc w:val="left"/>
    </w:pPr>
    <w:rPr>
      <w:rFonts w:ascii="Times New Roman"/>
      <w:snapToGrid w:val="0"/>
      <w:color w:val="000000"/>
      <w:sz w:val="30"/>
      <w:szCs w:val="30"/>
    </w:rPr>
  </w:style>
  <w:style w:type="paragraph" w:customStyle="1" w:styleId="CharCharCharCharCharChar1CharCharCharCharCharCharCharCharCharCharCharCharCharCharChar1Char">
    <w:name w:val=" Char Char Char Char Char Char1 Char Char Char Char Char Char Char Char Char Char Char Char Char Char Char1 Char"/>
    <w:basedOn w:val="Normal"/>
    <w:rPr>
      <w:sz w:val="24"/>
    </w:rPr>
  </w:style>
  <w:style w:type="paragraph" w:customStyle="1" w:styleId="CharCharCharCharCharCharCharCharCharCharCharCharChar">
    <w:name w:val=" Char Char Char Char Char Char Char Char Char Char Char Char Char"/>
    <w:basedOn w:val="Normal"/>
    <w:rPr>
      <w:sz w:val="24"/>
      <w:szCs w:val="20"/>
    </w:rPr>
  </w:style>
  <w:style w:type="paragraph" w:customStyle="1" w:styleId="CharCharCharCharCharCharCharCharChar1CharCharCharCharCharCharCharCharCharCharCharCharChar">
    <w:name w:val=" Char Char Char Char Char Char Char Char Char1 Char Char Char Char Char Char Char Char Char Char Char Char Char"/>
    <w:basedOn w:val="Normal"/>
    <w:rPr>
      <w:sz w:val="24"/>
    </w:rPr>
  </w:style>
  <w:style w:type="paragraph" w:customStyle="1" w:styleId="a">
    <w:name w:val="表格标题"/>
    <w:basedOn w:val="Normal"/>
    <w:pPr>
      <w:spacing w:before="120" w:beforeLines="0"/>
      <w:jc w:val="center"/>
    </w:pPr>
    <w:rPr>
      <w:rFonts w:eastAsia="仿宋_GB2312"/>
      <w:sz w:val="24"/>
      <w:szCs w:val="20"/>
    </w:rPr>
  </w:style>
  <w:style w:type="paragraph" w:customStyle="1" w:styleId="xl37">
    <w:name w:val="xl37"/>
    <w:basedOn w:val="Normal"/>
    <w:pPr>
      <w:widowControl/>
      <w:spacing w:before="100" w:beforeLines="0" w:beforeAutospacing="1" w:after="100" w:afterLines="0" w:afterAutospacing="1"/>
      <w:jc w:val="center"/>
    </w:pPr>
    <w:rPr>
      <w:rFonts w:ascii="宋体" w:hAnsi="宋体"/>
      <w:kern w:val="0"/>
      <w:sz w:val="24"/>
    </w:rPr>
  </w:style>
  <w:style w:type="paragraph" w:customStyle="1" w:styleId="a0">
    <w:name w:val="应填表格"/>
    <w:basedOn w:val="Normal"/>
    <w:pPr>
      <w:adjustRightInd w:val="0"/>
      <w:spacing w:before="40" w:beforeLines="0" w:after="40" w:afterLines="0"/>
      <w:jc w:val="left"/>
      <w:textAlignment w:val="baseline"/>
    </w:pPr>
    <w:rPr>
      <w:kern w:val="0"/>
      <w:sz w:val="24"/>
      <w:szCs w:val="20"/>
    </w:rPr>
  </w:style>
  <w:style w:type="paragraph" w:customStyle="1" w:styleId="Char0">
    <w:name w:val=" Char"/>
    <w:basedOn w:val="Normal"/>
    <w:next w:val="Normal"/>
  </w:style>
  <w:style w:type="paragraph" w:customStyle="1" w:styleId="10">
    <w:name w:val="正文1"/>
    <w:basedOn w:val="Normal"/>
    <w:pPr>
      <w:snapToGrid w:val="0"/>
      <w:spacing w:line="500" w:lineRule="atLeast"/>
      <w:ind w:firstLine="567"/>
    </w:pPr>
    <w:rPr>
      <w:sz w:val="24"/>
      <w:szCs w:val="20"/>
    </w:rPr>
  </w:style>
  <w:style w:type="paragraph" w:customStyle="1" w:styleId="a1">
    <w:name w:val="表"/>
    <w:basedOn w:val="Normal"/>
    <w:pPr>
      <w:snapToGrid w:val="0"/>
      <w:jc w:val="center"/>
    </w:pPr>
    <w:rPr>
      <w:spacing w:val="2"/>
      <w:szCs w:val="20"/>
    </w:rPr>
  </w:style>
  <w:style w:type="paragraph" w:customStyle="1" w:styleId="CharCharChar1CharCharCharCharCharCharCharCharCharCharCharCharCharCharCharCharCharCharCharCharCharCharCharCharChar">
    <w:name w:val=" Char Char Char1 Char Char Char Char Char Char Char Char Char Char Char Char Char Char Char Char Char Char Char Char Char Char Char Char Char"/>
    <w:basedOn w:val="Normal"/>
    <w:rPr>
      <w:sz w:val="24"/>
    </w:rPr>
  </w:style>
  <w:style w:type="paragraph" w:customStyle="1" w:styleId="4">
    <w:name w:val="样式4"/>
    <w:basedOn w:val="Heading3"/>
    <w:pPr>
      <w:numPr>
        <w:ilvl w:val="2"/>
        <w:numId w:val="2"/>
      </w:numPr>
      <w:tabs>
        <w:tab w:val="left" w:pos="1800"/>
      </w:tabs>
      <w:adjustRightInd/>
      <w:spacing w:before="120" w:beforeLines="0" w:after="120" w:afterLines="0" w:line="360" w:lineRule="auto"/>
      <w:jc w:val="left"/>
      <w:textAlignment w:val="auto"/>
    </w:pPr>
    <w:rPr>
      <w:rFonts w:ascii="Times New Roman"/>
      <w:kern w:val="2"/>
      <w:sz w:val="28"/>
      <w:szCs w:val="28"/>
    </w:rPr>
  </w:style>
  <w:style w:type="paragraph" w:customStyle="1" w:styleId="CharCharCharChar">
    <w:name w:val="Char Char Char Char"/>
    <w:basedOn w:val="Normal"/>
    <w:pPr>
      <w:spacing w:before="62" w:beforeLines="20" w:line="440" w:lineRule="atLeast"/>
      <w:ind w:firstLine="200" w:firstLineChars="200"/>
    </w:pPr>
    <w:rPr>
      <w:sz w:val="24"/>
    </w:rPr>
  </w:style>
  <w:style w:type="paragraph" w:customStyle="1" w:styleId="ParaCharCharCharCharCharCharCharCharCharCharCharCharChar">
    <w:name w:val="默认段落字体 Para Char Char Char Char Char Char Char Char Char Char Char Char Char"/>
    <w:basedOn w:val="Normal"/>
    <w:rPr>
      <w:sz w:val="24"/>
    </w:rPr>
  </w:style>
  <w:style w:type="paragraph" w:customStyle="1" w:styleId="11">
    <w:name w:val="表格样式1"/>
    <w:pPr>
      <w:tabs>
        <w:tab w:val="center" w:pos="546"/>
      </w:tabs>
      <w:spacing w:line="440" w:lineRule="exact"/>
      <w:jc w:val="center"/>
    </w:pPr>
    <w:rPr>
      <w:rFonts w:eastAsia="仿宋_GB2312"/>
      <w:iCs/>
      <w:sz w:val="21"/>
      <w:lang w:val="en-US" w:eastAsia="zh-CN" w:bidi="ar-SA"/>
    </w:rPr>
  </w:style>
  <w:style w:type="paragraph" w:customStyle="1" w:styleId="Default">
    <w:name w:val="Default"/>
    <w:pPr>
      <w:widowControl w:val="0"/>
      <w:autoSpaceDE w:val="0"/>
      <w:autoSpaceDN w:val="0"/>
      <w:adjustRightInd w:val="0"/>
    </w:pPr>
    <w:rPr>
      <w:color w:val="000000"/>
      <w:sz w:val="24"/>
      <w:lang w:val="en-US" w:eastAsia="zh-CN" w:bidi="ar-SA"/>
    </w:rPr>
  </w:style>
  <w:style w:type="paragraph" w:customStyle="1" w:styleId="i">
    <w:name w:val="图题i"/>
    <w:basedOn w:val="Normal"/>
    <w:rPr>
      <w:rFonts w:eastAsia="黑体"/>
      <w:sz w:val="28"/>
      <w:szCs w:val="20"/>
    </w:rPr>
  </w:style>
  <w:style w:type="paragraph" w:customStyle="1" w:styleId="a2">
    <w:name w:val="标准"/>
    <w:basedOn w:val="Normal"/>
    <w:pPr>
      <w:adjustRightInd w:val="0"/>
      <w:spacing w:line="312" w:lineRule="atLeast"/>
      <w:textAlignment w:val="baseline"/>
    </w:pPr>
    <w:rPr>
      <w:rFonts w:ascii="楷体_GB2312" w:eastAsia="楷体_GB2312" w:hAnsi="Script"/>
      <w:kern w:val="0"/>
      <w:sz w:val="24"/>
      <w:szCs w:val="20"/>
    </w:rPr>
  </w:style>
  <w:style w:type="paragraph" w:customStyle="1" w:styleId="xl27">
    <w:name w:val="xl27"/>
    <w:basedOn w:val="Normal"/>
    <w:pPr>
      <w:widowControl/>
      <w:pBdr>
        <w:bottom w:val="single" w:sz="4" w:space="0" w:color="auto"/>
        <w:right w:val="single" w:sz="4" w:space="0" w:color="auto"/>
      </w:pBdr>
      <w:spacing w:before="100" w:beforeLines="0" w:beforeAutospacing="1" w:after="100" w:afterLines="0" w:afterAutospacing="1"/>
      <w:jc w:val="center"/>
    </w:pPr>
    <w:rPr>
      <w:rFonts w:ascii="仿宋_GB2312" w:hAnsi="Arial Unicode MS" w:hint="eastAsia"/>
      <w:kern w:val="0"/>
      <w:szCs w:val="20"/>
    </w:rPr>
  </w:style>
  <w:style w:type="paragraph" w:customStyle="1" w:styleId="4-">
    <w:name w:val="标题4-正文"/>
    <w:basedOn w:val="Normal"/>
    <w:pPr>
      <w:spacing w:line="480" w:lineRule="exact"/>
      <w:jc w:val="left"/>
    </w:pPr>
    <w:rPr>
      <w:kern w:val="0"/>
      <w:sz w:val="24"/>
      <w:szCs w:val="21"/>
    </w:rPr>
  </w:style>
  <w:style w:type="paragraph" w:customStyle="1" w:styleId="a3">
    <w:name w:val="居中正文"/>
    <w:basedOn w:val="BodyTextFirstIndent"/>
    <w:pPr>
      <w:adjustRightInd w:val="0"/>
      <w:spacing w:before="120" w:beforeLines="0" w:after="0" w:afterLines="0" w:line="360" w:lineRule="auto"/>
      <w:ind w:firstLine="0" w:firstLineChars="0"/>
      <w:jc w:val="center"/>
      <w:textAlignment w:val="baseline"/>
    </w:pPr>
    <w:rPr>
      <w:rFonts w:ascii="宋体"/>
      <w:kern w:val="28"/>
      <w:sz w:val="24"/>
      <w:szCs w:val="20"/>
    </w:rPr>
  </w:style>
  <w:style w:type="paragraph" w:customStyle="1" w:styleId="CharCharCharCharCharCharChar">
    <w:name w:val="Char Char Char Char Char Char Char"/>
    <w:basedOn w:val="Normal"/>
    <w:pPr>
      <w:widowControl/>
      <w:spacing w:after="160" w:afterLines="0" w:line="240" w:lineRule="exact"/>
      <w:jc w:val="left"/>
    </w:pPr>
    <w:rPr>
      <w:rFonts w:ascii="Arial" w:eastAsia="Times New Roman" w:hAnsi="Arial" w:cs="Verdana"/>
      <w:b/>
      <w:kern w:val="0"/>
      <w:sz w:val="24"/>
      <w:lang w:eastAsia="en-US"/>
    </w:rPr>
  </w:style>
  <w:style w:type="paragraph" w:customStyle="1" w:styleId="a4">
    <w:name w:val="正文 + 宋体"/>
    <w:basedOn w:val="Normal"/>
    <w:pPr>
      <w:spacing w:line="360" w:lineRule="auto"/>
      <w:ind w:firstLine="560" w:firstLineChars="200"/>
    </w:pPr>
    <w:rPr>
      <w:rFonts w:ascii="宋体" w:hAnsi="宋体"/>
      <w:sz w:val="28"/>
      <w:szCs w:val="20"/>
    </w:rPr>
  </w:style>
  <w:style w:type="paragraph" w:customStyle="1" w:styleId="xl42">
    <w:name w:val="xl42"/>
    <w:basedOn w:val="Normal"/>
    <w:pPr>
      <w:widowControl/>
      <w:pBdr>
        <w:left w:val="single" w:sz="4" w:space="0" w:color="auto"/>
        <w:bottom w:val="single" w:sz="4" w:space="0" w:color="auto"/>
        <w:right w:val="single" w:sz="4" w:space="0" w:color="auto"/>
      </w:pBdr>
      <w:spacing w:before="100" w:beforeLines="0" w:beforeAutospacing="1" w:after="100" w:afterLines="0" w:afterAutospacing="1"/>
      <w:jc w:val="center"/>
    </w:pPr>
    <w:rPr>
      <w:rFonts w:ascii="宋体" w:hAnsi="宋体"/>
      <w:color w:val="000000"/>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baike.baidu.com/view/1093.htm" TargetMode="Externa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yperlink" Target="https://d.book118.com/435131033242011041" TargetMode="Externa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2490</Words>
  <Characters>14198</Characters>
  <Application>Microsoft Office Word</Application>
  <DocSecurity>0</DocSecurity>
  <Lines>118</Lines>
  <Paragraphs>33</Paragraphs>
  <ScaleCrop>false</ScaleCrop>
  <Company>WwW.YlmF.CoM</Company>
  <LinksUpToDate>false</LinksUpToDate>
  <CharactersWithSpaces>16655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建设项目环境影响报告书</dc:title>
  <dc:creator>YlmF</dc:creator>
  <cp:lastModifiedBy>委员</cp:lastModifiedBy>
  <cp:revision>17</cp:revision>
  <dcterms:created xsi:type="dcterms:W3CDTF">2012-02-29T07:27:00Z</dcterms:created>
  <dcterms:modified xsi:type="dcterms:W3CDTF">2024-01-09T02:53:45Z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277F9416155740B4A64099F5A0EB2CDE_12</vt:lpwstr>
  </property>
  <property fmtid="{D5CDD505-2E9C-101B-9397-08002B2CF9AE}" pid="3" name="KSOProductBuildVer">
    <vt:lpwstr>2052-12.1.0.15712</vt:lpwstr>
  </property>
</Properties>
</file>