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金属基超硬材料行业商业计划书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37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_Toc31837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val="en-US"/>
          </w:rPr>
          <w:t>一、金属基超硬材料项目概论</w:t>
        </w:r>
        <w:r>
          <w:tab/>
        </w:r>
        <w:r>
          <w:fldChar w:fldCharType="begin"/>
        </w:r>
        <w:r>
          <w:instrText xml:space="preserve"> PAGEREF _Toc24565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val="en-US"/>
          </w:rPr>
          <w:t>(一)、创新计划及金属基超硬材料项目性质</w:t>
        </w:r>
        <w:r>
          <w:tab/>
        </w:r>
        <w:r>
          <w:fldChar w:fldCharType="begin"/>
        </w:r>
        <w:r>
          <w:instrText xml:space="preserve"> PAGEREF _Toc16184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val="en-US"/>
          </w:rPr>
          <w:t>(二)、主管单位与金属基超硬材料项目执行方</w:t>
        </w:r>
        <w:r>
          <w:tab/>
        </w:r>
        <w:r>
          <w:fldChar w:fldCharType="begin"/>
        </w:r>
        <w:r>
          <w:instrText xml:space="preserve"> PAGEREF _Toc12473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val="en-US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_Toc26120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1" w:history="1">
        <w:r>
          <w:rPr>
            <w:rFonts w:ascii="仿宋" w:eastAsia="仿宋" w:hAnsi="仿宋" w:cs="仿宋" w:hint="eastAsia"/>
            <w:lang w:val="en-US"/>
          </w:rPr>
          <w:t>(四)、金属基超硬材料项目提出背景和合理性</w:t>
        </w:r>
        <w:r>
          <w:tab/>
        </w:r>
        <w:r>
          <w:fldChar w:fldCharType="begin"/>
        </w:r>
        <w:r>
          <w:instrText xml:space="preserve"> PAGEREF _Toc16791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0" w:history="1">
        <w:r>
          <w:rPr>
            <w:rFonts w:ascii="仿宋" w:eastAsia="仿宋" w:hAnsi="仿宋" w:cs="仿宋" w:hint="eastAsia"/>
            <w:lang w:val="en-US"/>
          </w:rPr>
          <w:t>(五)、金属基超硬材料项目选址和土地综合评估</w:t>
        </w:r>
        <w:r>
          <w:tab/>
        </w:r>
        <w:r>
          <w:fldChar w:fldCharType="begin"/>
        </w:r>
        <w:r>
          <w:instrText xml:space="preserve"> PAGEREF _Toc12710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val="en-US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_Toc14769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val="en-US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_Toc14232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val="en-US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_Toc24506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val="en-US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_Toc5630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0" w:history="1">
        <w:r>
          <w:rPr>
            <w:rFonts w:ascii="仿宋" w:eastAsia="仿宋" w:hAnsi="仿宋" w:cs="仿宋" w:hint="eastAsia"/>
            <w:lang w:val="en-US"/>
          </w:rPr>
          <w:t>(十)、金属基超硬材料项目能源消耗分析</w:t>
        </w:r>
        <w:r>
          <w:tab/>
        </w:r>
        <w:r>
          <w:fldChar w:fldCharType="begin"/>
        </w:r>
        <w:r>
          <w:instrText xml:space="preserve"> PAGEREF _Toc27300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_Toc15374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val="en-US"/>
          </w:rPr>
          <w:t>(十二)、金属基超硬材料项目进度规划与执行</w:t>
        </w:r>
        <w:r>
          <w:tab/>
        </w:r>
        <w:r>
          <w:fldChar w:fldCharType="begin"/>
        </w:r>
        <w:r>
          <w:instrText xml:space="preserve"> PAGEREF _Toc30896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val="en-US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_Toc4957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val="en-US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_Toc26637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val="en-US"/>
          </w:rPr>
          <w:t>二、运营模式分析</w:t>
        </w:r>
        <w:r>
          <w:tab/>
        </w:r>
        <w:r>
          <w:fldChar w:fldCharType="begin"/>
        </w:r>
        <w:r>
          <w:instrText xml:space="preserve"> PAGEREF _Toc30854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6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_Toc25966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_Toc9710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_Toc26679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_Toc2481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val="en-US"/>
          </w:rPr>
          <w:t>三、金属基超硬材料行业行业发展形势</w:t>
        </w:r>
        <w:r>
          <w:tab/>
        </w:r>
        <w:r>
          <w:fldChar w:fldCharType="begin"/>
        </w:r>
        <w:r>
          <w:instrText xml:space="preserve"> PAGEREF _Toc20788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val="en-US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_Toc2051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val="en-US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_Toc18431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val="en-US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_Toc30085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33" w:history="1">
        <w:r>
          <w:rPr>
            <w:rFonts w:ascii="仿宋" w:eastAsia="仿宋" w:hAnsi="仿宋" w:cs="仿宋" w:hint="eastAsia"/>
            <w:lang w:val="en-US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_Toc5233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_Toc12644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val="en-US"/>
          </w:rPr>
          <w:t>四、工艺方案的选择</w:t>
        </w:r>
        <w:r>
          <w:tab/>
        </w:r>
        <w:r>
          <w:fldChar w:fldCharType="begin"/>
        </w:r>
        <w:r>
          <w:instrText xml:space="preserve"> PAGEREF _Toc23771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val="en-US"/>
          </w:rPr>
          <w:t>(一)、基本要求</w:t>
        </w:r>
        <w:r>
          <w:tab/>
        </w:r>
        <w:r>
          <w:fldChar w:fldCharType="begin"/>
        </w:r>
        <w:r>
          <w:instrText xml:space="preserve"> PAGEREF _Toc17715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val="en-US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_Toc14049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val="en-US"/>
          </w:rPr>
          <w:t>(三)、金属基超硬材料项目组成</w:t>
        </w:r>
        <w:r>
          <w:tab/>
        </w:r>
        <w:r>
          <w:fldChar w:fldCharType="begin"/>
        </w:r>
        <w:r>
          <w:instrText xml:space="preserve"> PAGEREF _Toc24806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7" w:history="1">
        <w:r>
          <w:rPr>
            <w:rFonts w:ascii="仿宋" w:eastAsia="仿宋" w:hAnsi="仿宋" w:cs="仿宋" w:hint="eastAsia"/>
            <w:lang w:val="en-US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_Toc10267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val="en-US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_Toc31578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val="en-US"/>
          </w:rPr>
          <w:t>五、金属基超硬材料项目规划进度</w:t>
        </w:r>
        <w:r>
          <w:tab/>
        </w:r>
        <w:r>
          <w:fldChar w:fldCharType="begin"/>
        </w:r>
        <w:r>
          <w:instrText xml:space="preserve"> PAGEREF _Toc23800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val="en-US"/>
          </w:rPr>
          <w:t>(一)、金属基超硬材料项目进度安排</w:t>
        </w:r>
        <w:r>
          <w:tab/>
        </w:r>
        <w:r>
          <w:fldChar w:fldCharType="begin"/>
        </w:r>
        <w:r>
          <w:instrText xml:space="preserve"> PAGEREF _Toc25664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val="en-US"/>
          </w:rPr>
          <w:t>(二)、金属基超硬材料项目实施保障措施</w:t>
        </w:r>
        <w:r>
          <w:tab/>
        </w:r>
        <w:r>
          <w:fldChar w:fldCharType="begin"/>
        </w:r>
        <w:r>
          <w:instrText xml:space="preserve"> PAGEREF _Toc20335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0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_Toc14970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val="en-US"/>
          </w:rPr>
          <w:t>(四)、金属基超硬材料项目进度监控与调整</w:t>
        </w:r>
        <w:r>
          <w:tab/>
        </w:r>
        <w:r>
          <w:fldChar w:fldCharType="begin"/>
        </w:r>
        <w:r>
          <w:instrText xml:space="preserve"> PAGEREF _Toc9347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_Toc4635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val="en-US"/>
          </w:rPr>
          <w:t>六、 进入国际市场的方式</w:t>
        </w:r>
        <w:r>
          <w:tab/>
        </w:r>
        <w:r>
          <w:fldChar w:fldCharType="begin"/>
        </w:r>
        <w:r>
          <w:instrText xml:space="preserve"> PAGEREF _Toc32426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_Toc12203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_Toc13453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_Toc10856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val="en-US"/>
          </w:rPr>
          <w:t>七、金属基超硬材料项目概况</w:t>
        </w:r>
        <w:r>
          <w:tab/>
        </w:r>
        <w:r>
          <w:fldChar w:fldCharType="begin"/>
        </w:r>
        <w:r>
          <w:instrText xml:space="preserve"> PAGEREF _Toc5829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9" w:history="1">
        <w:r>
          <w:rPr>
            <w:rFonts w:ascii="仿宋" w:eastAsia="仿宋" w:hAnsi="仿宋" w:cs="仿宋" w:hint="eastAsia"/>
            <w:lang w:val="en-US"/>
          </w:rPr>
          <w:t>(一)、金属基超硬材料项目承办单位基本情况</w:t>
        </w:r>
        <w:r>
          <w:tab/>
        </w:r>
        <w:r>
          <w:fldChar w:fldCharType="begin"/>
        </w:r>
        <w:r>
          <w:instrText xml:space="preserve"> PAGEREF _Toc5519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val="en-US"/>
          </w:rPr>
          <w:t>(二)、金属基超硬材料项目建设符合性</w:t>
        </w:r>
        <w:r>
          <w:tab/>
        </w:r>
        <w:r>
          <w:fldChar w:fldCharType="begin"/>
        </w:r>
        <w:r>
          <w:instrText xml:space="preserve"> PAGEREF _Toc1151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val="en-US"/>
          </w:rPr>
          <w:t>(三)、金属基超硬材料项目概况</w:t>
        </w:r>
        <w:r>
          <w:tab/>
        </w:r>
        <w:r>
          <w:fldChar w:fldCharType="begin"/>
        </w:r>
        <w:r>
          <w:instrText xml:space="preserve"> PAGEREF _Toc4342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val="en-US"/>
          </w:rPr>
          <w:t>(四)、金属基超硬材料项目评价</w:t>
        </w:r>
        <w:r>
          <w:tab/>
        </w:r>
        <w:r>
          <w:fldChar w:fldCharType="begin"/>
        </w:r>
        <w:r>
          <w:instrText xml:space="preserve"> PAGEREF _Toc20007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_Toc25477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val="en-US"/>
          </w:rPr>
          <w:t>八、金属基超硬材料项目风险对策</w:t>
        </w:r>
        <w:r>
          <w:tab/>
        </w:r>
        <w:r>
          <w:fldChar w:fldCharType="begin"/>
        </w:r>
        <w:r>
          <w:instrText xml:space="preserve"> PAGEREF _Toc7820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_Toc5700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3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_Toc9763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_Toc32031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908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_Toc24908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_Toc17044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_Toc22979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_Toc30167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_Toc1191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val="en-US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_Toc22336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_Toc10692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_Toc15613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_Toc26101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3" w:history="1">
        <w:r>
          <w:rPr>
            <w:rFonts w:ascii="仿宋" w:eastAsia="仿宋" w:hAnsi="仿宋" w:cs="仿宋" w:hint="eastAsia"/>
            <w:lang w:val="en-US"/>
          </w:rPr>
          <w:t>十、公司机构优势</w:t>
        </w:r>
        <w:r>
          <w:tab/>
        </w:r>
        <w:r>
          <w:fldChar w:fldCharType="begin"/>
        </w:r>
        <w:r>
          <w:instrText xml:space="preserve"> PAGEREF _Toc31313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_Toc10721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_Toc17908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_Toc24419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_Toc16462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val="en-US"/>
          </w:rPr>
          <w:t>十一、技术与研发计划</w:t>
        </w:r>
        <w:r>
          <w:tab/>
        </w:r>
        <w:r>
          <w:fldChar w:fldCharType="begin"/>
        </w:r>
        <w:r>
          <w:instrText xml:space="preserve"> PAGEREF _Toc29525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_Toc11929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val="en-US"/>
          </w:rPr>
          <w:t>十二、财务管理与资金运作</w:t>
        </w:r>
        <w:r>
          <w:tab/>
        </w:r>
        <w:r>
          <w:fldChar w:fldCharType="begin"/>
        </w:r>
        <w:r>
          <w:instrText xml:space="preserve"> PAGEREF _Toc2130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_Toc24731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_Toc13845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_Toc11930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_Toc24161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val="en-US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_Toc13944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_Toc7580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val="en-US"/>
          </w:rPr>
          <w:t>(二)、社会责任金属基超硬材料项目与计划</w:t>
        </w:r>
        <w:r>
          <w:tab/>
        </w:r>
        <w:r>
          <w:fldChar w:fldCharType="begin"/>
        </w:r>
        <w:r>
          <w:instrText xml:space="preserve"> PAGEREF _Toc26859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_Toc22524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_Toc24123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_Toc15829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887" w:history="1">
        <w:r>
          <w:rPr>
            <w:rFonts w:ascii="仿宋" w:eastAsia="仿宋" w:hAnsi="仿宋" w:cs="仿宋" w:hint="eastAsia"/>
            <w:lang w:val="en-US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_Toc16887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_Toc7923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_Toc5444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val="en-US"/>
          </w:rPr>
          <w:t>十五、法律合规与安全管理</w:t>
        </w:r>
        <w:r>
          <w:tab/>
        </w:r>
        <w:r>
          <w:fldChar w:fldCharType="begin"/>
        </w:r>
        <w:r>
          <w:instrText xml:space="preserve"> PAGEREF _Toc28212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_Toc17586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_Toc7803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_Toc13763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_Toc3251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_Toc20861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_Toc1664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val="en-US"/>
          </w:rPr>
          <w:t>十六、人力资源</w:t>
        </w:r>
        <w:r>
          <w:tab/>
        </w:r>
        <w:r>
          <w:fldChar w:fldCharType="begin"/>
        </w:r>
        <w:r>
          <w:instrText xml:space="preserve"> PAGEREF _Toc31938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_Toc15303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_Toc13386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_Toc6461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val="en-US"/>
          </w:rPr>
          <w:t>十七、品牌建设与市场定位</w:t>
        </w:r>
        <w:r>
          <w:tab/>
        </w:r>
        <w:r>
          <w:fldChar w:fldCharType="begin"/>
        </w:r>
        <w:r>
          <w:instrText xml:space="preserve"> PAGEREF _Toc29030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_Toc15507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_Toc26112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_Toc30473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val="en-US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_Toc20849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_Toc14684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_Toc32033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_Toc23668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val="en-US"/>
          </w:rPr>
          <w:t>十九、建设规模</w:t>
        </w:r>
        <w:r>
          <w:tab/>
        </w:r>
        <w:r>
          <w:fldChar w:fldCharType="begin"/>
        </w:r>
        <w:r>
          <w:instrText xml:space="preserve"> PAGEREF _Toc9996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_Toc5182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_Toc4522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val="en-US"/>
          </w:rPr>
          <w:t>二十、危机管理与应急预案</w:t>
        </w:r>
        <w:r>
          <w:tab/>
        </w:r>
        <w:r>
          <w:fldChar w:fldCharType="begin"/>
        </w:r>
        <w:r>
          <w:instrText xml:space="preserve"> PAGEREF _Toc1682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_Toc27588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_Toc3613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2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_Toc6202 </w:instrText>
        </w:r>
        <w:r>
          <w:fldChar w:fldCharType="separate"/>
        </w:r>
        <w:r>
          <w:t>77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https://d.book118.com/435301014230011113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金属基超硬材料行业商业计划书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金属基超硬材料行业商业计划书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金属基超硬材料行业商业计划书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金属基超硬材料行业商业计划书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金属基超硬材料行业商业计划书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C34B93"/>
    <w:rsid w:val="62C34B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5301014230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2024-02-20T14:45:00Z</dcterms:created>
  <dcterms:modified xsi:type="dcterms:W3CDTF">2024-02-20T14:45:45Z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