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8417" w:lineRule="exact"/>
      </w:pPr>
      <w:r>
        <w:rPr>
          <w:position w:val="-168"/>
        </w:rPr>
        <w:drawing>
          <wp:inline distT="0" distB="0" distL="0" distR="0">
            <wp:extent cx="7555992" cy="534489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53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80" w:line="223" w:lineRule="auto"/>
        <w:ind w:left="642" w:right="932"/>
        <w:outlineLvl w:val="0"/>
        <w:rPr>
          <w:rFonts w:ascii="Nirmala UI" w:eastAsia="Nirmala UI" w:hAnsi="Nirmala UI" w:cs="Nirmala UI"/>
          <w:sz w:val="54"/>
          <w:szCs w:val="54"/>
        </w:rPr>
      </w:pPr>
      <w:r>
        <w:rPr>
          <w:rFonts w:ascii="Nirmala UI" w:eastAsia="Nirmala UI" w:hAnsi="Nirmala UI" w:cs="Nirmala UI"/>
          <w:b/>
          <w:bCs/>
          <w:sz w:val="54"/>
          <w:szCs w:val="54"/>
        </w:rPr>
        <w:t>Innovation</w:t>
      </w:r>
      <w:r>
        <w:rPr>
          <w:rFonts w:ascii="Nirmala UI" w:eastAsia="Nirmala UI" w:hAnsi="Nirmala UI" w:cs="Nirmala UI"/>
          <w:b/>
          <w:bCs/>
          <w:spacing w:val="49"/>
          <w:sz w:val="54"/>
          <w:szCs w:val="54"/>
        </w:rPr>
        <w:t xml:space="preserve"> </w:t>
      </w:r>
      <w:r>
        <w:rPr>
          <w:rFonts w:ascii="Nirmala UI" w:eastAsia="Nirmala UI" w:hAnsi="Nirmala UI" w:cs="Nirmala UI"/>
          <w:b/>
          <w:bCs/>
          <w:sz w:val="54"/>
          <w:szCs w:val="54"/>
        </w:rPr>
        <w:t>Has</w:t>
      </w:r>
      <w:r>
        <w:rPr>
          <w:rFonts w:ascii="Nirmala UI" w:eastAsia="Nirmala UI" w:hAnsi="Nirmala UI" w:cs="Nirmala UI"/>
          <w:b/>
          <w:bCs/>
          <w:spacing w:val="7"/>
          <w:sz w:val="54"/>
          <w:szCs w:val="54"/>
        </w:rPr>
        <w:t xml:space="preserve"> </w:t>
      </w:r>
      <w:r>
        <w:rPr>
          <w:rFonts w:ascii="Nirmala UI" w:eastAsia="Nirmala UI" w:hAnsi="Nirmala UI" w:cs="Nirmala UI"/>
          <w:b/>
          <w:bCs/>
          <w:sz w:val="54"/>
          <w:szCs w:val="54"/>
        </w:rPr>
        <w:t>Transformed</w:t>
      </w:r>
      <w:r>
        <w:rPr>
          <w:rFonts w:ascii="Nirmala UI" w:eastAsia="Nirmala UI" w:hAnsi="Nirmala UI" w:cs="Nirmala UI"/>
          <w:b/>
          <w:bCs/>
          <w:spacing w:val="7"/>
          <w:sz w:val="54"/>
          <w:szCs w:val="54"/>
        </w:rPr>
        <w:t xml:space="preserve"> </w:t>
      </w:r>
      <w:r>
        <w:rPr>
          <w:rFonts w:ascii="Nirmala UI" w:eastAsia="Nirmala UI" w:hAnsi="Nirmala UI" w:cs="Nirmala UI"/>
          <w:b/>
          <w:bCs/>
          <w:sz w:val="54"/>
          <w:szCs w:val="54"/>
        </w:rPr>
        <w:t>the</w:t>
      </w:r>
      <w:r>
        <w:rPr>
          <w:rFonts w:ascii="Nirmala UI" w:eastAsia="Nirmala UI" w:hAnsi="Nirmala UI" w:cs="Nirmala UI"/>
          <w:b/>
          <w:bCs/>
          <w:spacing w:val="7"/>
          <w:sz w:val="54"/>
          <w:szCs w:val="54"/>
        </w:rPr>
        <w:t xml:space="preserve"> </w:t>
      </w:r>
      <w:r>
        <w:rPr>
          <w:rFonts w:ascii="Nirmala UI" w:eastAsia="Nirmala UI" w:hAnsi="Nirmala UI" w:cs="Nirmala UI"/>
          <w:b/>
          <w:bCs/>
          <w:sz w:val="54"/>
          <w:szCs w:val="54"/>
        </w:rPr>
        <w:t>Car</w:t>
      </w:r>
      <w:r>
        <w:rPr>
          <w:rFonts w:ascii="Nirmala UI" w:eastAsia="Nirmala UI" w:hAnsi="Nirmala UI" w:cs="Nirmala UI"/>
          <w:b/>
          <w:bCs/>
          <w:spacing w:val="7"/>
          <w:sz w:val="54"/>
          <w:szCs w:val="54"/>
        </w:rPr>
        <w:t xml:space="preserve"> </w:t>
      </w:r>
      <w:r>
        <w:rPr>
          <w:rFonts w:ascii="Nirmala UI" w:eastAsia="Nirmala UI" w:hAnsi="Nirmala UI" w:cs="Nirmala UI"/>
          <w:b/>
          <w:bCs/>
          <w:sz w:val="54"/>
          <w:szCs w:val="54"/>
        </w:rPr>
        <w:t xml:space="preserve">but </w:t>
      </w:r>
      <w:r>
        <w:rPr>
          <w:rFonts w:ascii="Nirmala UI" w:eastAsia="Nirmala UI" w:hAnsi="Nirmala UI" w:cs="Nirmala UI"/>
          <w:b/>
          <w:bCs/>
          <w:sz w:val="54"/>
          <w:szCs w:val="54"/>
        </w:rPr>
        <w:t>Not Yet the Car</w:t>
      </w:r>
      <w:r>
        <w:rPr>
          <w:rFonts w:ascii="Nirmala UI" w:eastAsia="Nirmala UI" w:hAnsi="Nirmala UI" w:cs="Nirmala UI"/>
          <w:b/>
          <w:bCs/>
          <w:spacing w:val="44"/>
          <w:sz w:val="54"/>
          <w:szCs w:val="54"/>
        </w:rPr>
        <w:t xml:space="preserve"> </w:t>
      </w:r>
      <w:r>
        <w:rPr>
          <w:rFonts w:ascii="Nirmala UI" w:eastAsia="Nirmala UI" w:hAnsi="Nirmala UI" w:cs="Nirmala UI"/>
          <w:b/>
          <w:bCs/>
          <w:sz w:val="54"/>
          <w:szCs w:val="54"/>
        </w:rPr>
        <w:t>Buying</w:t>
      </w:r>
      <w:r>
        <w:rPr>
          <w:rFonts w:ascii="Nirmala UI" w:eastAsia="Nirmala UI" w:hAnsi="Nirmala UI" w:cs="Nirmala UI"/>
          <w:b/>
          <w:bCs/>
          <w:spacing w:val="44"/>
          <w:sz w:val="54"/>
          <w:szCs w:val="54"/>
        </w:rPr>
        <w:t xml:space="preserve"> </w:t>
      </w:r>
      <w:r>
        <w:rPr>
          <w:rFonts w:ascii="Nirmala UI" w:eastAsia="Nirmala UI" w:hAnsi="Nirmala UI" w:cs="Nirmala UI"/>
          <w:b/>
          <w:bCs/>
          <w:sz w:val="54"/>
          <w:szCs w:val="54"/>
        </w:rPr>
        <w:t>Ex</w:t>
      </w:r>
      <w:r>
        <w:rPr>
          <w:rFonts w:ascii="Nirmala UI" w:eastAsia="Nirmala UI" w:hAnsi="Nirmala UI" w:cs="Nirmala UI"/>
          <w:b/>
          <w:bCs/>
          <w:spacing w:val="-1"/>
          <w:sz w:val="54"/>
          <w:szCs w:val="54"/>
        </w:rPr>
        <w:t>perience</w:t>
      </w:r>
    </w:p>
    <w:p>
      <w:pPr>
        <w:spacing w:line="358" w:lineRule="auto"/>
        <w:rPr>
          <w:rFonts w:ascii="Arial"/>
          <w:sz w:val="21"/>
        </w:rPr>
      </w:pPr>
    </w:p>
    <w:p>
      <w:pPr>
        <w:spacing w:before="80" w:line="188" w:lineRule="auto"/>
        <w:ind w:left="564"/>
        <w:rPr>
          <w:rFonts w:ascii="Nirmala UI" w:eastAsia="Nirmala UI" w:hAnsi="Nirmala UI" w:cs="Nirmala UI"/>
          <w:sz w:val="24"/>
          <w:szCs w:val="24"/>
        </w:rPr>
      </w:pPr>
      <w:r>
        <w:rPr>
          <w:rFonts w:ascii="Nirmala UI" w:eastAsia="Nirmala UI" w:hAnsi="Nirmala UI" w:cs="Nirmala UI"/>
          <w:b/>
          <w:bCs/>
          <w:spacing w:val="-6"/>
          <w:sz w:val="24"/>
          <w:szCs w:val="24"/>
        </w:rPr>
        <w:t>JANUARY 09, 2024</w:t>
      </w:r>
    </w:p>
    <w:p>
      <w:pPr>
        <w:pStyle w:val="BodyText"/>
        <w:spacing w:before="203" w:line="199" w:lineRule="auto"/>
        <w:ind w:left="615"/>
      </w:pPr>
      <w:r>
        <w:rPr>
          <w:spacing w:val="-2"/>
        </w:rPr>
        <w:t xml:space="preserve">By </w:t>
      </w:r>
      <w:hyperlink r:id="rId5" w:history="1">
        <w:r>
          <w:rPr>
            <w:color w:val="29BA74"/>
            <w:spacing w:val="-2"/>
          </w:rPr>
          <w:t>Andrej</w:t>
        </w:r>
        <w:r>
          <w:rPr>
            <w:color w:val="29BA74"/>
            <w:spacing w:val="23"/>
          </w:rPr>
          <w:t xml:space="preserve"> </w:t>
        </w:r>
        <w:r>
          <w:rPr>
            <w:color w:val="29BA74"/>
            <w:spacing w:val="-2"/>
          </w:rPr>
          <w:t>Levin</w:t>
        </w:r>
      </w:hyperlink>
      <w:r>
        <w:rPr>
          <w:spacing w:val="-2"/>
        </w:rPr>
        <w:t>,</w:t>
      </w:r>
      <w:r>
        <w:rPr>
          <w:spacing w:val="-22"/>
        </w:rPr>
        <w:t xml:space="preserve"> </w:t>
      </w:r>
      <w:r>
        <w:rPr>
          <w:spacing w:val="-2"/>
        </w:rPr>
        <w:t>Alfred Wie</w:t>
      </w:r>
      <w:r>
        <w:rPr>
          <w:spacing w:val="-3"/>
        </w:rPr>
        <w:t>derer,</w:t>
      </w:r>
      <w:r>
        <w:rPr>
          <w:spacing w:val="-25"/>
        </w:rPr>
        <w:t xml:space="preserve"> </w:t>
      </w:r>
      <w:hyperlink r:id="rId6" w:history="1">
        <w:r>
          <w:rPr>
            <w:color w:val="29BA74"/>
            <w:spacing w:val="-3"/>
          </w:rPr>
          <w:t>Karen</w:t>
        </w:r>
        <w:r>
          <w:rPr>
            <w:color w:val="29BA74"/>
            <w:spacing w:val="20"/>
          </w:rPr>
          <w:t xml:space="preserve"> </w:t>
        </w:r>
        <w:r>
          <w:rPr>
            <w:color w:val="29BA74"/>
            <w:spacing w:val="-3"/>
          </w:rPr>
          <w:t>Lellouche Tordjman</w:t>
        </w:r>
      </w:hyperlink>
      <w:r>
        <w:rPr>
          <w:spacing w:val="-3"/>
        </w:rPr>
        <w:t>,</w:t>
      </w:r>
      <w:r>
        <w:rPr>
          <w:spacing w:val="-26"/>
        </w:rPr>
        <w:t xml:space="preserve"> </w:t>
      </w:r>
      <w:hyperlink r:id="rId7" w:history="1">
        <w:r>
          <w:rPr>
            <w:color w:val="29BA74"/>
            <w:spacing w:val="-3"/>
          </w:rPr>
          <w:t>Christoph</w:t>
        </w:r>
        <w:r>
          <w:rPr>
            <w:color w:val="29BA74"/>
            <w:spacing w:val="23"/>
          </w:rPr>
          <w:t xml:space="preserve"> </w:t>
        </w:r>
        <w:r>
          <w:rPr>
            <w:color w:val="29BA74"/>
            <w:spacing w:val="-3"/>
          </w:rPr>
          <w:t>Heuser</w:t>
        </w:r>
      </w:hyperlink>
      <w:r>
        <w:rPr>
          <w:spacing w:val="-3"/>
        </w:rPr>
        <w:t xml:space="preserve">, and </w:t>
      </w:r>
      <w:hyperlink r:id="rId8" w:history="1">
        <w:r>
          <w:rPr>
            <w:color w:val="29BA74"/>
            <w:spacing w:val="-3"/>
          </w:rPr>
          <w:t>Lisa</w:t>
        </w:r>
        <w:r>
          <w:rPr>
            <w:color w:val="29BA74"/>
            <w:spacing w:val="17"/>
            <w:w w:val="101"/>
          </w:rPr>
          <w:t xml:space="preserve"> </w:t>
        </w:r>
        <w:r>
          <w:rPr>
            <w:color w:val="29BA74"/>
            <w:spacing w:val="-3"/>
          </w:rPr>
          <w:t>Bornschlegel</w:t>
        </w:r>
      </w:hyperlink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70" w:line="173" w:lineRule="auto"/>
        <w:ind w:left="609"/>
        <w:rPr>
          <w:rFonts w:ascii="Nirmala UI" w:eastAsia="Nirmala UI" w:hAnsi="Nirmala UI" w:cs="Nirmala UI"/>
          <w:sz w:val="21"/>
          <w:szCs w:val="21"/>
        </w:rPr>
      </w:pPr>
      <w:r>
        <w:rPr>
          <w:rFonts w:ascii="Nirmala UI" w:eastAsia="Nirmala UI" w:hAnsi="Nirmala UI" w:cs="Nirmala UI"/>
          <w:b/>
          <w:bCs/>
          <w:sz w:val="21"/>
          <w:szCs w:val="21"/>
        </w:rPr>
        <w:t>READING</w:t>
      </w:r>
      <w:r>
        <w:rPr>
          <w:rFonts w:ascii="Nirmala UI" w:eastAsia="Nirmala UI" w:hAnsi="Nirmala UI" w:cs="Nirmala UI"/>
          <w:b/>
          <w:bCs/>
          <w:spacing w:val="6"/>
          <w:sz w:val="21"/>
          <w:szCs w:val="21"/>
        </w:rPr>
        <w:t xml:space="preserve"> </w:t>
      </w:r>
      <w:r>
        <w:rPr>
          <w:rFonts w:ascii="Nirmala UI" w:eastAsia="Nirmala UI" w:hAnsi="Nirmala UI" w:cs="Nirmala UI"/>
          <w:b/>
          <w:bCs/>
          <w:sz w:val="21"/>
          <w:szCs w:val="21"/>
        </w:rPr>
        <w:t>TIME</w:t>
      </w:r>
      <w:r>
        <w:rPr>
          <w:rFonts w:ascii="Nirmala UI" w:eastAsia="Nirmala UI" w:hAnsi="Nirmala UI" w:cs="Nirmala UI"/>
          <w:b/>
          <w:bCs/>
          <w:spacing w:val="6"/>
          <w:sz w:val="21"/>
          <w:szCs w:val="21"/>
        </w:rPr>
        <w:t>: 12</w:t>
      </w:r>
      <w:r>
        <w:rPr>
          <w:rFonts w:ascii="Nirmala UI" w:eastAsia="Nirmala UI" w:hAnsi="Nirmala UI" w:cs="Nirmala UI"/>
          <w:b/>
          <w:bCs/>
          <w:spacing w:val="22"/>
          <w:w w:val="101"/>
          <w:sz w:val="21"/>
          <w:szCs w:val="21"/>
        </w:rPr>
        <w:t xml:space="preserve"> </w:t>
      </w:r>
      <w:r>
        <w:rPr>
          <w:rFonts w:ascii="Nirmala UI" w:eastAsia="Nirmala UI" w:hAnsi="Nirmala UI" w:cs="Nirmala UI"/>
          <w:b/>
          <w:bCs/>
          <w:sz w:val="21"/>
          <w:szCs w:val="21"/>
        </w:rPr>
        <w:t>MIN</w:t>
      </w:r>
    </w:p>
    <w:p>
      <w:pPr>
        <w:pStyle w:val="BodyText"/>
        <w:spacing w:before="247" w:line="235" w:lineRule="auto"/>
        <w:ind w:left="608" w:right="1164" w:hanging="19"/>
      </w:pPr>
      <w:hyperlink r:id="rId9" w:history="1">
        <w:r>
          <w:rPr>
            <w:color w:val="29BA74"/>
            <w:spacing w:val="-2"/>
          </w:rPr>
          <w:t>Automotive companies</w:t>
        </w:r>
      </w:hyperlink>
      <w:r>
        <w:rPr>
          <w:color w:val="29BA74"/>
          <w:spacing w:val="-2"/>
        </w:rPr>
        <w:t xml:space="preserve"> </w:t>
      </w:r>
      <w:r>
        <w:rPr>
          <w:color w:val="323232"/>
          <w:spacing w:val="-2"/>
        </w:rPr>
        <w:t>are investing billions of</w:t>
      </w:r>
      <w:r>
        <w:rPr>
          <w:color w:val="323232"/>
          <w:spacing w:val="-21"/>
        </w:rPr>
        <w:t xml:space="preserve"> </w:t>
      </w:r>
      <w:r>
        <w:rPr>
          <w:color w:val="323232"/>
          <w:spacing w:val="-2"/>
        </w:rPr>
        <w:t>dollars</w:t>
      </w:r>
      <w:r>
        <w:rPr>
          <w:color w:val="323232"/>
          <w:spacing w:val="-3"/>
        </w:rPr>
        <w:t xml:space="preserve"> to</w:t>
      </w:r>
      <w:r>
        <w:rPr>
          <w:color w:val="323232"/>
          <w:spacing w:val="22"/>
        </w:rPr>
        <w:t xml:space="preserve"> </w:t>
      </w:r>
      <w:r>
        <w:rPr>
          <w:color w:val="323232"/>
          <w:spacing w:val="-3"/>
        </w:rPr>
        <w:t>radically change automobile technology,</w:t>
      </w:r>
      <w:r>
        <w:rPr>
          <w:color w:val="323232"/>
        </w:rPr>
        <w:t xml:space="preserve"> </w:t>
      </w:r>
      <w:r>
        <w:rPr>
          <w:color w:val="323232"/>
          <w:spacing w:val="-3"/>
        </w:rPr>
        <w:t>powertrains, connectivity, and design.</w:t>
      </w:r>
      <w:r>
        <w:rPr>
          <w:color w:val="323232"/>
          <w:spacing w:val="34"/>
        </w:rPr>
        <w:t xml:space="preserve"> </w:t>
      </w:r>
      <w:r>
        <w:rPr>
          <w:color w:val="323232"/>
          <w:spacing w:val="-3"/>
        </w:rPr>
        <w:t>In the longer term, these moves are intended to cut carbon</w:t>
      </w:r>
    </w:p>
    <w:p>
      <w:pPr>
        <w:pStyle w:val="BodyText"/>
        <w:spacing w:before="127" w:line="223" w:lineRule="auto"/>
        <w:ind w:left="608" w:right="948" w:hanging="12"/>
      </w:pPr>
      <w:r>
        <w:rPr>
          <w:color w:val="323232"/>
          <w:spacing w:val="-2"/>
        </w:rPr>
        <w:t>emissions and</w:t>
      </w:r>
      <w:r>
        <w:rPr>
          <w:color w:val="323232"/>
          <w:spacing w:val="15"/>
        </w:rPr>
        <w:t xml:space="preserve"> </w:t>
      </w:r>
      <w:r>
        <w:rPr>
          <w:color w:val="323232"/>
          <w:spacing w:val="-2"/>
        </w:rPr>
        <w:t xml:space="preserve">redeﬁne mobility, revolutionizing the in-car experience </w:t>
      </w:r>
      <w:r>
        <w:rPr>
          <w:color w:val="323232"/>
          <w:spacing w:val="-3"/>
        </w:rPr>
        <w:t>and</w:t>
      </w:r>
      <w:r>
        <w:rPr>
          <w:color w:val="323232"/>
          <w:spacing w:val="16"/>
        </w:rPr>
        <w:t xml:space="preserve"> </w:t>
      </w:r>
      <w:r>
        <w:rPr>
          <w:color w:val="323232"/>
          <w:spacing w:val="-3"/>
        </w:rPr>
        <w:t>making it an extension of</w:t>
      </w:r>
      <w:r>
        <w:rPr>
          <w:color w:val="323232"/>
        </w:rPr>
        <w:t xml:space="preserve"> </w:t>
      </w:r>
      <w:r>
        <w:rPr>
          <w:color w:val="323232"/>
          <w:spacing w:val="-1"/>
        </w:rPr>
        <w:t>personal space.</w:t>
      </w:r>
      <w:r>
        <w:rPr>
          <w:color w:val="323232"/>
          <w:spacing w:val="18"/>
        </w:rPr>
        <w:t xml:space="preserve"> </w:t>
      </w:r>
      <w:r>
        <w:rPr>
          <w:color w:val="323232"/>
          <w:spacing w:val="-1"/>
        </w:rPr>
        <w:t>But one aspect of</w:t>
      </w:r>
      <w:r>
        <w:rPr>
          <w:color w:val="323232"/>
          <w:spacing w:val="-26"/>
        </w:rPr>
        <w:t xml:space="preserve"> </w:t>
      </w:r>
      <w:r>
        <w:rPr>
          <w:color w:val="323232"/>
          <w:spacing w:val="-1"/>
        </w:rPr>
        <w:t>the automobile landscape is barely changing at all, especial</w:t>
      </w:r>
      <w:r>
        <w:rPr>
          <w:color w:val="323232"/>
          <w:spacing w:val="-2"/>
        </w:rPr>
        <w:t>ly</w:t>
      </w:r>
    </w:p>
    <w:p>
      <w:pPr>
        <w:pStyle w:val="BodyText"/>
        <w:spacing w:before="126" w:line="176" w:lineRule="auto"/>
        <w:ind w:left="599"/>
      </w:pPr>
      <w:r>
        <w:rPr>
          <w:color w:val="323232"/>
          <w:spacing w:val="-1"/>
        </w:rPr>
        <w:t>among traditional OEMs: the car buying experience.</w:t>
      </w:r>
    </w:p>
    <w:p>
      <w:pPr>
        <w:spacing w:line="241" w:lineRule="auto"/>
        <w:rPr>
          <w:rFonts w:ascii="Arial"/>
          <w:sz w:val="21"/>
        </w:rPr>
        <w:sectPr>
          <w:headerReference w:type="default" r:id="rId10"/>
          <w:pgSz w:w="11900" w:h="16839"/>
          <w:pgMar w:top="1" w:right="0" w:bottom="0" w:left="0" w:header="0" w:footer="0" w:gutter="0"/>
          <w:cols w:space="708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87" w:line="211" w:lineRule="auto"/>
        <w:ind w:left="970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©</w:t>
      </w:r>
      <w:r>
        <w:rPr>
          <w:rFonts w:ascii="Microsoft JhengHei" w:eastAsia="Microsoft JhengHei" w:hAnsi="Microsoft JhengHei" w:cs="Microsoft JhengHei"/>
          <w:color w:val="7F7F7F"/>
          <w:spacing w:val="20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2024</w:t>
      </w:r>
      <w:r>
        <w:rPr>
          <w:rFonts w:ascii="Microsoft JhengHei" w:eastAsia="Microsoft JhengHei" w:hAnsi="Microsoft JhengHei" w:cs="Microsoft JhengHei"/>
          <w:color w:val="7F7F7F"/>
          <w:spacing w:val="35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Boston</w:t>
      </w:r>
      <w:r>
        <w:rPr>
          <w:rFonts w:ascii="Microsoft JhengHei" w:eastAsia="Microsoft JhengHei" w:hAnsi="Microsoft JhengHei" w:cs="Microsoft JhengHei"/>
          <w:color w:val="7F7F7F"/>
          <w:spacing w:val="19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Consulting</w:t>
      </w:r>
      <w:r>
        <w:rPr>
          <w:rFonts w:ascii="Microsoft JhengHei" w:eastAsia="Microsoft JhengHei" w:hAnsi="Microsoft JhengHei" w:cs="Microsoft JhengHei"/>
          <w:color w:val="7F7F7F"/>
          <w:spacing w:val="13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Group</w:t>
      </w:r>
      <w:r>
        <w:rPr>
          <w:rFonts w:ascii="Microsoft JhengHei" w:eastAsia="Microsoft JhengHei" w:hAnsi="Microsoft JhengHei" w:cs="Microsoft JhengHei"/>
          <w:color w:val="7F7F7F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1</w:t>
      </w:r>
    </w:p>
    <w:p>
      <w:pPr>
        <w:spacing w:line="211" w:lineRule="auto"/>
        <w:rPr>
          <w:rFonts w:ascii="Microsoft JhengHei" w:eastAsia="Microsoft JhengHei" w:hAnsi="Microsoft JhengHei" w:cs="Microsoft JhengHei"/>
          <w:sz w:val="20"/>
          <w:szCs w:val="20"/>
        </w:rPr>
        <w:sectPr>
          <w:headerReference w:type="default" r:id="rId11"/>
          <w:type w:val="nextPage"/>
          <w:pgSz w:w="11900" w:h="16839"/>
          <w:pgMar w:top="1" w:right="0" w:bottom="0" w:left="0" w:header="0" w:footer="0" w:gutter="0"/>
          <w:pgNumType w:start="2"/>
          <w:cols w:space="708"/>
          <w:titlePg w:val="0"/>
        </w:sectPr>
      </w:pPr>
    </w:p>
    <w:p>
      <w:pPr>
        <w:spacing w:line="337" w:lineRule="auto"/>
        <w:rPr>
          <w:rFonts w:ascii="Arial"/>
          <w:sz w:val="21"/>
        </w:rPr>
      </w:pPr>
    </w:p>
    <w:p>
      <w:pPr>
        <w:spacing w:line="338" w:lineRule="auto"/>
        <w:rPr>
          <w:rFonts w:ascii="Arial"/>
          <w:sz w:val="21"/>
        </w:rPr>
      </w:pPr>
    </w:p>
    <w:p>
      <w:pPr>
        <w:spacing w:line="4907" w:lineRule="exact"/>
      </w:pPr>
      <w:r>
        <w:rPr>
          <w:position w:val="-98"/>
        </w:rPr>
        <w:drawing>
          <wp:inline distT="0" distB="0" distL="0" distR="0">
            <wp:extent cx="6813237" cy="3115982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13237" cy="311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80" w:line="176" w:lineRule="auto"/>
        <w:ind w:left="13"/>
      </w:pPr>
      <w:r>
        <w:rPr>
          <w:color w:val="323232"/>
          <w:spacing w:val="-1"/>
        </w:rPr>
        <w:t>Only about half</w:t>
      </w:r>
      <w:r>
        <w:rPr>
          <w:color w:val="323232"/>
          <w:spacing w:val="-20"/>
        </w:rPr>
        <w:t xml:space="preserve"> </w:t>
      </w:r>
      <w:r>
        <w:rPr>
          <w:color w:val="323232"/>
          <w:spacing w:val="-1"/>
        </w:rPr>
        <w:t>of</w:t>
      </w:r>
      <w:r>
        <w:rPr>
          <w:color w:val="323232"/>
          <w:spacing w:val="-21"/>
        </w:rPr>
        <w:t xml:space="preserve"> </w:t>
      </w:r>
      <w:r>
        <w:rPr>
          <w:color w:val="323232"/>
          <w:spacing w:val="-1"/>
        </w:rPr>
        <w:t>car purchasers say that they were complet</w:t>
      </w:r>
      <w:r>
        <w:rPr>
          <w:color w:val="323232"/>
          <w:spacing w:val="-2"/>
        </w:rPr>
        <w:t>ely satisﬁed with their latest buying</w:t>
      </w:r>
    </w:p>
    <w:p>
      <w:pPr>
        <w:pStyle w:val="BodyText"/>
        <w:spacing w:before="127" w:line="223" w:lineRule="auto"/>
        <w:ind w:left="22" w:right="184" w:hanging="12"/>
      </w:pPr>
      <w:r>
        <w:rPr>
          <w:color w:val="323232"/>
          <w:spacing w:val="-1"/>
        </w:rPr>
        <w:t>experience, according to a</w:t>
      </w:r>
      <w:r>
        <w:rPr>
          <w:color w:val="323232"/>
          <w:spacing w:val="28"/>
          <w:w w:val="101"/>
        </w:rPr>
        <w:t xml:space="preserve"> </w:t>
      </w:r>
      <w:r>
        <w:rPr>
          <w:color w:val="323232"/>
          <w:spacing w:val="-1"/>
        </w:rPr>
        <w:t>BC</w:t>
      </w:r>
      <w:r>
        <w:rPr>
          <w:color w:val="323232"/>
          <w:spacing w:val="-2"/>
        </w:rPr>
        <w:t>G survey of nearly 2,000 consumers in China, Germany, and the US who</w:t>
      </w:r>
      <w:r>
        <w:rPr>
          <w:color w:val="323232"/>
        </w:rPr>
        <w:t xml:space="preserve"> </w:t>
      </w:r>
      <w:r>
        <w:rPr>
          <w:color w:val="323232"/>
          <w:spacing w:val="-1"/>
        </w:rPr>
        <w:t>had</w:t>
      </w:r>
      <w:r>
        <w:rPr>
          <w:color w:val="323232"/>
          <w:spacing w:val="15"/>
        </w:rPr>
        <w:t xml:space="preserve"> </w:t>
      </w:r>
      <w:r>
        <w:rPr>
          <w:color w:val="323232"/>
          <w:spacing w:val="-1"/>
        </w:rPr>
        <w:t>purchased a car within the past two years. (Se</w:t>
      </w:r>
      <w:r>
        <w:rPr>
          <w:color w:val="323232"/>
          <w:spacing w:val="-2"/>
        </w:rPr>
        <w:t>e Exhibit 1.)</w:t>
      </w:r>
      <w:r>
        <w:rPr>
          <w:color w:val="323232"/>
          <w:spacing w:val="17"/>
        </w:rPr>
        <w:t xml:space="preserve"> </w:t>
      </w:r>
      <w:r>
        <w:rPr>
          <w:color w:val="323232"/>
          <w:spacing w:val="-2"/>
        </w:rPr>
        <w:t>Notably, in China, the percentage of</w:t>
      </w:r>
    </w:p>
    <w:p>
      <w:pPr>
        <w:pStyle w:val="BodyText"/>
        <w:spacing w:before="126" w:line="176" w:lineRule="auto"/>
        <w:ind w:left="11"/>
      </w:pPr>
      <w:r>
        <w:rPr>
          <w:color w:val="323232"/>
          <w:spacing w:val="-3"/>
        </w:rPr>
        <w:t>completely satisﬁed</w:t>
      </w:r>
      <w:r>
        <w:rPr>
          <w:color w:val="323232"/>
          <w:spacing w:val="15"/>
        </w:rPr>
        <w:t xml:space="preserve"> </w:t>
      </w:r>
      <w:r>
        <w:rPr>
          <w:color w:val="323232"/>
          <w:spacing w:val="-3"/>
        </w:rPr>
        <w:t>buyers drops to 37%.</w:t>
      </w:r>
      <w:r>
        <w:rPr>
          <w:color w:val="323232"/>
          <w:spacing w:val="-28"/>
        </w:rPr>
        <w:t xml:space="preserve"> </w:t>
      </w:r>
      <w:r>
        <w:rPr>
          <w:color w:val="323232"/>
          <w:spacing w:val="-3"/>
        </w:rPr>
        <w:t>Just 43% of res</w:t>
      </w:r>
      <w:r>
        <w:rPr>
          <w:color w:val="323232"/>
          <w:spacing w:val="-4"/>
        </w:rPr>
        <w:t>pondents believe that their</w:t>
      </w:r>
      <w:r>
        <w:rPr>
          <w:color w:val="323232"/>
          <w:spacing w:val="14"/>
        </w:rPr>
        <w:t xml:space="preserve"> </w:t>
      </w:r>
      <w:r>
        <w:rPr>
          <w:color w:val="323232"/>
          <w:spacing w:val="-4"/>
        </w:rPr>
        <w:t>recent vehicle</w:t>
      </w:r>
    </w:p>
    <w:p>
      <w:pPr>
        <w:pStyle w:val="BodyText"/>
        <w:spacing w:before="127" w:line="223" w:lineRule="auto"/>
        <w:ind w:left="7" w:right="262" w:firstLine="16"/>
      </w:pPr>
      <w:r>
        <w:rPr>
          <w:color w:val="323232"/>
          <w:spacing w:val="-3"/>
        </w:rPr>
        <w:t>purchasing experience surpassed the one they had eight years prior.</w:t>
      </w:r>
      <w:r>
        <w:rPr>
          <w:color w:val="323232"/>
          <w:spacing w:val="19"/>
          <w:w w:val="101"/>
        </w:rPr>
        <w:t xml:space="preserve"> </w:t>
      </w:r>
      <w:r>
        <w:rPr>
          <w:color w:val="323232"/>
          <w:spacing w:val="-3"/>
        </w:rPr>
        <w:t xml:space="preserve">Moreover, survey respondents    </w:t>
      </w:r>
      <w:r>
        <w:rPr>
          <w:color w:val="323232"/>
          <w:spacing w:val="-1"/>
        </w:rPr>
        <w:t>identiﬁed the critical “awareness phase”—whe</w:t>
      </w:r>
      <w:r>
        <w:rPr>
          <w:color w:val="323232"/>
          <w:spacing w:val="-2"/>
        </w:rPr>
        <w:t>n car buyers are inspired to</w:t>
      </w:r>
      <w:r>
        <w:rPr>
          <w:color w:val="323232"/>
          <w:spacing w:val="22"/>
        </w:rPr>
        <w:t xml:space="preserve"> </w:t>
      </w:r>
      <w:r>
        <w:rPr>
          <w:color w:val="323232"/>
          <w:spacing w:val="-2"/>
        </w:rPr>
        <w:t>buy a</w:t>
      </w:r>
      <w:r>
        <w:rPr>
          <w:color w:val="323232"/>
          <w:spacing w:val="22"/>
        </w:rPr>
        <w:t xml:space="preserve"> </w:t>
      </w:r>
      <w:r>
        <w:rPr>
          <w:color w:val="323232"/>
          <w:spacing w:val="-2"/>
        </w:rPr>
        <w:t>new car and choose</w:t>
      </w:r>
    </w:p>
    <w:p>
      <w:pPr>
        <w:pStyle w:val="BodyText"/>
        <w:spacing w:before="127" w:line="223" w:lineRule="auto"/>
        <w:ind w:left="10" w:right="1225" w:hanging="4"/>
      </w:pPr>
      <w:r>
        <w:rPr>
          <w:color w:val="323232"/>
          <w:spacing w:val="-2"/>
        </w:rPr>
        <w:t>the brands they favor—</w:t>
      </w:r>
      <w:r>
        <w:rPr>
          <w:color w:val="323232"/>
          <w:spacing w:val="-44"/>
        </w:rPr>
        <w:t xml:space="preserve"> </w:t>
      </w:r>
      <w:r>
        <w:rPr>
          <w:color w:val="323232"/>
          <w:spacing w:val="-2"/>
        </w:rPr>
        <w:t>as the most disappointing part of</w:t>
      </w:r>
      <w:r>
        <w:rPr>
          <w:color w:val="323232"/>
          <w:spacing w:val="-25"/>
        </w:rPr>
        <w:t xml:space="preserve"> </w:t>
      </w:r>
      <w:r>
        <w:rPr>
          <w:color w:val="323232"/>
          <w:spacing w:val="-2"/>
        </w:rPr>
        <w:t>the experience, fully satisfying the</w:t>
      </w:r>
      <w:r>
        <w:rPr>
          <w:color w:val="323232"/>
        </w:rPr>
        <w:t xml:space="preserve"> </w:t>
      </w:r>
      <w:r>
        <w:rPr>
          <w:color w:val="323232"/>
          <w:spacing w:val="-1"/>
        </w:rPr>
        <w:t>expectations of</w:t>
      </w:r>
      <w:r>
        <w:rPr>
          <w:color w:val="323232"/>
          <w:spacing w:val="-21"/>
        </w:rPr>
        <w:t xml:space="preserve"> </w:t>
      </w:r>
      <w:r>
        <w:rPr>
          <w:color w:val="323232"/>
          <w:spacing w:val="-1"/>
        </w:rPr>
        <w:t>only 34% of</w:t>
      </w:r>
      <w:r>
        <w:rPr>
          <w:color w:val="323232"/>
          <w:spacing w:val="-20"/>
        </w:rPr>
        <w:t xml:space="preserve"> </w:t>
      </w:r>
      <w:r>
        <w:rPr>
          <w:color w:val="323232"/>
          <w:spacing w:val="-2"/>
        </w:rPr>
        <w:t>customers overall and 20% of</w:t>
      </w:r>
      <w:r>
        <w:rPr>
          <w:color w:val="323232"/>
          <w:spacing w:val="-21"/>
        </w:rPr>
        <w:t xml:space="preserve"> </w:t>
      </w:r>
      <w:r>
        <w:rPr>
          <w:color w:val="323232"/>
          <w:spacing w:val="-2"/>
        </w:rPr>
        <w:t>customers in the Chinese market.</w:t>
      </w:r>
    </w:p>
    <w:p>
      <w:pPr>
        <w:spacing w:line="422" w:lineRule="auto"/>
        <w:rPr>
          <w:rFonts w:ascii="Arial"/>
          <w:sz w:val="21"/>
        </w:rPr>
      </w:pPr>
    </w:p>
    <w:p>
      <w:pPr>
        <w:spacing w:line="5778" w:lineRule="exact"/>
        <w:sectPr>
          <w:headerReference w:type="default" r:id="rId13"/>
          <w:pgSz w:w="11900" w:h="16839"/>
          <w:pgMar w:top="400" w:right="584" w:bottom="0" w:left="585" w:header="0" w:footer="0" w:gutter="0"/>
          <w:pgNumType w:start="3"/>
          <w:cols w:space="708"/>
        </w:sectPr>
      </w:pPr>
      <w:r>
        <w:rPr>
          <w:position w:val="-115"/>
        </w:rPr>
        <w:drawing>
          <wp:inline distT="0" distB="0" distL="0" distR="0">
            <wp:extent cx="6813237" cy="366866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13237" cy="366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5" w:lineRule="auto"/>
        <w:rPr>
          <w:rFonts w:ascii="Arial"/>
          <w:sz w:val="21"/>
        </w:rPr>
      </w:pPr>
    </w:p>
    <w:p>
      <w:pPr>
        <w:spacing w:line="335" w:lineRule="auto"/>
        <w:rPr>
          <w:rFonts w:ascii="Arial"/>
          <w:sz w:val="21"/>
        </w:rPr>
      </w:pPr>
    </w:p>
    <w:p>
      <w:pPr>
        <w:spacing w:before="86" w:line="211" w:lineRule="auto"/>
        <w:ind w:left="384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©</w:t>
      </w:r>
      <w:r>
        <w:rPr>
          <w:rFonts w:ascii="Microsoft JhengHei" w:eastAsia="Microsoft JhengHei" w:hAnsi="Microsoft JhengHei" w:cs="Microsoft JhengHei"/>
          <w:color w:val="7F7F7F"/>
          <w:spacing w:val="20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2024</w:t>
      </w:r>
      <w:r>
        <w:rPr>
          <w:rFonts w:ascii="Microsoft JhengHei" w:eastAsia="Microsoft JhengHei" w:hAnsi="Microsoft JhengHei" w:cs="Microsoft JhengHei"/>
          <w:color w:val="7F7F7F"/>
          <w:spacing w:val="35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Boston</w:t>
      </w:r>
      <w:r>
        <w:rPr>
          <w:rFonts w:ascii="Microsoft JhengHei" w:eastAsia="Microsoft JhengHei" w:hAnsi="Microsoft JhengHei" w:cs="Microsoft JhengHei"/>
          <w:color w:val="7F7F7F"/>
          <w:spacing w:val="19"/>
          <w:w w:val="101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Consulting</w:t>
      </w:r>
      <w:r>
        <w:rPr>
          <w:rFonts w:ascii="Microsoft JhengHei" w:eastAsia="Microsoft JhengHei" w:hAnsi="Microsoft JhengHei" w:cs="Microsoft JhengHei"/>
          <w:color w:val="7F7F7F"/>
          <w:spacing w:val="13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Group</w:t>
      </w:r>
      <w:r>
        <w:rPr>
          <w:rFonts w:ascii="Microsoft JhengHei" w:eastAsia="Microsoft JhengHei" w:hAnsi="Microsoft JhengHei" w:cs="Microsoft JhengHei"/>
          <w:color w:val="7F7F7F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rFonts w:ascii="Microsoft JhengHei" w:eastAsia="Microsoft JhengHei" w:hAnsi="Microsoft JhengHei" w:cs="Microsoft JhengHei"/>
          <w:color w:val="7F7F7F"/>
          <w:spacing w:val="-4"/>
          <w:sz w:val="20"/>
          <w:szCs w:val="20"/>
        </w:rPr>
        <w:t>2</w:t>
      </w:r>
    </w:p>
    <w:p>
      <w:pPr>
        <w:spacing w:line="211" w:lineRule="auto"/>
        <w:rPr>
          <w:rFonts w:ascii="Microsoft JhengHei" w:eastAsia="Microsoft JhengHei" w:hAnsi="Microsoft JhengHei" w:cs="Microsoft JhengHei"/>
          <w:sz w:val="20"/>
          <w:szCs w:val="20"/>
        </w:rPr>
      </w:pPr>
      <w:r>
        <w:rPr>
          <w:rFonts w:ascii="Microsoft JhengHei" w:eastAsia="Microsoft JhengHei" w:hAnsi="Microsoft JhengHei" w:cs="Microsoft JhengHei"/>
          <w:sz w:val="20"/>
          <w:szCs w:val="20"/>
        </w:rPr>
        <w:br/>
      </w:r>
      <w:r>
        <w:rPr>
          <w:rFonts w:ascii="Microsoft JhengHei" w:eastAsia="Microsoft JhengHei" w:hAnsi="Microsoft JhengHei" w:cs="Microsoft JhengHei"/>
          <w:sz w:val="20"/>
          <w:szCs w:val="2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https://d.book118.com/436050010130010051</w:t>
        </w:r>
      </w:hyperlink>
    </w:p>
    <w:p>
      <w:pPr>
        <w:spacing w:line="211" w:lineRule="auto"/>
        <w:rPr>
          <w:rFonts w:ascii="Microsoft JhengHei" w:eastAsia="Microsoft JhengHei" w:hAnsi="Microsoft JhengHei" w:cs="Microsoft JhengHei"/>
          <w:sz w:val="20"/>
          <w:szCs w:val="20"/>
        </w:rPr>
      </w:pPr>
    </w:p>
    <w:sectPr>
      <w:headerReference w:type="default" r:id="rId16"/>
      <w:type w:val="nextPage"/>
      <w:pgSz w:w="11900" w:h="16839"/>
      <w:pgMar w:top="400" w:right="584" w:bottom="0" w:left="585" w:header="0" w:footer="0" w:gutter="0"/>
      <w:pgNumType w:start="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egoe UI" w:eastAsia="Segoe UI" w:hAnsi="Segoe UI" w:cs="Segoe UI"/>
      <w:sz w:val="24"/>
      <w:szCs w:val="24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Nirmala UI" w:eastAsia="Nirmala UI" w:hAnsi="Nirmala UI" w:cs="Nirmala UI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image" Target="media/image2.png" /><Relationship Id="rId13" Type="http://schemas.openxmlformats.org/officeDocument/2006/relationships/header" Target="header3.xml" /><Relationship Id="rId14" Type="http://schemas.openxmlformats.org/officeDocument/2006/relationships/image" Target="media/image3.jpeg" /><Relationship Id="rId15" Type="http://schemas.openxmlformats.org/officeDocument/2006/relationships/hyperlink" Target="https://d.book118.com/436050010130010051" TargetMode="External" /><Relationship Id="rId16" Type="http://schemas.openxmlformats.org/officeDocument/2006/relationships/header" Target="header4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www.bcg.com/about/people/experts/andrej-levin" TargetMode="External" /><Relationship Id="rId6" Type="http://schemas.openxmlformats.org/officeDocument/2006/relationships/hyperlink" Target="https://www.bcg.com/about/people/experts/karen-lellouche" TargetMode="External" /><Relationship Id="rId7" Type="http://schemas.openxmlformats.org/officeDocument/2006/relationships/hyperlink" Target="https://www.bcg.com/about/people/experts/christoph-heuser" TargetMode="External" /><Relationship Id="rId8" Type="http://schemas.openxmlformats.org/officeDocument/2006/relationships/hyperlink" Target="https://www.bcg.com/about/people/experts/lisa-bornschlegel" TargetMode="External" /><Relationship Id="rId9" Type="http://schemas.openxmlformats.org/officeDocument/2006/relationships/hyperlink" Target="https://www.bcg.com/industries/automotive/overvi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2024-02-22T17:36:55Z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2024-02-22T17:43:30Z</vt:filetime>
  </property>
  <property fmtid="{D5CDD505-2E9C-101B-9397-08002B2CF9AE}" pid="3" name="CRO">
    <vt:lpwstr>wqlLaW5nc29mdCBQREYgdG8gV1BTIDkw</vt:lpwstr>
  </property>
</Properties>
</file>