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2018-2023年上海中华职业技术学院高职单招（数学／语文／英语）历年常考试题库含答案解析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“有毅力者成，反是者败”这段话所用的论证方法是（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贯串《爱尔克的灯光》全文的线索是（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C.三种灯光的依次闪现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D.“我的心灵的灯”的引导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韩愈的作品集是（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A.《饮冰室文集》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B.《临川先生文集》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C.《昌黎先生集》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D.《柳河东集》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《虞美人（春花秋月何时了）》一词的作者是（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鲁迅发表的第一篇现代白话文小说是（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A.《呐喊》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B.《狂人日记》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C.《孔乙己》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D.《阿Q正传》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《八声甘州》(对潇潇暮雨洒江天)所写的内容是（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A.送别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B.羁旅行役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C.仕途坎坷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D.边塞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孟子在本文中用“五十步笑百步”讽刺（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A.胆小的逃兵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B.自己慢却要嘲笑别人的人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C.不行仁政的梁惠王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D.不行仁政的邻国国君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8.</w:t>
      </w:r>
      <w:r>
        <w:rPr>
          <w:rFonts w:ascii="黑体" w:eastAsia="黑体" w:hAnsi="黑体" w:cs="Times New Roman"/>
          <w:sz w:val="24"/>
          <w:lang w:val="en-US" w:eastAsia="ja-JP" w:bidi="ar-SA"/>
        </w:rPr>
        <w:t>《日出》的作者是（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A.老舍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B.田汉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C.丁西林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D.曹禺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7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《九歌·国殇》的风格是（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A.刚健豪壮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C.慷慨悲凉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D.激情豪迈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司马迁用“桃李不言，下自成蹊”赞美（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A.冯谖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D.程不识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《麦琪的礼物》运用的结构方法是（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A.一虚一实，双线并行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A.《东坡词》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https://d.book118.com/436055024230010052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36055024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