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2024年碳布行业分析报告及未来五到十年行业发展趋势报告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41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_Toc30941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062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_Toc30628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88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_Toc31688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4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_Toc11940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58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_Toc22058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975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_Toc25975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7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_Toc4970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8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_Toc28082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_Toc2918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4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_Toc25046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5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_Toc28750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23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_Toc28223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25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_Toc7250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0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_Toc28307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8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_Toc9683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8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_Toc27580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08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_Toc13808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913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_Toc9913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2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_Toc15526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4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_Toc32440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5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_Toc14053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6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_Toc13668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44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_Toc7744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217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_Toc27217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2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_Toc5922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90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_Toc11990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960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_Toc22960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046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_Toc24046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379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_Toc29379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12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_Toc32712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627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_Toc9627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560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_Toc32560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415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_Toc15415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366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_Toc26366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7281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_Toc17281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517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_Toc20517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946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_Toc22946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550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_Toc11550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30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_Toc10305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5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_Toc17855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7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_Toc12671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778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_Toc3778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5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_Toc3552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37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_Toc8837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74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_Toc27274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6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_Toc3276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26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_Toc21126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017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_Toc27017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0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_Toc25309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82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_Toc5882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3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_Toc18633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5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_Toc32154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793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_Toc8793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9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_Toc17594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85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_Toc23854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570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_Toc16570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2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_Toc19527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5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_Toc4159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549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_Toc13549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8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_Toc18387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行业企</w:t>
        </w:r>
        <w:r>
          <w:rPr>
            <w:rFonts w:eastAsia="微软雅黑" w:hint="eastAsia"/>
            <w:snapToGrid/>
            <w:lang w:val="en-US" w:eastAsia="zh-CN"/>
          </w:rPr>
          <w:t>业战略确定</w:t>
        </w:r>
        <w:r>
          <w:tab/>
        </w:r>
        <w:r>
          <w:fldChar w:fldCharType="begin"/>
        </w:r>
        <w:r>
          <w:instrText xml:space="preserve"> PAGEREF _Toc21567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8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_Toc18388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74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_Toc10741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37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_Toc30373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30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_Toc31305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60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_Toc10608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480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_Toc18480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4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碳布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_Toc6147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5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_Toc21059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9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碳布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_Toc23691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https://d.book118.com/436102045241010030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36102045241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