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2024年ICL行业分析报告及未来五到十年行业发展趋势报告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000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_Toc28000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339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_Toc23395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1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_Toc12115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4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_Toc4044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45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_Toc30455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93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_Toc3939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92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_Toc25927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09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_Toc11091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0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_Toc21108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74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_Toc16374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82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_Toc8882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589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_Toc15589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94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_Toc6794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33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_Toc25233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4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_Toc30344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1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_Toc2481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00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产业未来发展前景</w:t>
        </w:r>
        <w:r>
          <w:tab/>
        </w:r>
        <w:r>
          <w:fldChar w:fldCharType="begin"/>
        </w:r>
        <w:r>
          <w:instrText xml:space="preserve"> PAGEREF _Toc27002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12" w:history="1">
        <w:r>
          <w:rPr>
            <w:rFonts w:eastAsia="微软雅黑" w:hint="eastAsia"/>
            <w:snapToGrid/>
            <w:lang w:val="en-US" w:eastAsia="zh-CN"/>
          </w:rPr>
          <w:t>(一)、我国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行业市场规模前景预测</w:t>
        </w:r>
        <w:r>
          <w:tab/>
        </w:r>
        <w:r>
          <w:fldChar w:fldCharType="begin"/>
        </w:r>
        <w:r>
          <w:instrText xml:space="preserve"> PAGEREF _Toc11012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6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行业进入大规模推广应用阶</w:t>
        </w:r>
        <w:r>
          <w:tab/>
        </w:r>
        <w:r>
          <w:fldChar w:fldCharType="begin"/>
        </w:r>
        <w:r>
          <w:instrText xml:space="preserve"> PAGEREF _Toc32164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48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行业的市场增长点</w:t>
        </w:r>
        <w:r>
          <w:tab/>
        </w:r>
        <w:r>
          <w:fldChar w:fldCharType="begin"/>
        </w:r>
        <w:r>
          <w:instrText xml:space="preserve"> PAGEREF _Toc21048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66" w:history="1">
        <w:r>
          <w:rPr>
            <w:rFonts w:eastAsia="微软雅黑" w:hint="eastAsia"/>
            <w:snapToGrid/>
            <w:lang w:val="en-US" w:eastAsia="zh-CN"/>
          </w:rPr>
          <w:t>(四)、细分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行业产品将具有最大优势</w:t>
        </w:r>
        <w:r>
          <w:tab/>
        </w:r>
        <w:r>
          <w:fldChar w:fldCharType="begin"/>
        </w:r>
        <w:r>
          <w:instrText xml:space="preserve"> PAGEREF _Toc30866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0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行业与互联网等行业融合发展机遇</w:t>
        </w:r>
        <w:r>
          <w:tab/>
        </w:r>
        <w:r>
          <w:fldChar w:fldCharType="begin"/>
        </w:r>
        <w:r>
          <w:instrText xml:space="preserve"> PAGEREF _Toc15605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8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行业人才培养市场广阔，国际合作前景广阔</w:t>
        </w:r>
        <w:r>
          <w:tab/>
        </w:r>
        <w:r>
          <w:fldChar w:fldCharType="begin"/>
        </w:r>
        <w:r>
          <w:instrText xml:space="preserve"> PAGEREF _Toc7786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27" w:history="1">
        <w:r>
          <w:rPr>
            <w:rFonts w:eastAsia="微软雅黑" w:hint="eastAsia"/>
            <w:snapToGrid/>
            <w:lang w:val="en-US" w:eastAsia="zh-CN"/>
          </w:rPr>
          <w:t>(七)、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行业发展需要突破创新瓶颈</w:t>
        </w:r>
        <w:r>
          <w:tab/>
        </w:r>
        <w:r>
          <w:fldChar w:fldCharType="begin"/>
        </w:r>
        <w:r>
          <w:instrText xml:space="preserve"> PAGEREF _Toc12127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77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_Toc22771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93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_Toc4493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5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_Toc10155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58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_Toc17858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48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_Toc10648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69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_Toc25969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1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_Toc22216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28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_Toc17228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30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_Toc28308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4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_Toc17140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33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_Toc2331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0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_Toc23301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59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_Toc28059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8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_Toc31883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31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_Toc7314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9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_Toc13098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52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_Toc13252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137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_Toc11137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0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_Toc17309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0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_Toc31107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8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_Toc10381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_Toc1771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5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_Toc20555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9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_Toc4593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024" w:history="1">
        <w:r>
          <w:rPr>
            <w:rFonts w:eastAsia="微软雅黑" w:hint="eastAsia"/>
            <w:snapToGrid/>
            <w:lang w:val="en-US" w:eastAsia="en-US"/>
          </w:rPr>
          <w:t>八、关于未来5-10年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_Toc21024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5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_Toc9951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24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_Toc15024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35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_Toc4935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8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_Toc11989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17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_Toc2017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4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_Toc26249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_Toc1626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2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_Toc18423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246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_Toc25246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8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_Toc27683 \h </w:instrText>
        </w:r>
        <w:r>
          <w:fldChar w:fldCharType="separate"/>
        </w:r>
        <w:r>
          <w:t>2</w:t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0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_Toc7004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35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_Toc25035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29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_Toc11229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44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_Toc26744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89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_Toc18789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54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_Toc27854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58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ICL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_Toc20658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299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_Toc6299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5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ICL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_Toc3155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31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_Toc7231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6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_Toc756 \h </w:instrText>
        </w:r>
        <w:r>
          <w:fldChar w:fldCharType="separate"/>
        </w:r>
        <w:r>
          <w:t>31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https://d.book118.com/436112120130010032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3611212013001003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