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6"/>
        <w:ind w:left="0"/>
        <w:rPr>
          <w:rFonts w:ascii="Times New Roman"/>
          <w:sz w:val="10"/>
        </w:rPr>
      </w:pPr>
    </w:p>
    <w:p>
      <w:pPr>
        <w:spacing w:before="0" w:line="702" w:lineRule="exact"/>
        <w:ind w:left="0" w:right="199" w:firstLine="0"/>
        <w:jc w:val="center"/>
        <w:rPr>
          <w:rFonts w:ascii="Microsoft JhengHei" w:eastAsia="Microsoft JhengHei"/>
          <w:b/>
          <w:sz w:val="44"/>
        </w:rPr>
      </w:pPr>
      <w:r>
        <w:rPr>
          <w:rFonts w:ascii="Microsoft JhengHei" w:eastAsia="Microsoft JhengHei"/>
          <w:b/>
          <w:spacing w:val="-2"/>
          <w:sz w:val="44"/>
        </w:rPr>
        <w:t>危房改造工程</w:t>
      </w:r>
    </w:p>
    <w:p>
      <w:pPr>
        <w:pStyle w:val="BodyText"/>
        <w:ind w:left="0"/>
        <w:rPr>
          <w:rFonts w:ascii="Microsoft JhengHei"/>
          <w:b/>
          <w:sz w:val="44"/>
        </w:rPr>
      </w:pPr>
    </w:p>
    <w:p>
      <w:pPr>
        <w:pStyle w:val="BodyText"/>
        <w:ind w:left="0"/>
        <w:rPr>
          <w:rFonts w:ascii="Microsoft JhengHei"/>
          <w:b/>
          <w:sz w:val="44"/>
        </w:rPr>
      </w:pPr>
    </w:p>
    <w:p>
      <w:pPr>
        <w:pStyle w:val="BodyText"/>
        <w:ind w:left="0"/>
        <w:rPr>
          <w:rFonts w:ascii="Microsoft JhengHei"/>
          <w:b/>
          <w:sz w:val="44"/>
        </w:rPr>
      </w:pPr>
    </w:p>
    <w:p>
      <w:pPr>
        <w:pStyle w:val="BodyText"/>
        <w:spacing w:before="14"/>
        <w:ind w:left="0"/>
        <w:rPr>
          <w:rFonts w:ascii="Microsoft JhengHei"/>
          <w:b/>
          <w:sz w:val="29"/>
        </w:rPr>
      </w:pPr>
    </w:p>
    <w:p>
      <w:pPr>
        <w:pStyle w:val="Title"/>
      </w:pPr>
      <w:r>
        <w:rPr>
          <w:spacing w:val="-1"/>
        </w:rPr>
        <w:t>安全防护专项施工方案</w:t>
      </w:r>
    </w:p>
    <w:p>
      <w:pPr>
        <w:spacing w:after="0"/>
        <w:sectPr>
          <w:footerReference w:type="default" r:id="rId4"/>
          <w:type w:val="continuous"/>
          <w:pgSz w:w="11910" w:h="16840"/>
          <w:pgMar w:top="1920" w:right="1480" w:bottom="1180" w:left="1680" w:header="0" w:footer="991"/>
          <w:pgNumType w:start="1"/>
          <w:cols w:space="708"/>
        </w:sectPr>
      </w:pPr>
    </w:p>
    <w:p>
      <w:pPr>
        <w:pStyle w:val="BodyText"/>
        <w:tabs>
          <w:tab w:val="left" w:pos="479"/>
        </w:tabs>
        <w:spacing w:before="46"/>
        <w:ind w:left="0" w:right="199"/>
        <w:jc w:val="center"/>
      </w:pPr>
      <w:bookmarkStart w:id="0" w:name="_bookmark0"/>
      <w:bookmarkEnd w:id="0"/>
      <w:r>
        <w:rPr>
          <w:spacing w:val="-10"/>
        </w:rPr>
        <w:t>目</w:t>
      </w:r>
      <w:r>
        <w:tab/>
      </w:r>
      <w:r>
        <w:rPr>
          <w:spacing w:val="-10"/>
        </w:rPr>
        <w:t>录</w:t>
      </w:r>
    </w:p>
    <w:sdt>
      <w:sdtPr>
        <w:id w:val="1330253538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279"/>
            </w:tabs>
            <w:spacing w:before="550"/>
          </w:pPr>
          <w:hyperlink w:anchor="_bookmark0" w:history="1">
            <w:r>
              <w:t>一、 编制依</w:t>
            </w:r>
            <w:r>
              <w:rPr>
                <w:spacing w:val="-10"/>
              </w:rPr>
              <w:t>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279"/>
            </w:tabs>
            <w:spacing w:before="161"/>
          </w:pPr>
          <w:hyperlink w:anchor="_bookmark1" w:history="1">
            <w:r>
              <w:t>二、工程概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8279"/>
            </w:tabs>
          </w:pPr>
          <w:hyperlink w:anchor="_TOC_250016" w:history="1">
            <w:r>
              <w:t>三、安全防护施工措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15" w:history="1">
            <w:r>
              <w:t>3、1 基坑临边安全防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14" w:history="1">
            <w:r>
              <w:t>3、2 临边、洞口安全防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13" w:history="1">
            <w:r>
              <w:t>3、3 外脚手架安全防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12" w:history="1">
            <w:r>
              <w:t>3、4 安全通道防护棚安全防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11" w:history="1">
            <w:r>
              <w:t>3、5 斜道安全防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13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10" w:history="1">
            <w:r>
              <w:t>3、6 卸料平台安全防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09" w:history="1">
            <w:r>
              <w:t>3、7 施工电梯安全防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15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08" w:history="1">
            <w:r>
              <w:t>3、8 高处作业安全防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07" w:history="1">
            <w:r>
              <w:t>3、9 安全帽、带、网防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06" w:history="1">
            <w:r>
              <w:t>3、10 用电安全措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05" w:history="1">
            <w:r>
              <w:t>3、11 施工机械使用安全措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04" w:history="1">
            <w:r>
              <w:t>3、12 塔吊施工安全措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03" w:history="1">
            <w:r>
              <w:t>3、13 模板安装、拆除安全措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24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02" w:history="1">
            <w:r>
              <w:t>3、14 夜间施工安全措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2"/>
            <w:tabs>
              <w:tab w:val="right" w:leader="dot" w:pos="8279"/>
            </w:tabs>
            <w:spacing w:before="161"/>
          </w:pPr>
          <w:hyperlink w:anchor="_TOC_250001" w:history="1">
            <w:r>
              <w:t>3、15 特殊季节施工安全措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2"/>
            <w:tabs>
              <w:tab w:val="right" w:leader="dot" w:pos="8279"/>
            </w:tabs>
          </w:pPr>
          <w:hyperlink w:anchor="_TOC_250000" w:history="1">
            <w:r>
              <w:t>3、16 意外事故应急措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27</w:t>
            </w:r>
          </w:hyperlink>
        </w:p>
      </w:sdtContent>
    </w:sdt>
    <w:p>
      <w:pPr>
        <w:spacing w:after="0"/>
        <w:sectPr>
          <w:footerReference w:type="default" r:id="rId5"/>
          <w:pgSz w:w="11910" w:h="16840"/>
          <w:pgMar w:top="1380" w:right="1480" w:bottom="1180" w:left="1680" w:header="0" w:footer="991"/>
          <w:pgNumType w:start="1"/>
          <w:cols w:space="708"/>
        </w:sectPr>
      </w:pPr>
    </w:p>
    <w:p>
      <w:pPr>
        <w:pStyle w:val="Heading1"/>
        <w:spacing w:line="408" w:lineRule="exact"/>
        <w:ind w:left="120" w:firstLine="0"/>
      </w:pPr>
      <w:r>
        <w:rPr>
          <w:spacing w:val="7"/>
        </w:rPr>
        <w:t>一、 编制依据</w:t>
      </w:r>
    </w:p>
    <w:p>
      <w:pPr>
        <w:pStyle w:val="BodyText"/>
        <w:spacing w:before="28"/>
      </w:pPr>
      <w:r>
        <w:t>1</w:t>
      </w:r>
      <w:r>
        <w:rPr>
          <w:spacing w:val="-12"/>
        </w:rPr>
        <w:t>、《 大板房危旧房改造项目施工蓝图》</w:t>
      </w:r>
    </w:p>
    <w:p>
      <w:pPr>
        <w:pStyle w:val="BodyText"/>
        <w:spacing w:before="160"/>
      </w:pPr>
      <w:r>
        <w:t>2</w:t>
      </w:r>
      <w:r>
        <w:rPr>
          <w:spacing w:val="-12"/>
        </w:rPr>
        <w:t>、《 大板房危旧房改造项目施工总承包合同》</w:t>
      </w:r>
    </w:p>
    <w:p>
      <w:pPr>
        <w:pStyle w:val="BodyText"/>
        <w:spacing w:before="161"/>
      </w:pPr>
      <w:r>
        <w:t>3</w:t>
      </w:r>
      <w:r>
        <w:rPr>
          <w:spacing w:val="-12"/>
        </w:rPr>
        <w:t>、《 大板房危旧房改造项目施工组织设计》</w:t>
      </w:r>
    </w:p>
    <w:p>
      <w:pPr>
        <w:pStyle w:val="BodyText"/>
        <w:spacing w:before="160"/>
      </w:pPr>
      <w:r>
        <w:t>4</w:t>
      </w:r>
      <w:r>
        <w:rPr>
          <w:spacing w:val="-21"/>
        </w:rPr>
        <w:t>、《建筑施工安全检查标准》</w:t>
      </w:r>
      <w:r>
        <w:t>（JGJ59-</w:t>
      </w:r>
      <w:r>
        <w:rPr>
          <w:spacing w:val="-2"/>
        </w:rPr>
        <w:t>2011）</w:t>
      </w:r>
    </w:p>
    <w:p>
      <w:pPr>
        <w:pStyle w:val="BodyText"/>
        <w:spacing w:before="161"/>
      </w:pPr>
      <w:r>
        <w:t>5</w:t>
      </w:r>
      <w:r>
        <w:rPr>
          <w:spacing w:val="-20"/>
        </w:rPr>
        <w:t>、《建筑机械使用安全技术规程》</w:t>
      </w:r>
      <w:r>
        <w:t>（JGJ33-</w:t>
      </w:r>
      <w:r>
        <w:rPr>
          <w:spacing w:val="-2"/>
        </w:rPr>
        <w:t>2012）</w:t>
      </w:r>
    </w:p>
    <w:p>
      <w:pPr>
        <w:pStyle w:val="BodyText"/>
        <w:spacing w:before="160"/>
      </w:pPr>
      <w:r>
        <w:t>6</w:t>
      </w:r>
      <w:r>
        <w:rPr>
          <w:spacing w:val="-20"/>
        </w:rPr>
        <w:t>、《建筑施工模板安全技术规范》</w:t>
      </w:r>
      <w:r>
        <w:t>（JGJ162-</w:t>
      </w:r>
      <w:r>
        <w:rPr>
          <w:spacing w:val="-2"/>
        </w:rPr>
        <w:t>2008）</w:t>
      </w:r>
    </w:p>
    <w:p>
      <w:pPr>
        <w:pStyle w:val="BodyText"/>
        <w:spacing w:before="161"/>
      </w:pPr>
      <w:r>
        <w:t>7</w:t>
      </w:r>
      <w:r>
        <w:rPr>
          <w:spacing w:val="-18"/>
        </w:rPr>
        <w:t>、《危险性较大的分部分项工程安全管理办法》</w:t>
      </w:r>
      <w:r>
        <w:t>（建质[2009]87</w:t>
      </w:r>
      <w:r>
        <w:rPr>
          <w:spacing w:val="-30"/>
        </w:rPr>
        <w:t xml:space="preserve"> 号</w:t>
      </w:r>
      <w:r>
        <w:rPr>
          <w:spacing w:val="-10"/>
        </w:rPr>
        <w:t>）</w:t>
      </w:r>
    </w:p>
    <w:p>
      <w:pPr>
        <w:pStyle w:val="BodyText"/>
        <w:spacing w:before="160"/>
      </w:pPr>
      <w:r>
        <w:t>8</w:t>
      </w:r>
      <w:r>
        <w:rPr>
          <w:spacing w:val="-19"/>
        </w:rPr>
        <w:t>、《建筑施工高处作业安全技术规范》</w:t>
      </w:r>
      <w:r>
        <w:t>（JGJ80-</w:t>
      </w:r>
      <w:r>
        <w:rPr>
          <w:spacing w:val="-2"/>
        </w:rPr>
        <w:t>2016）</w:t>
      </w:r>
    </w:p>
    <w:p>
      <w:pPr>
        <w:pStyle w:val="BodyText"/>
        <w:spacing w:before="161"/>
      </w:pPr>
      <w:r>
        <w:t>9</w:t>
      </w:r>
      <w:r>
        <w:rPr>
          <w:spacing w:val="-18"/>
        </w:rPr>
        <w:t>、《建筑施工扣件式钢管脚手架安全技术规范》</w:t>
      </w:r>
      <w:r>
        <w:t>（JGJ130-</w:t>
      </w:r>
      <w:r>
        <w:rPr>
          <w:spacing w:val="-2"/>
        </w:rPr>
        <w:t>2011）</w:t>
      </w:r>
    </w:p>
    <w:p>
      <w:pPr>
        <w:pStyle w:val="BodyText"/>
        <w:spacing w:before="160"/>
      </w:pPr>
      <w:r>
        <w:t>10</w:t>
      </w:r>
      <w:r>
        <w:rPr>
          <w:spacing w:val="-19"/>
        </w:rPr>
        <w:t>、《施工现场临时用电安全技术规范》</w:t>
      </w:r>
      <w:r>
        <w:t>（JGJ46-</w:t>
      </w:r>
      <w:r>
        <w:rPr>
          <w:spacing w:val="-2"/>
        </w:rPr>
        <w:t>2005）</w:t>
      </w:r>
    </w:p>
    <w:p>
      <w:pPr>
        <w:pStyle w:val="BodyText"/>
        <w:spacing w:before="161"/>
      </w:pPr>
      <w:r>
        <w:t>11</w:t>
      </w:r>
      <w:r>
        <w:rPr>
          <w:spacing w:val="-1"/>
        </w:rPr>
        <w:t>、新七建设集团有限公司安全生产标准化管理手册</w:t>
      </w:r>
    </w:p>
    <w:p>
      <w:pPr>
        <w:pStyle w:val="BodyText"/>
        <w:spacing w:before="160"/>
      </w:pPr>
      <w:r>
        <w:t>12</w:t>
      </w:r>
      <w:r>
        <w:rPr>
          <w:spacing w:val="-1"/>
        </w:rPr>
        <w:t>、相关法律、法规、地方性条文规定的内容</w:t>
      </w:r>
    </w:p>
    <w:p>
      <w:pPr>
        <w:spacing w:after="0"/>
        <w:sectPr>
          <w:footerReference w:type="default" r:id="rId6"/>
          <w:pgSz w:w="11910" w:h="16840"/>
          <w:pgMar w:top="1380" w:right="1480" w:bottom="1180" w:left="1680" w:header="0" w:footer="991"/>
          <w:pgNumType w:start="2"/>
          <w:cols w:space="708"/>
        </w:sectPr>
      </w:pPr>
    </w:p>
    <w:p>
      <w:pPr>
        <w:pStyle w:val="Heading1"/>
        <w:spacing w:line="383" w:lineRule="exact"/>
        <w:ind w:left="0" w:right="7179" w:firstLine="0"/>
        <w:jc w:val="right"/>
      </w:pPr>
      <w:r>
        <w:rPr>
          <w:spacing w:val="-2"/>
        </w:rPr>
        <w:t>二、工程概况</w:t>
      </w:r>
    </w:p>
    <w:p>
      <w:pPr>
        <w:spacing w:before="0" w:line="416" w:lineRule="exact"/>
        <w:ind w:left="0" w:right="7181" w:firstLine="0"/>
        <w:jc w:val="righ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pacing w:val="-3"/>
          <w:sz w:val="24"/>
        </w:rPr>
        <w:t>参建单位</w:t>
      </w:r>
    </w:p>
    <w:p>
      <w:pPr>
        <w:pStyle w:val="BodyText"/>
        <w:spacing w:before="167" w:line="374" w:lineRule="auto"/>
        <w:ind w:left="600" w:right="945"/>
        <w:rPr>
          <w:rFonts w:ascii="宋体" w:eastAsia="宋体"/>
        </w:rPr>
      </w:pPr>
      <w:r>
        <w:rPr>
          <w:rFonts w:ascii="宋体" w:eastAsia="宋体"/>
          <w:spacing w:val="-2"/>
        </w:rPr>
        <w:t>项目名称：沙市区关沮片区棚户区改造（合心村还建小区二期）工程</w:t>
      </w:r>
      <w:r>
        <w:rPr>
          <w:rFonts w:ascii="宋体" w:eastAsia="宋体"/>
          <w:spacing w:val="-2"/>
        </w:rPr>
        <w:t>工程建设地点：荆州市填谷大道与拟建银湖路交叉口</w:t>
      </w:r>
    </w:p>
    <w:p>
      <w:pPr>
        <w:pStyle w:val="BodyText"/>
        <w:spacing w:before="1" w:line="374" w:lineRule="auto"/>
        <w:ind w:left="600" w:right="3825"/>
        <w:rPr>
          <w:rFonts w:ascii="宋体" w:eastAsia="宋体"/>
        </w:rPr>
      </w:pPr>
      <w:r>
        <w:rPr>
          <w:rFonts w:ascii="宋体" w:eastAsia="宋体"/>
          <w:spacing w:val="-2"/>
        </w:rPr>
        <w:t>建设单位：湖北省荆房投资开发有限公司</w:t>
      </w:r>
      <w:r>
        <w:rPr>
          <w:rFonts w:ascii="宋体" w:eastAsia="宋体"/>
          <w:spacing w:val="-2"/>
        </w:rPr>
        <w:t>设计单位：荆州市城市规划设计研究院</w:t>
      </w:r>
      <w:r>
        <w:rPr>
          <w:rFonts w:ascii="宋体" w:eastAsia="宋体"/>
          <w:spacing w:val="-2"/>
        </w:rPr>
        <w:t xml:space="preserve"> </w:t>
      </w:r>
      <w:r>
        <w:rPr>
          <w:rFonts w:ascii="宋体" w:eastAsia="宋体"/>
          <w:spacing w:val="-2"/>
        </w:rPr>
        <w:t>勘察单位：荆州市城市规划设计研究院</w:t>
      </w:r>
    </w:p>
    <w:p>
      <w:pPr>
        <w:pStyle w:val="BodyText"/>
        <w:spacing w:before="1" w:line="374" w:lineRule="auto"/>
        <w:ind w:left="600" w:right="3105"/>
        <w:rPr>
          <w:rFonts w:ascii="宋体" w:eastAsia="宋体"/>
        </w:rPr>
      </w:pPr>
      <w:r>
        <w:rPr>
          <w:rFonts w:ascii="宋体" w:eastAsia="宋体"/>
          <w:spacing w:val="-2"/>
        </w:rPr>
        <w:t>监理单位：湖北三峡建设项目管理股份有限公司</w:t>
      </w:r>
      <w:r>
        <w:rPr>
          <w:rFonts w:ascii="宋体" w:eastAsia="宋体"/>
          <w:spacing w:val="-2"/>
        </w:rPr>
        <w:t>施工单位：湖北长安建筑股份有限公司</w:t>
      </w:r>
    </w:p>
    <w:p>
      <w:pPr>
        <w:pStyle w:val="BodyText"/>
        <w:spacing w:before="4"/>
        <w:ind w:left="0"/>
        <w:rPr>
          <w:rFonts w:ascii="宋体"/>
          <w:sz w:val="31"/>
        </w:rPr>
      </w:pPr>
    </w:p>
    <w:p>
      <w:pPr>
        <w:pStyle w:val="Heading1"/>
        <w:ind w:left="120" w:firstLine="0"/>
      </w:pPr>
      <w:r>
        <w:rPr>
          <w:spacing w:val="-2"/>
        </w:rPr>
        <w:t>工程基本情况</w:t>
      </w:r>
    </w:p>
    <w:p>
      <w:pPr>
        <w:pStyle w:val="BodyText"/>
        <w:spacing w:before="16"/>
        <w:ind w:left="0"/>
        <w:rPr>
          <w:rFonts w:ascii="Microsoft JhengHei"/>
          <w:b/>
        </w:rPr>
      </w:pPr>
    </w:p>
    <w:p>
      <w:pPr>
        <w:pStyle w:val="BodyText"/>
        <w:spacing w:line="364" w:lineRule="auto"/>
        <w:ind w:right="195" w:firstLine="720"/>
        <w:rPr>
          <w:rFonts w:ascii="宋体" w:eastAsia="宋体"/>
        </w:rPr>
      </w:pPr>
      <w:r>
        <w:rPr>
          <w:rFonts w:ascii="宋体" w:eastAsia="宋体"/>
          <w:spacing w:val="-5"/>
        </w:rPr>
        <w:t xml:space="preserve">本工程二期建筑总面积约 </w:t>
      </w:r>
      <w:r>
        <w:rPr>
          <w:rFonts w:ascii="宋体" w:eastAsia="宋体"/>
          <w:spacing w:val="-2"/>
        </w:rPr>
        <w:t>113871</w:t>
      </w:r>
      <w:r>
        <w:rPr>
          <w:rFonts w:ascii="宋体" w:eastAsia="宋体"/>
          <w:spacing w:val="-20"/>
        </w:rPr>
        <w:t xml:space="preserve"> 平方米，其中地下室 </w:t>
      </w:r>
      <w:r>
        <w:rPr>
          <w:rFonts w:ascii="宋体" w:eastAsia="宋体"/>
          <w:spacing w:val="-2"/>
        </w:rPr>
        <w:t>13832</w:t>
      </w:r>
      <w:r>
        <w:rPr>
          <w:rFonts w:ascii="宋体" w:eastAsia="宋体"/>
          <w:spacing w:val="-37"/>
        </w:rPr>
        <w:t xml:space="preserve"> 平方米，</w:t>
      </w:r>
      <w:r>
        <w:rPr>
          <w:rFonts w:ascii="宋体" w:eastAsia="宋体"/>
          <w:spacing w:val="38"/>
        </w:rPr>
        <w:t>5#</w:t>
      </w:r>
      <w:r>
        <w:rPr>
          <w:rFonts w:ascii="宋体" w:eastAsia="宋体"/>
          <w:spacing w:val="-2"/>
        </w:rPr>
        <w:t xml:space="preserve">、 </w:t>
      </w:r>
      <w:r>
        <w:rPr>
          <w:rFonts w:ascii="宋体" w:eastAsia="宋体"/>
        </w:rPr>
        <w:t>9#、10#、11#楼地下一层，地下室连为一个整体；5#</w:t>
      </w:r>
      <w:r>
        <w:rPr>
          <w:rFonts w:ascii="宋体" w:eastAsia="宋体"/>
          <w:spacing w:val="-15"/>
        </w:rPr>
        <w:t xml:space="preserve">楼地上 </w:t>
      </w:r>
      <w:r>
        <w:rPr>
          <w:rFonts w:ascii="宋体" w:eastAsia="宋体"/>
        </w:rPr>
        <w:t>1~2</w:t>
      </w:r>
      <w:r>
        <w:rPr>
          <w:rFonts w:ascii="宋体" w:eastAsia="宋体"/>
          <w:spacing w:val="-12"/>
        </w:rPr>
        <w:t xml:space="preserve"> 层为商业</w:t>
      </w:r>
      <w:r>
        <w:rPr>
          <w:rFonts w:ascii="宋体" w:eastAsia="宋体"/>
        </w:rPr>
        <w:t>，3~17</w:t>
      </w:r>
      <w:r>
        <w:rPr>
          <w:rFonts w:ascii="宋体" w:eastAsia="宋体"/>
          <w:spacing w:val="-14"/>
        </w:rPr>
        <w:t>层为住宅；</w:t>
      </w:r>
      <w:r>
        <w:rPr>
          <w:rFonts w:ascii="宋体" w:eastAsia="宋体"/>
          <w:spacing w:val="-2"/>
        </w:rPr>
        <w:t>9#、10#、11#</w:t>
      </w:r>
      <w:r>
        <w:rPr>
          <w:rFonts w:ascii="宋体" w:eastAsia="宋体"/>
          <w:spacing w:val="-16"/>
        </w:rPr>
        <w:t xml:space="preserve">楼地上 </w:t>
      </w:r>
      <w:r>
        <w:rPr>
          <w:rFonts w:ascii="宋体" w:eastAsia="宋体"/>
          <w:spacing w:val="-2"/>
        </w:rPr>
        <w:t>28</w:t>
      </w:r>
      <w:r>
        <w:rPr>
          <w:rFonts w:ascii="宋体" w:eastAsia="宋体"/>
          <w:spacing w:val="-25"/>
        </w:rPr>
        <w:t xml:space="preserve"> 层住宅；</w:t>
      </w:r>
      <w:r>
        <w:rPr>
          <w:rFonts w:ascii="宋体" w:eastAsia="宋体"/>
          <w:spacing w:val="-2"/>
        </w:rPr>
        <w:t>6#</w:t>
      </w:r>
      <w:r>
        <w:rPr>
          <w:rFonts w:ascii="宋体" w:eastAsia="宋体"/>
          <w:spacing w:val="-16"/>
        </w:rPr>
        <w:t xml:space="preserve">楼地上 </w:t>
      </w:r>
      <w:r>
        <w:rPr>
          <w:rFonts w:ascii="宋体" w:eastAsia="宋体"/>
          <w:spacing w:val="-2"/>
        </w:rPr>
        <w:t>15</w:t>
      </w:r>
      <w:r>
        <w:rPr>
          <w:rFonts w:ascii="宋体" w:eastAsia="宋体"/>
          <w:spacing w:val="-20"/>
        </w:rPr>
        <w:t xml:space="preserve"> 层，</w:t>
      </w:r>
      <w:r>
        <w:rPr>
          <w:rFonts w:ascii="宋体" w:eastAsia="宋体"/>
          <w:spacing w:val="-2"/>
        </w:rPr>
        <w:t>1~2</w:t>
      </w:r>
      <w:r>
        <w:rPr>
          <w:rFonts w:ascii="宋体" w:eastAsia="宋体"/>
          <w:spacing w:val="-12"/>
        </w:rPr>
        <w:t xml:space="preserve"> 层为商业，</w:t>
      </w:r>
      <w:r>
        <w:rPr>
          <w:rFonts w:ascii="宋体" w:eastAsia="宋体"/>
          <w:spacing w:val="-2"/>
        </w:rPr>
        <w:t>3~15</w:t>
      </w:r>
      <w:r>
        <w:rPr>
          <w:rFonts w:ascii="宋体" w:eastAsia="宋体"/>
        </w:rPr>
        <w:t>层为住宅；7#</w:t>
      </w:r>
      <w:r>
        <w:rPr>
          <w:rFonts w:ascii="宋体" w:eastAsia="宋体"/>
          <w:spacing w:val="-6"/>
        </w:rPr>
        <w:t xml:space="preserve">楼地上 </w:t>
      </w:r>
      <w:r>
        <w:rPr>
          <w:rFonts w:ascii="宋体" w:eastAsia="宋体"/>
        </w:rPr>
        <w:t>16</w:t>
      </w:r>
      <w:r>
        <w:rPr>
          <w:rFonts w:ascii="宋体" w:eastAsia="宋体"/>
          <w:spacing w:val="-6"/>
        </w:rPr>
        <w:t xml:space="preserve"> 层住宅</w:t>
      </w:r>
      <w:r>
        <w:rPr>
          <w:rFonts w:ascii="宋体" w:eastAsia="宋体"/>
        </w:rPr>
        <w:t>，1~2</w:t>
      </w:r>
      <w:r>
        <w:rPr>
          <w:rFonts w:ascii="宋体" w:eastAsia="宋体"/>
          <w:spacing w:val="-5"/>
        </w:rPr>
        <w:t xml:space="preserve"> 层局部为商业</w:t>
      </w:r>
      <w:r>
        <w:rPr>
          <w:rFonts w:ascii="宋体" w:eastAsia="宋体"/>
        </w:rPr>
        <w:t>；8#</w:t>
      </w:r>
      <w:r>
        <w:rPr>
          <w:rFonts w:ascii="宋体" w:eastAsia="宋体"/>
          <w:spacing w:val="-3"/>
        </w:rPr>
        <w:t xml:space="preserve">楼地下一层，地上 </w:t>
      </w:r>
      <w:r>
        <w:rPr>
          <w:rFonts w:ascii="宋体" w:eastAsia="宋体"/>
        </w:rPr>
        <w:t>28</w:t>
      </w:r>
    </w:p>
    <w:p>
      <w:pPr>
        <w:pStyle w:val="BodyText"/>
        <w:spacing w:line="364" w:lineRule="auto"/>
        <w:ind w:right="318"/>
        <w:jc w:val="both"/>
        <w:rPr>
          <w:rFonts w:ascii="宋体" w:eastAsia="宋体"/>
        </w:rPr>
      </w:pPr>
      <w:r>
        <w:rPr>
          <w:rFonts w:ascii="宋体" w:eastAsia="宋体"/>
          <w:spacing w:val="-8"/>
        </w:rPr>
        <w:t>层 ，</w:t>
      </w:r>
      <w:r>
        <w:rPr>
          <w:rFonts w:ascii="宋体" w:eastAsia="宋体"/>
          <w:spacing w:val="-6"/>
        </w:rPr>
        <w:t>1~2</w:t>
      </w:r>
      <w:r>
        <w:rPr>
          <w:rFonts w:ascii="宋体" w:eastAsia="宋体"/>
          <w:spacing w:val="-10"/>
        </w:rPr>
        <w:t xml:space="preserve"> 层局部商业。本工程为全现浇框架剪力墙结构，为一类建筑物，抗震设</w:t>
      </w:r>
      <w:r>
        <w:rPr>
          <w:rFonts w:ascii="宋体" w:eastAsia="宋体"/>
          <w:spacing w:val="-9"/>
        </w:rPr>
        <w:t xml:space="preserve">防烈度为 </w:t>
      </w:r>
      <w:r>
        <w:rPr>
          <w:rFonts w:ascii="宋体" w:eastAsia="宋体"/>
          <w:spacing w:val="-6"/>
        </w:rPr>
        <w:t>6</w:t>
      </w:r>
      <w:r>
        <w:rPr>
          <w:rFonts w:ascii="宋体" w:eastAsia="宋体"/>
          <w:spacing w:val="-10"/>
        </w:rPr>
        <w:t xml:space="preserve"> 度，建筑抗震设防类别为丙类，建筑结构安全等级为二级，耐火等级</w:t>
      </w:r>
      <w:r>
        <w:rPr>
          <w:rFonts w:ascii="宋体" w:eastAsia="宋体"/>
          <w:spacing w:val="-2"/>
        </w:rPr>
        <w:t xml:space="preserve">为一级，设计使用年限 </w:t>
      </w:r>
      <w:r>
        <w:rPr>
          <w:rFonts w:ascii="宋体" w:eastAsia="宋体"/>
        </w:rPr>
        <w:t>50</w:t>
      </w:r>
      <w:r>
        <w:rPr>
          <w:rFonts w:ascii="宋体" w:eastAsia="宋体"/>
          <w:spacing w:val="-8"/>
        </w:rPr>
        <w:t xml:space="preserve"> 年。</w:t>
      </w:r>
    </w:p>
    <w:p>
      <w:pPr>
        <w:spacing w:after="0" w:line="364" w:lineRule="auto"/>
        <w:jc w:val="both"/>
        <w:rPr>
          <w:rFonts w:ascii="宋体" w:eastAsia="宋体"/>
        </w:rPr>
        <w:sectPr>
          <w:footerReference w:type="default" r:id="rId7"/>
          <w:pgSz w:w="11910" w:h="16840"/>
          <w:pgMar w:top="1380" w:right="1480" w:bottom="1180" w:left="1680" w:header="0" w:footer="991"/>
          <w:pgNumType w:start="3"/>
          <w:cols w:space="708"/>
        </w:sectPr>
      </w:pPr>
    </w:p>
    <w:p>
      <w:pPr>
        <w:pStyle w:val="Heading1"/>
        <w:spacing w:line="383" w:lineRule="exact"/>
        <w:ind w:left="120" w:firstLine="0"/>
      </w:pPr>
      <w:bookmarkStart w:id="1" w:name="_TOC_250016"/>
      <w:bookmarkEnd w:id="1"/>
      <w:r>
        <w:rPr>
          <w:spacing w:val="-1"/>
        </w:rPr>
        <w:t>三、安全防护施工措施</w:t>
      </w:r>
    </w:p>
    <w:p>
      <w:pPr>
        <w:pStyle w:val="Heading1"/>
        <w:numPr>
          <w:ilvl w:val="1"/>
          <w:numId w:val="14"/>
        </w:numPr>
        <w:tabs>
          <w:tab w:val="left" w:pos="483"/>
        </w:tabs>
        <w:spacing w:before="0" w:after="0" w:line="416" w:lineRule="exact"/>
        <w:ind w:left="482" w:right="0" w:hanging="363"/>
        <w:jc w:val="left"/>
        <w:rPr>
          <w:sz w:val="22"/>
        </w:rPr>
      </w:pPr>
      <w:bookmarkStart w:id="2" w:name="_TOC_250015"/>
      <w:bookmarkEnd w:id="2"/>
      <w:r>
        <w:rPr>
          <w:spacing w:val="-2"/>
        </w:rPr>
        <w:t>、基坑临边安全防护</w:t>
      </w:r>
    </w:p>
    <w:p>
      <w:pPr>
        <w:pStyle w:val="BodyText"/>
        <w:spacing w:before="106" w:line="364" w:lineRule="auto"/>
        <w:ind w:right="225" w:firstLine="480"/>
      </w:pPr>
      <w:r>
        <w:rPr>
          <w:spacing w:val="-2"/>
        </w:rPr>
        <w:t>基坑临边必须设置防护栏杆，防护栏杆由上下两道横向栏杆和栏杆柱组成，</w:t>
      </w:r>
      <w:r>
        <w:rPr>
          <w:spacing w:val="-2"/>
        </w:rPr>
        <w:t xml:space="preserve">上杆离地高度不小于 </w:t>
      </w:r>
      <w:r>
        <w:t>1.2m，</w:t>
      </w:r>
      <w:r>
        <w:rPr>
          <w:spacing w:val="-2"/>
        </w:rPr>
        <w:t xml:space="preserve">下杆离地高度在 </w:t>
      </w:r>
      <w:r>
        <w:t>50-60cm</w:t>
      </w:r>
      <w:r>
        <w:rPr>
          <w:spacing w:val="-4"/>
        </w:rPr>
        <w:t xml:space="preserve"> 之间，栏杆柱间距由计算</w:t>
      </w:r>
      <w:r>
        <w:rPr>
          <w:spacing w:val="-6"/>
        </w:rPr>
        <w:t xml:space="preserve">确定，且不大于 </w:t>
      </w:r>
      <w:r>
        <w:t>3m。防护示意图如下：</w:t>
      </w:r>
    </w:p>
    <w:p>
      <w:pPr>
        <w:pStyle w:val="BodyText"/>
        <w:spacing w:before="11"/>
        <w:ind w:left="0"/>
        <w:rPr>
          <w:sz w:val="22"/>
        </w:rPr>
      </w:pPr>
      <w:r>
        <w:pict>
          <v:group id="_x0000_s1025" style="width:322.8pt;height:162.6pt;margin-top:15.85pt;margin-left:133.98pt;mso-position-horizontal-relative:page;mso-wrap-distance-left:0;mso-wrap-distance-right:0;position:absolute;z-index:-251656192" coordorigin="2680,317" coordsize="6456,3252">
            <v:shape id="_x0000_s1026" style="width:6376;height:1811;left:2710;position:absolute;top:1756" coordorigin="2711,1756" coordsize="6376,1811" path="m5742,1804l9087,1756,6737,3377,2711,3567,5742,1804xe" filled="f" stroked="t" strokecolor="black">
              <v:stroke dashstyle="solid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787;height:469;left:2690;position:absolute;top:2316" stroked="f">
              <v:imagedata r:id="rId8" o:title=""/>
            </v:shape>
            <v:shape id="_x0000_s1028" style="width:598;height:64;left:6170;position:absolute;top:2586" coordorigin="6171,2586" coordsize="598,64" path="m6769,2627l6766,2603,6765,2586,6609,2592,6171,2609,6175,2633,6179,2650,6334,2644,6335,2645,6769,2627xe" filled="t" fillcolor="black" stroked="f">
              <v:fill type="solid"/>
              <v:path arrowok="t"/>
            </v:shape>
            <v:shape id="_x0000_s1029" type="#_x0000_t75" style="width:509;height:389;left:7112;position:absolute;top:2557" stroked="f">
              <v:imagedata r:id="rId9" o:title=""/>
            </v:shape>
            <v:shape id="_x0000_s1030" style="width:4930;height:1367;left:3509;position:absolute;top:1964" coordorigin="3510,1964" coordsize="4930,1367" path="m5794,2002l8440,1964,6676,3182,3510,3331,5794,2002xe" filled="f" stroked="t" strokecolor="black">
              <v:stroke dashstyle="solid"/>
              <v:path arrowok="t"/>
            </v:shape>
            <v:rect id="_x0000_s1031" style="width:49;height:1439;left:2686;position:absolute;top:2128" filled="f" stroked="t" strokecolor="black">
              <v:stroke dashstyle="solid"/>
            </v:rect>
            <v:rect id="_x0000_s1032" style="width:49;height:1438;left:6712;position:absolute;top:1939" filled="f" stroked="t" strokecolor="black">
              <v:stroke dashstyle="solid"/>
            </v:rect>
            <v:shape id="_x0000_s1033" type="#_x0000_t75" style="width:631;height:473;left:8504;position:absolute;top:796" stroked="f">
              <v:imagedata r:id="rId10" o:title=""/>
            </v:shape>
            <v:rect id="_x0000_s1034" style="width:49;height:1439;left:9086;position:absolute;top:317" filled="f" stroked="t" strokecolor="black">
              <v:stroke dashstyle="solid"/>
            </v:rect>
            <v:line id="_x0000_s1035" style="position:absolute" from="6029,999" to="5718,1021" stroked="t" strokecolor="red">
              <v:stroke dashstyle="solid"/>
            </v:line>
            <v:line id="_x0000_s1036" style="position:absolute" from="5718,1021" to="5718,1085" stroked="t" strokecolor="red">
              <v:stroke dashstyle="solid"/>
            </v:line>
            <v:line id="_x0000_s1037" style="position:absolute" from="5718,1085" to="6038,1039" stroked="t" strokecolor="red">
              <v:stroke dashstyle="solid"/>
            </v:line>
            <v:line id="_x0000_s1038" style="position:absolute" from="6029,999" to="6038,1039" stroked="t" strokecolor="red">
              <v:stroke dashstyle="solid"/>
            </v:line>
            <v:shape id="_x0000_s1039" style="width:321;height:86;left:5717;position:absolute;top:999" coordorigin="5717,999" coordsize="321,86" path="m5766,1017l5717,1021,5717,1078,5717,1085,5766,1078,5766,1021,5766,1017xm6038,1039l6033,1017,6029,999,5767,1017,5767,1039,5767,1078,6038,1039xe" filled="t" fillcolor="red" stroked="f">
              <v:fill type="solid"/>
              <v:path arrowok="t"/>
            </v:shape>
            <v:rect id="_x0000_s1040" style="width:49;height:1439;left:5717;position:absolute;top:365" filled="f" stroked="t" strokecolor="black">
              <v:stroke dashstyle="solid"/>
            </v:rect>
            <v:shape id="_x0000_s1041" style="width:378;height:300;left:8155;position:absolute;top:1238" coordorigin="8156,1238" coordsize="378,300" path="m8533,1271l8508,1238,8467,1271,8156,1508,8185,1538,8224,1508,8533,1271xe" filled="t" fillcolor="red" stroked="f">
              <v:fill type="solid"/>
              <v:path arrowok="t"/>
            </v:shape>
            <v:shape id="_x0000_s1042" style="width:380;height:300;left:7801;position:absolute;top:1508" coordorigin="7801,1508" coordsize="380,300" path="m8113,1541l7801,1778,7831,1808,7870,1778,7871,1778,8113,1541xm8181,1541l8180,1541,8155,1508,8114,1541,7871,1778,8181,1541xe" filled="t" fillcolor="black" stroked="f">
              <v:fill type="solid"/>
              <v:path arrowok="t"/>
            </v:shape>
            <v:shape id="_x0000_s1043" style="width:379;height:299;left:7451;position:absolute;top:1777" coordorigin="7451,1777" coordsize="379,299" path="m7762,1809l7451,2047,7480,2076,7519,2047,7520,2047,7762,1809xm7830,1809l7805,1777,7763,1809,7520,2047,7830,1809xe" filled="t" fillcolor="red" stroked="f">
              <v:fill type="solid"/>
              <v:path arrowok="t"/>
            </v:shape>
            <v:shape id="_x0000_s1044" style="width:380;height:300;left:7097;position:absolute;top:2047" coordorigin="7097,2047" coordsize="380,300" path="m7408,2080l7097,2317,7127,2347,7166,2317,7167,2317,7408,2080xm7477,2080l7476,2080,7450,2047,7409,2080,7167,2317,7477,2080xe" filled="t" fillcolor="black" stroked="f">
              <v:fill type="solid"/>
              <v:path arrowok="t"/>
            </v:shape>
            <v:shape id="_x0000_s1045" style="width:379;height:299;left:6747;position:absolute;top:2316" coordorigin="6747,2316" coordsize="379,299" path="m7058,2348l6747,2585,6776,2615,6815,2585,6816,2585,7058,2348xm7126,2348l7125,2348,7100,2316,7059,2348,6816,2585,7126,2348xe" filled="t" fillcolor="red" stroked="f">
              <v:fill type="solid"/>
              <v:path arrowok="t"/>
            </v:shape>
            <v:shape id="_x0000_s1046" style="width:405;height:252;left:5370;position:absolute;top:1012" coordorigin="5371,1012" coordsize="405,252" path="m5776,1048l5754,1012,5693,1048,5371,1231,5396,1264,5455,1231,5776,1048xe" filled="t" fillcolor="black" stroked="f">
              <v:fill type="solid"/>
              <v:path arrowok="t"/>
            </v:shape>
            <v:shape id="_x0000_s1047" style="width:406;height:252;left:4986;position:absolute;top:1225" coordorigin="4987,1225" coordsize="406,252" path="m5393,1261l5372,1225,5310,1261,4987,1444,5013,1477,5072,1444,5393,1261xe" filled="t" fillcolor="red" stroked="f">
              <v:fill type="solid"/>
              <v:path arrowok="t"/>
            </v:shape>
            <v:shape id="_x0000_s1048" style="width:405;height:253;left:4602;position:absolute;top:1444" coordorigin="4603,1444" coordsize="405,253" path="m4924,1480l4603,1663,4628,1697,4687,1663,4924,1480xm5008,1480l4987,1444,4925,1480,4687,1663,5008,1480xe" filled="t" fillcolor="black" stroked="f">
              <v:fill type="solid"/>
              <v:path arrowok="t"/>
            </v:shape>
            <v:shape id="_x0000_s1049" style="width:406;height:252;left:4219;position:absolute;top:1662" coordorigin="4220,1662" coordsize="406,252" path="m4626,1698l4605,1662,4543,1698,4220,1881,4246,1914,4305,1881,4626,1698xe" filled="t" fillcolor="red" stroked="f">
              <v:fill type="solid"/>
              <v:path arrowok="t"/>
            </v:shape>
            <v:shape id="_x0000_s1050" style="width:406;height:252;left:3835;position:absolute;top:1882" coordorigin="3835,1882" coordsize="406,252" path="m4157,1917l3835,2100,3860,2134,3919,2100,3920,2100,4157,1917xm4241,1917l4220,1882,4158,1917,3920,2100,4241,1917xe" filled="t" fillcolor="black" stroked="f">
              <v:fill type="solid"/>
              <v:path arrowok="t"/>
            </v:shape>
            <v:shape id="_x0000_s1051" style="width:406;height:252;left:3452;position:absolute;top:2099" coordorigin="3453,2099" coordsize="406,252" path="m3859,2134l3837,2099,3776,2134,3453,2318,3479,2351,3538,2318,3859,2134xe" filled="t" fillcolor="red" stroked="f">
              <v:fill type="solid"/>
              <v:path arrowok="t"/>
            </v:shape>
            <v:shape id="_x0000_s1052" style="width:442;height:60;left:4428;position:absolute;top:2660" coordorigin="4428,2660" coordsize="442,60" path="m4870,2702l4868,2678,4868,2660,4428,2678,4433,2702,4437,2720,4870,2702xe" filled="t" fillcolor="black" stroked="f">
              <v:fill type="solid"/>
              <v:path arrowok="t"/>
            </v:shape>
            <v:shape id="_x0000_s1053" style="width:443;height:59;left:3993;position:absolute;top:2678" coordorigin="3993,2678" coordsize="443,59" path="m4436,2720l4433,2696,4431,2678,3993,2696,3997,2720,4002,2737,4436,2720xe" filled="t" fillcolor="red" stroked="f">
              <v:fill type="solid"/>
              <v:path arrowok="t"/>
            </v:shape>
            <v:shape id="_x0000_s1054" style="width:442;height:59;left:3554;position:absolute;top:2696" coordorigin="3555,2696" coordsize="442,59" path="m3996,2737l3994,2713,3993,2696,3555,2713,3558,2737,3562,2755,3996,2737xe" filled="t" fillcolor="black" stroked="f">
              <v:fill type="solid"/>
              <v:path arrowok="t"/>
            </v:shape>
            <v:shape id="_x0000_s1055" style="width:442;height:59;left:3118;position:absolute;top:2714" coordorigin="3118,2714" coordsize="442,59" path="m3560,2755l3558,2731,3556,2714,3118,2731,3123,2755,3126,2773,3560,2755xe" filled="t" fillcolor="red" stroked="f">
              <v:fill type="solid"/>
              <v:path arrowok="t"/>
            </v:shape>
            <v:shape id="_x0000_s1056" style="width:442;height:60;left:2679;position:absolute;top:2731" coordorigin="2680,2731" coordsize="442,60" path="m3122,2773l3120,2749,3118,2731,2680,2749,2685,2773,2688,2791,3122,2773xe" filled="t" fillcolor="black" stroked="f">
              <v:fill type="solid"/>
              <v:path arrowok="t"/>
            </v:shape>
            <v:shape id="_x0000_s1057" style="width:442;height:58;left:5738;position:absolute;top:2608" coordorigin="5738,2608" coordsize="442,58" path="m6180,2649l6178,2625,6176,2608,5738,2625,5743,2649,5746,2666,6180,2649xe" filled="t" fillcolor="red" stroked="f">
              <v:fill type="solid"/>
              <v:path arrowok="t"/>
            </v:shape>
            <v:shape id="_x0000_s1058" style="width:442;height:59;left:5299;position:absolute;top:2625" coordorigin="5300,2625" coordsize="442,59" path="m5742,2667l5740,2643,5738,2625,5300,2643,5305,2667,5308,2684,5742,2667xe" filled="t" fillcolor="black" stroked="f">
              <v:fill type="solid"/>
              <v:path arrowok="t"/>
            </v:shape>
            <v:shape id="_x0000_s1059" style="width:442;height:59;left:4863;position:absolute;top:2643" coordorigin="4863,2643" coordsize="442,59" path="m5305,2684l5303,2660,5303,2643,4863,2660,4868,2684,4871,2702,5305,2684xe" filled="t" fillcolor="red" stroked="f">
              <v:fill type="solid"/>
              <v:path arrowok="t"/>
            </v:shape>
            <v:shape id="_x0000_s1060" style="width:26;height:30;left:6890;position:absolute;top:2347" coordorigin="6891,2347" coordsize="26,30" path="m6917,2377l6891,2347e" filled="t" fillcolor="white" stroked="f">
              <v:fill type="solid"/>
              <v:path arrowok="t"/>
            </v:shape>
            <v:line id="_x0000_s1061" style="position:absolute" from="6891,2347" to="6917,2377" stroked="t" strokecolor="black">
              <v:stroke dashstyle="solid"/>
            </v:line>
            <v:shape id="_x0000_s1062" style="width:2;height:41;left:6757;position:absolute;top:2361" coordorigin="6758,2361" coordsize="0,41" path="m6758,2402l6758,2361e" filled="t" fillcolor="white" stroked="f">
              <v:fill type="solid"/>
              <v:path arrowok="t"/>
            </v:shape>
            <v:line id="_x0000_s1063" style="position:absolute" from="6758,2361" to="6758,2402" stroked="t" strokecolor="black">
              <v:stroke dashstyle="solid"/>
            </v:line>
            <v:shape id="_x0000_s1064" style="width:443;height:67;left:7775;position:absolute;top:864" coordorigin="7776,864" coordsize="443,67" path="m8219,906l8217,890,8214,864,7776,890,7780,906,7785,931,8219,906xe" filled="t" fillcolor="black" stroked="f">
              <v:fill type="solid"/>
              <v:path arrowok="t"/>
            </v:shape>
            <v:shape id="_x0000_s1065" style="width:442;height:68;left:7340;position:absolute;top:890" coordorigin="7341,890" coordsize="442,68" path="m7783,931l7781,916,7779,890,7341,916,7343,931,7349,958,7783,931xe" filled="t" fillcolor="red" stroked="f">
              <v:fill type="solid"/>
              <v:path arrowok="t"/>
            </v:shape>
            <v:shape id="_x0000_s1066" style="width:443;height:67;left:6901;position:absolute;top:917" coordorigin="6902,917" coordsize="443,67" path="m7345,958l7343,942,7340,917,6902,942,6906,958,6911,984,7345,958xe" filled="t" fillcolor="black" stroked="f">
              <v:fill type="solid"/>
              <v:path arrowok="t"/>
            </v:shape>
            <v:shape id="_x0000_s1067" style="width:443;height:68;left:6468;position:absolute;top:944" coordorigin="6468,944" coordsize="443,68" path="m6911,986l6908,971,6906,944,6468,971,6471,986,6478,1012,6911,986xe" filled="t" fillcolor="red" stroked="f">
              <v:fill type="solid"/>
              <v:path arrowok="t"/>
            </v:shape>
            <v:shape id="_x0000_s1068" style="width:3058;height:226;left:6029;position:absolute;top:812" coordorigin="6030,812" coordsize="3058,226" path="m6473,1012l6471,997,6468,971,6030,997,6033,1012,6038,1038,6473,1012xm9088,853l9087,837,9084,812,8646,837,8650,853,8655,879,9088,853xe" filled="t" fillcolor="black" stroked="f">
              <v:fill type="solid"/>
              <v:path arrowok="t"/>
            </v:shape>
            <v:shape id="_x0000_s1069" style="width:442;height:68;left:8210;position:absolute;top:838" coordorigin="8211,838" coordsize="442,68" path="m8653,879l8651,864,8648,838,8211,864,8213,879,8219,906,8653,879xe" filled="t" fillcolor="red" stroked="f">
              <v:fill type="solid"/>
              <v:path arrowok="t"/>
            </v:shape>
            <v:shape id="_x0000_s1070" type="#_x0000_t75" style="width:635;height:265;left:6871;position:absolute;top:372" stroked="f">
              <v:imagedata r:id="rId11" o:title=""/>
            </v:shape>
            <v:shape id="_x0000_s1071" style="width:229;height:229;left:7280;position:absolute;top:681" coordorigin="7281,681" coordsize="229,229" path="m7510,910l7281,681e" filled="t" fillcolor="white" stroked="f">
              <v:fill type="solid"/>
              <v:path arrowok="t"/>
            </v:shape>
            <v:line id="_x0000_s1072" style="position:absolute" from="7281,681" to="7510,910" stroked="t" strokecolor="black">
              <v:stroke dashstyle="solid"/>
            </v:line>
            <v:shape id="_x0000_s1073" style="width:248;height:300;left:4569;position:absolute;top:3269" coordorigin="4570,3269" coordsize="248,300" path="m4570,3569l4818,3269e" filled="t" fillcolor="white" stroked="f">
              <v:fill type="solid"/>
              <v:path arrowok="t"/>
            </v:shape>
            <v:line id="_x0000_s1074" style="position:absolute" from="4570,3569" to="4818,3269" stroked="t" strokecolor="black">
              <v:stroke dashstyle="solid"/>
            </v:line>
            <w10:wrap type="topAndBottom"/>
          </v:group>
        </w:pict>
      </w: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2772092</wp:posOffset>
            </wp:positionH>
            <wp:positionV relativeFrom="paragraph">
              <wp:posOffset>2323509</wp:posOffset>
            </wp:positionV>
            <wp:extent cx="266700" cy="161925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sz w:val="5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9" w:line="364" w:lineRule="auto"/>
        <w:ind w:right="378" w:firstLine="480"/>
      </w:pPr>
      <w:r>
        <w:rPr>
          <w:spacing w:val="-2"/>
        </w:rPr>
        <w:t>基坑土方开挖完成后，基坑周边搭设防护栏杆，基坑临边防护用</w:t>
      </w:r>
      <w:r>
        <w:rPr>
          <w:spacing w:val="-2"/>
        </w:rPr>
        <w:t>φ48×3.5</w:t>
      </w:r>
      <w:r>
        <w:rPr>
          <w:spacing w:val="-2"/>
        </w:rPr>
        <w:t>钢管搭设防护栏杆，防护栏杆做法示意图如下：</w:t>
      </w:r>
    </w:p>
    <w:p>
      <w:pPr>
        <w:pStyle w:val="BodyText"/>
        <w:spacing w:before="6"/>
        <w:ind w:left="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1283460</wp:posOffset>
            </wp:positionH>
            <wp:positionV relativeFrom="paragraph">
              <wp:posOffset>214751</wp:posOffset>
            </wp:positionV>
            <wp:extent cx="5221981" cy="3168396"/>
            <wp:effectExtent l="0" t="0" r="0" b="0"/>
            <wp:wrapTopAndBottom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981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sectPr>
          <w:footerReference w:type="default" r:id="rId14"/>
          <w:pgSz w:w="11910" w:h="16840"/>
          <w:pgMar w:top="1380" w:right="1480" w:bottom="1180" w:left="1680" w:header="0" w:footer="991"/>
          <w:pgNumType w:start="4"/>
          <w:cols w:space="708"/>
        </w:sectPr>
      </w:pPr>
    </w:p>
    <w:p>
      <w:pPr>
        <w:pStyle w:val="BodyText"/>
        <w:spacing w:before="44"/>
      </w:pPr>
      <w:r>
        <w:rPr>
          <w:spacing w:val="-1"/>
        </w:rPr>
        <w:t>土方开挖应注意以下事项：</w:t>
      </w:r>
    </w:p>
    <w:p>
      <w:pPr>
        <w:pStyle w:val="BodyText"/>
        <w:spacing w:before="160" w:line="364" w:lineRule="auto"/>
        <w:ind w:right="105"/>
      </w:pPr>
      <w:r>
        <w:rPr>
          <w:spacing w:val="-2"/>
        </w:rPr>
        <w:t>1、土方开挖前施工人员应先熟悉、研究地质资料及现场四周的构筑物，地下管</w:t>
      </w:r>
      <w:r>
        <w:rPr>
          <w:spacing w:val="-2"/>
        </w:rPr>
        <w:t xml:space="preserve"> </w:t>
      </w:r>
      <w:r>
        <w:rPr>
          <w:spacing w:val="-2"/>
        </w:rPr>
        <w:t>线的情况，掌握地质情况，根据工程土质的地下水位情况制定排水或降水方案。</w:t>
      </w:r>
      <w:r>
        <w:rPr>
          <w:spacing w:val="-9"/>
        </w:rPr>
        <w:t>同时做好各级安全教育和安全交底工作，制定切实可行的安全和文明施工责任制，</w:t>
      </w:r>
      <w:r>
        <w:rPr>
          <w:spacing w:val="-2"/>
        </w:rPr>
        <w:t>组织职工贯彻落实。</w:t>
      </w:r>
    </w:p>
    <w:p>
      <w:pPr>
        <w:pStyle w:val="BodyText"/>
        <w:spacing w:before="3" w:line="364" w:lineRule="auto"/>
        <w:ind w:right="345"/>
      </w:pPr>
      <w:r>
        <w:rPr>
          <w:spacing w:val="-2"/>
        </w:rPr>
        <w:t>2、严格按施工设计图纸施工，如需调整设计，应及时上报监理、甲方现场负责</w:t>
      </w:r>
      <w:r>
        <w:rPr>
          <w:spacing w:val="-2"/>
        </w:rPr>
        <w:t>人，征得设计方同意后方可进行施工。</w:t>
      </w:r>
    </w:p>
    <w:p>
      <w:pPr>
        <w:pStyle w:val="BodyText"/>
        <w:spacing w:before="1" w:line="364" w:lineRule="auto"/>
        <w:ind w:right="318"/>
      </w:pPr>
      <w:r>
        <w:rPr>
          <w:spacing w:val="-2"/>
        </w:rPr>
        <w:t>3</w:t>
      </w:r>
      <w:r>
        <w:rPr>
          <w:spacing w:val="-4"/>
        </w:rPr>
        <w:t xml:space="preserve">、土方开挖应从上而下分层进行，人工开挖时两人操作间距应大于 </w:t>
      </w:r>
      <w:r>
        <w:rPr>
          <w:spacing w:val="-2"/>
        </w:rPr>
        <w:t>2.5m，机械</w:t>
      </w:r>
      <w:r>
        <w:rPr>
          <w:spacing w:val="-2"/>
        </w:rPr>
        <w:t>开挖时禁止采用挖空底脚的操作方法。</w:t>
      </w:r>
    </w:p>
    <w:p>
      <w:pPr>
        <w:pStyle w:val="BodyText"/>
        <w:spacing w:before="1" w:line="364" w:lineRule="auto"/>
        <w:ind w:right="318"/>
      </w:pPr>
      <w:r>
        <w:rPr>
          <w:spacing w:val="-2"/>
        </w:rPr>
        <w:t>4</w:t>
      </w:r>
      <w:r>
        <w:rPr>
          <w:spacing w:val="-12"/>
        </w:rPr>
        <w:t xml:space="preserve">、基坑周边 </w:t>
      </w:r>
      <w:r>
        <w:rPr>
          <w:spacing w:val="-2"/>
        </w:rPr>
        <w:t>1 m</w:t>
      </w:r>
      <w:r>
        <w:rPr>
          <w:spacing w:val="-10"/>
        </w:rPr>
        <w:t xml:space="preserve"> 范围内不得堆土、堆料或停放机具，</w:t>
      </w:r>
      <w:r>
        <w:rPr>
          <w:spacing w:val="-2"/>
        </w:rPr>
        <w:t>1m</w:t>
      </w:r>
      <w:r>
        <w:rPr>
          <w:spacing w:val="-10"/>
        </w:rPr>
        <w:t xml:space="preserve"> 范围以外堆土，其高度</w:t>
      </w:r>
      <w:r>
        <w:rPr>
          <w:spacing w:val="-6"/>
        </w:rPr>
        <w:t xml:space="preserve">不超过地表以上 </w:t>
      </w:r>
      <w:r>
        <w:t>1.5m；土方外运时，为了确保安全，在运土出入口处应设安全</w:t>
      </w:r>
      <w:r>
        <w:rPr>
          <w:spacing w:val="-4"/>
        </w:rPr>
        <w:t>岗，配备专人指挥车辆。运土司机要遵守交通法规和荆州市的有关规定，严格按</w:t>
      </w:r>
      <w:r>
        <w:rPr>
          <w:spacing w:val="-2"/>
        </w:rPr>
        <w:t>指定路线行驶，到指定地点卸土。</w:t>
      </w:r>
    </w:p>
    <w:p>
      <w:pPr>
        <w:pStyle w:val="BodyText"/>
        <w:spacing w:before="3" w:line="364" w:lineRule="auto"/>
        <w:ind w:right="345"/>
      </w:pPr>
      <w:r>
        <w:rPr>
          <w:spacing w:val="-2"/>
        </w:rPr>
        <w:t>5、土方开挖操作时应随时注意上方土壤变动情况，如发现有裂纹或部分塌落应</w:t>
      </w:r>
      <w:r>
        <w:rPr>
          <w:spacing w:val="-2"/>
        </w:rPr>
        <w:t>及时采取加固措施。</w:t>
      </w:r>
    </w:p>
    <w:p>
      <w:pPr>
        <w:pStyle w:val="BodyText"/>
        <w:spacing w:before="1"/>
      </w:pPr>
      <w:r>
        <w:t>6</w:t>
      </w:r>
      <w:r>
        <w:rPr>
          <w:spacing w:val="-1"/>
        </w:rPr>
        <w:t>、工人上下深基坑应预先搭设稳固安全的阶梯，避免上下时发生坠落。</w:t>
      </w:r>
    </w:p>
    <w:p>
      <w:pPr>
        <w:pStyle w:val="BodyText"/>
        <w:spacing w:before="160" w:line="364" w:lineRule="auto"/>
        <w:ind w:right="318"/>
      </w:pPr>
      <w:r>
        <w:rPr>
          <w:spacing w:val="-4"/>
        </w:rPr>
        <w:t>7</w:t>
      </w:r>
      <w:r>
        <w:rPr>
          <w:spacing w:val="-10"/>
        </w:rPr>
        <w:t xml:space="preserve">、基坑周边必须设 </w:t>
      </w:r>
      <w:r>
        <w:rPr>
          <w:spacing w:val="-4"/>
        </w:rPr>
        <w:t>1.2m</w:t>
      </w:r>
      <w:r>
        <w:rPr>
          <w:spacing w:val="-11"/>
        </w:rPr>
        <w:t xml:space="preserve"> 高牢固的栏杆防护和悬挂危险标志，并在夜间挂红色标</w:t>
      </w:r>
      <w:r>
        <w:rPr>
          <w:spacing w:val="-2"/>
        </w:rPr>
        <w:t>志灯。任何人严禁在深基坑下面休息。</w:t>
      </w:r>
    </w:p>
    <w:p>
      <w:pPr>
        <w:pStyle w:val="BodyText"/>
        <w:spacing w:before="1" w:line="364" w:lineRule="auto"/>
        <w:ind w:right="345"/>
      </w:pPr>
      <w:r>
        <w:rPr>
          <w:spacing w:val="-2"/>
        </w:rPr>
        <w:t>8、在基坑底及面上分别设置排水沟和集水井，在雨季挖土方时，必须保证排水</w:t>
      </w:r>
      <w:r>
        <w:rPr>
          <w:spacing w:val="-2"/>
        </w:rPr>
        <w:t>畅通，并应特别注意边坡的稳定，下大雨时应暂停土方施工。</w:t>
      </w:r>
    </w:p>
    <w:p>
      <w:pPr>
        <w:pStyle w:val="BodyText"/>
        <w:spacing w:before="2"/>
      </w:pPr>
      <w:r>
        <w:t>9</w:t>
      </w:r>
      <w:r>
        <w:rPr>
          <w:spacing w:val="-1"/>
        </w:rPr>
        <w:t>、夜间挖土方时，施工场地要有足够的照明。</w:t>
      </w:r>
    </w:p>
    <w:p>
      <w:pPr>
        <w:pStyle w:val="BodyText"/>
        <w:spacing w:before="160" w:line="364" w:lineRule="auto"/>
        <w:ind w:right="318"/>
      </w:pPr>
      <w:r>
        <w:rPr>
          <w:spacing w:val="-4"/>
        </w:rPr>
        <w:t>10、机械开挖后边坡用人工加以修整，达到设计要求后方可进行下道工序；人工</w:t>
      </w:r>
      <w:r>
        <w:rPr>
          <w:spacing w:val="-2"/>
        </w:rPr>
        <w:t>修坡前，注意检查土坡稳定性，处理好不安全因素后方可进行施工。</w:t>
      </w:r>
    </w:p>
    <w:p>
      <w:pPr>
        <w:pStyle w:val="BodyText"/>
        <w:spacing w:before="1" w:line="364" w:lineRule="auto"/>
        <w:ind w:right="225"/>
      </w:pPr>
      <w:r>
        <w:rPr>
          <w:spacing w:val="-2"/>
        </w:rPr>
        <w:t>11、土方施工中，施工人员要经常注意边坡是否有裂缝或滑坡迹象，一旦发现，</w:t>
      </w:r>
      <w:r>
        <w:rPr>
          <w:spacing w:val="-2"/>
        </w:rPr>
        <w:t>立即停止施工，待处理和加固后才能进行施工。</w:t>
      </w: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1"/>
          <w:numId w:val="14"/>
        </w:numPr>
        <w:tabs>
          <w:tab w:val="left" w:pos="483"/>
        </w:tabs>
        <w:spacing w:before="1" w:after="0" w:line="240" w:lineRule="auto"/>
        <w:ind w:left="482" w:right="0" w:hanging="363"/>
        <w:jc w:val="left"/>
        <w:rPr>
          <w:sz w:val="22"/>
        </w:rPr>
      </w:pPr>
      <w:bookmarkStart w:id="3" w:name="_TOC_250014"/>
      <w:bookmarkEnd w:id="3"/>
      <w:r>
        <w:rPr>
          <w:spacing w:val="-1"/>
        </w:rPr>
        <w:t>、临边、洞口安全防护</w:t>
      </w:r>
    </w:p>
    <w:p>
      <w:pPr>
        <w:pStyle w:val="ListParagraph"/>
        <w:numPr>
          <w:ilvl w:val="2"/>
          <w:numId w:val="14"/>
        </w:numPr>
        <w:tabs>
          <w:tab w:val="left" w:pos="721"/>
        </w:tabs>
        <w:spacing w:before="106" w:after="0" w:line="240" w:lineRule="auto"/>
        <w:ind w:left="721" w:right="0" w:hanging="601"/>
        <w:jc w:val="left"/>
        <w:rPr>
          <w:sz w:val="24"/>
        </w:rPr>
      </w:pPr>
      <w:r>
        <w:rPr>
          <w:spacing w:val="-2"/>
          <w:sz w:val="24"/>
        </w:rPr>
        <w:t>、临边作业注意事项</w:t>
      </w:r>
    </w:p>
    <w:p>
      <w:pPr>
        <w:pStyle w:val="ListParagraph"/>
        <w:numPr>
          <w:ilvl w:val="0"/>
          <w:numId w:val="13"/>
        </w:numPr>
        <w:tabs>
          <w:tab w:val="left" w:pos="481"/>
        </w:tabs>
        <w:spacing w:before="160" w:after="0" w:line="364" w:lineRule="auto"/>
        <w:ind w:left="120" w:right="345" w:firstLine="0"/>
        <w:jc w:val="left"/>
        <w:rPr>
          <w:sz w:val="24"/>
        </w:rPr>
      </w:pPr>
      <w:r>
        <w:rPr>
          <w:spacing w:val="-2"/>
          <w:sz w:val="24"/>
        </w:rPr>
        <w:t>、楼梯踏步及休息平台外边必须设两道牢固防护栏，回转式楼梯间应支设首</w:t>
      </w:r>
      <w:r>
        <w:rPr>
          <w:spacing w:val="-2"/>
          <w:sz w:val="24"/>
        </w:rPr>
        <w:t>层水平安全网。</w:t>
      </w:r>
    </w:p>
    <w:p>
      <w:pPr>
        <w:spacing w:after="0" w:line="364" w:lineRule="auto"/>
        <w:jc w:val="left"/>
        <w:rPr>
          <w:sz w:val="24"/>
        </w:rPr>
        <w:sectPr>
          <w:footerReference w:type="default" r:id="rId15"/>
          <w:pgSz w:w="11910" w:h="16840"/>
          <w:pgMar w:top="1460" w:right="1480" w:bottom="1180" w:left="1680" w:header="0" w:footer="991"/>
          <w:pgNumType w:start="5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481"/>
        </w:tabs>
        <w:spacing w:before="44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、安全通道上部应设双层安全防护棚并进行标识。</w:t>
      </w:r>
    </w:p>
    <w:p>
      <w:pPr>
        <w:pStyle w:val="ListParagraph"/>
        <w:numPr>
          <w:ilvl w:val="0"/>
          <w:numId w:val="13"/>
        </w:numPr>
        <w:tabs>
          <w:tab w:val="left" w:pos="481"/>
        </w:tabs>
        <w:spacing w:before="160" w:after="0" w:line="364" w:lineRule="auto"/>
        <w:ind w:left="120" w:right="345" w:firstLine="0"/>
        <w:jc w:val="left"/>
        <w:rPr>
          <w:sz w:val="24"/>
        </w:rPr>
      </w:pPr>
      <w:r>
        <w:rPr>
          <w:spacing w:val="-2"/>
          <w:sz w:val="24"/>
        </w:rPr>
        <w:t>、各种垂直运输卸料平台，除两侧设防护栏杆外，平台口还应设置安全门或</w:t>
      </w:r>
      <w:r>
        <w:rPr>
          <w:spacing w:val="-2"/>
          <w:sz w:val="24"/>
        </w:rPr>
        <w:t>活动防护栏杆。</w:t>
      </w:r>
    </w:p>
    <w:p>
      <w:pPr>
        <w:pStyle w:val="ListParagraph"/>
        <w:numPr>
          <w:ilvl w:val="0"/>
          <w:numId w:val="13"/>
        </w:numPr>
        <w:tabs>
          <w:tab w:val="left" w:pos="481"/>
        </w:tabs>
        <w:spacing w:before="2" w:after="0" w:line="364" w:lineRule="auto"/>
        <w:ind w:left="120" w:right="1785" w:firstLine="0"/>
        <w:jc w:val="left"/>
        <w:rPr>
          <w:sz w:val="24"/>
        </w:rPr>
      </w:pPr>
      <w:r>
        <w:rPr>
          <w:spacing w:val="-2"/>
          <w:sz w:val="24"/>
        </w:rPr>
        <w:t>、阳台栏板应随层安装，不能随层安装的，必须设防护栏杆。</w:t>
      </w:r>
      <w:r>
        <w:rPr>
          <w:spacing w:val="-2"/>
          <w:sz w:val="24"/>
        </w:rPr>
        <w:t xml:space="preserve"> (5)、建筑物楼层临边四周，无围护结构时，必须设防护栏杆。</w:t>
      </w:r>
    </w:p>
    <w:p>
      <w:pPr>
        <w:pStyle w:val="ListParagraph"/>
        <w:numPr>
          <w:ilvl w:val="2"/>
          <w:numId w:val="14"/>
        </w:numPr>
        <w:tabs>
          <w:tab w:val="left" w:pos="780"/>
        </w:tabs>
        <w:spacing w:before="1" w:after="0" w:line="240" w:lineRule="auto"/>
        <w:ind w:left="780" w:right="0" w:hanging="660"/>
        <w:jc w:val="left"/>
        <w:rPr>
          <w:sz w:val="24"/>
        </w:rPr>
      </w:pPr>
      <w:r>
        <w:rPr>
          <w:spacing w:val="-2"/>
          <w:sz w:val="24"/>
        </w:rPr>
        <w:t>临边防护设置</w:t>
      </w:r>
    </w:p>
    <w:p>
      <w:pPr>
        <w:pStyle w:val="BodyText"/>
        <w:spacing w:before="160"/>
      </w:pPr>
      <w:r>
        <w:t>1</w:t>
      </w:r>
      <w:r>
        <w:rPr>
          <w:spacing w:val="-1"/>
        </w:rPr>
        <w:t>、楼层边、阳台边、屋面边防护</w:t>
      </w:r>
    </w:p>
    <w:p>
      <w:pPr>
        <w:pStyle w:val="ListParagraph"/>
        <w:numPr>
          <w:ilvl w:val="0"/>
          <w:numId w:val="12"/>
        </w:numPr>
        <w:tabs>
          <w:tab w:val="left" w:pos="481"/>
        </w:tabs>
        <w:spacing w:before="161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、楼层边、阳台边、屋面边防护栏杆采用钢管扣件搭设。</w:t>
      </w:r>
    </w:p>
    <w:p>
      <w:pPr>
        <w:pStyle w:val="ListParagraph"/>
        <w:numPr>
          <w:ilvl w:val="0"/>
          <w:numId w:val="12"/>
        </w:numPr>
        <w:tabs>
          <w:tab w:val="left" w:pos="481"/>
        </w:tabs>
        <w:spacing w:before="160" w:after="0" w:line="364" w:lineRule="auto"/>
        <w:ind w:left="120" w:right="225" w:firstLine="0"/>
        <w:jc w:val="left"/>
        <w:rPr>
          <w:sz w:val="24"/>
        </w:rPr>
      </w:pPr>
      <w:r>
        <w:rPr>
          <w:spacing w:val="-6"/>
          <w:sz w:val="24"/>
        </w:rPr>
        <w:t xml:space="preserve">、防护栏杆搭设高度 </w:t>
      </w:r>
      <w:r>
        <w:rPr>
          <w:spacing w:val="-2"/>
          <w:sz w:val="24"/>
        </w:rPr>
        <w:t>1.2m，</w:t>
      </w:r>
      <w:r>
        <w:rPr>
          <w:spacing w:val="-5"/>
          <w:sz w:val="24"/>
        </w:rPr>
        <w:t xml:space="preserve">两道水平栏杆通长设置，第一道栏杆高度 </w:t>
      </w:r>
      <w:r>
        <w:rPr>
          <w:spacing w:val="-2"/>
          <w:sz w:val="24"/>
        </w:rPr>
        <w:t>1.2m，</w:t>
      </w:r>
      <w:r>
        <w:rPr>
          <w:spacing w:val="-4"/>
          <w:sz w:val="24"/>
        </w:rPr>
        <w:t xml:space="preserve">第二道高度 </w:t>
      </w:r>
      <w:r>
        <w:rPr>
          <w:sz w:val="24"/>
        </w:rPr>
        <w:t>0.5m，</w:t>
      </w:r>
      <w:r>
        <w:rPr>
          <w:spacing w:val="-5"/>
          <w:sz w:val="24"/>
        </w:rPr>
        <w:t xml:space="preserve">立杆间距 </w:t>
      </w:r>
      <w:r>
        <w:rPr>
          <w:sz w:val="24"/>
        </w:rPr>
        <w:t>2m，防护栏杆内侧满挂密目安全网。</w:t>
      </w:r>
    </w:p>
    <w:p>
      <w:pPr>
        <w:pStyle w:val="ListParagraph"/>
        <w:numPr>
          <w:ilvl w:val="0"/>
          <w:numId w:val="12"/>
        </w:numPr>
        <w:tabs>
          <w:tab w:val="left" w:pos="481"/>
        </w:tabs>
        <w:spacing w:before="1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、防护栏杆及踢脚板刷黑黄相间安全警戒色。</w:t>
      </w:r>
    </w:p>
    <w:p>
      <w:pPr>
        <w:pStyle w:val="ListParagraph"/>
        <w:numPr>
          <w:ilvl w:val="0"/>
          <w:numId w:val="12"/>
        </w:numPr>
        <w:tabs>
          <w:tab w:val="left" w:pos="481"/>
        </w:tabs>
        <w:spacing w:before="161" w:after="0" w:line="364" w:lineRule="auto"/>
        <w:ind w:left="120" w:right="318" w:firstLine="0"/>
        <w:jc w:val="left"/>
        <w:rPr>
          <w:sz w:val="24"/>
        </w:rPr>
      </w:pPr>
      <w:r>
        <w:rPr>
          <w:spacing w:val="-12"/>
          <w:sz w:val="24"/>
        </w:rPr>
        <w:t xml:space="preserve">、坡度大于 </w:t>
      </w:r>
      <w:r>
        <w:rPr>
          <w:spacing w:val="-2"/>
          <w:sz w:val="24"/>
        </w:rPr>
        <w:t>1:2.2</w:t>
      </w:r>
      <w:r>
        <w:rPr>
          <w:spacing w:val="-13"/>
          <w:sz w:val="24"/>
        </w:rPr>
        <w:t xml:space="preserve"> 的屋面，防护栏杆上杆离防护面高度不低于 </w:t>
      </w:r>
      <w:r>
        <w:rPr>
          <w:spacing w:val="-2"/>
          <w:sz w:val="24"/>
        </w:rPr>
        <w:t>1.5m，并增设</w:t>
      </w:r>
      <w:r>
        <w:rPr>
          <w:spacing w:val="-2"/>
          <w:sz w:val="24"/>
        </w:rPr>
        <w:t>一道横杆，满挂密目安全网。</w:t>
      </w:r>
    </w:p>
    <w:p>
      <w:pPr>
        <w:pStyle w:val="BodyText"/>
        <w:spacing w:before="1"/>
      </w:pPr>
      <w:r>
        <w:rPr>
          <w:spacing w:val="-2"/>
        </w:rPr>
        <w:t>防护示意图如下：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1277866</wp:posOffset>
            </wp:positionH>
            <wp:positionV relativeFrom="paragraph">
              <wp:posOffset>205993</wp:posOffset>
            </wp:positionV>
            <wp:extent cx="5035049" cy="2472690"/>
            <wp:effectExtent l="0" t="0" r="0" b="0"/>
            <wp:wrapTopAndBottom/>
            <wp:docPr id="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049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17"/>
        </w:rPr>
      </w:pPr>
    </w:p>
    <w:p>
      <w:pPr>
        <w:pStyle w:val="BodyText"/>
      </w:pPr>
      <w:r>
        <w:t>2</w:t>
      </w:r>
      <w:r>
        <w:rPr>
          <w:spacing w:val="-2"/>
        </w:rPr>
        <w:t>、楼梯边安全防护</w:t>
      </w:r>
    </w:p>
    <w:p>
      <w:pPr>
        <w:pStyle w:val="ListParagraph"/>
        <w:numPr>
          <w:ilvl w:val="0"/>
          <w:numId w:val="11"/>
        </w:numPr>
        <w:tabs>
          <w:tab w:val="left" w:pos="481"/>
        </w:tabs>
        <w:spacing w:before="161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、分层施工的楼梯口和楼段边，必须安装临时防护栏杆和踢脚板。</w:t>
      </w:r>
    </w:p>
    <w:p>
      <w:pPr>
        <w:pStyle w:val="ListParagraph"/>
        <w:numPr>
          <w:ilvl w:val="0"/>
          <w:numId w:val="11"/>
        </w:numPr>
        <w:tabs>
          <w:tab w:val="left" w:pos="481"/>
        </w:tabs>
        <w:spacing w:before="160" w:after="0" w:line="364" w:lineRule="auto"/>
        <w:ind w:left="120" w:right="225" w:firstLine="0"/>
        <w:jc w:val="left"/>
        <w:rPr>
          <w:sz w:val="24"/>
        </w:rPr>
      </w:pPr>
      <w:r>
        <w:rPr>
          <w:spacing w:val="-6"/>
          <w:sz w:val="24"/>
        </w:rPr>
        <w:t xml:space="preserve">、防护栏杆搭设高度 </w:t>
      </w:r>
      <w:r>
        <w:rPr>
          <w:spacing w:val="-2"/>
          <w:sz w:val="24"/>
        </w:rPr>
        <w:t>1.2m，</w:t>
      </w:r>
      <w:r>
        <w:rPr>
          <w:spacing w:val="-5"/>
          <w:sz w:val="24"/>
        </w:rPr>
        <w:t xml:space="preserve">两道水平栏杆通长设置，第一道栏杆高度 </w:t>
      </w:r>
      <w:r>
        <w:rPr>
          <w:spacing w:val="-2"/>
          <w:sz w:val="24"/>
        </w:rPr>
        <w:t>1.2m，</w:t>
      </w:r>
      <w:r>
        <w:rPr>
          <w:spacing w:val="-4"/>
          <w:sz w:val="24"/>
        </w:rPr>
        <w:t xml:space="preserve">第二道高度 </w:t>
      </w:r>
      <w:r>
        <w:rPr>
          <w:sz w:val="24"/>
        </w:rPr>
        <w:t>0.5m，</w:t>
      </w:r>
      <w:r>
        <w:rPr>
          <w:spacing w:val="-5"/>
          <w:sz w:val="24"/>
        </w:rPr>
        <w:t xml:space="preserve">立杆间距 </w:t>
      </w:r>
      <w:r>
        <w:rPr>
          <w:sz w:val="24"/>
        </w:rPr>
        <w:t>2m，防护栏杆内侧满挂密目安全网。</w:t>
      </w:r>
    </w:p>
    <w:p>
      <w:pPr>
        <w:spacing w:after="0" w:line="364" w:lineRule="auto"/>
        <w:jc w:val="left"/>
        <w:rPr>
          <w:sz w:val="24"/>
        </w:rPr>
        <w:sectPr>
          <w:footerReference w:type="default" r:id="rId17"/>
          <w:pgSz w:w="11910" w:h="16840"/>
          <w:pgMar w:top="1460" w:right="1480" w:bottom="1180" w:left="1680" w:header="0" w:footer="991"/>
          <w:pgNumType w:start="6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481"/>
        </w:tabs>
        <w:spacing w:before="44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、防护栏杆和踢脚板均刷黑黄相间安全警戒色。</w:t>
      </w:r>
    </w:p>
    <w:p>
      <w:pPr>
        <w:pStyle w:val="ListParagraph"/>
        <w:numPr>
          <w:ilvl w:val="0"/>
          <w:numId w:val="11"/>
        </w:numPr>
        <w:tabs>
          <w:tab w:val="left" w:pos="481"/>
        </w:tabs>
        <w:spacing w:before="160" w:after="0" w:line="364" w:lineRule="auto"/>
        <w:ind w:left="120" w:right="825" w:firstLine="0"/>
        <w:jc w:val="left"/>
        <w:rPr>
          <w:sz w:val="24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1823085</wp:posOffset>
            </wp:positionH>
            <wp:positionV relativeFrom="paragraph">
              <wp:posOffset>670801</wp:posOffset>
            </wp:positionV>
            <wp:extent cx="3809382" cy="4266570"/>
            <wp:effectExtent l="0" t="0" r="0" b="0"/>
            <wp:wrapNone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382" cy="42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、独立楼梯，若两边均无有效遮挡，则两边均设置防护栏杆和踢脚板。</w:t>
      </w:r>
      <w:r>
        <w:rPr>
          <w:spacing w:val="-2"/>
          <w:sz w:val="24"/>
        </w:rPr>
        <w:t>楼梯防护示意图如下：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1"/>
        <w:ind w:left="0"/>
        <w:rPr>
          <w:sz w:val="31"/>
        </w:rPr>
      </w:pPr>
    </w:p>
    <w:p>
      <w:pPr>
        <w:pStyle w:val="ListParagraph"/>
        <w:numPr>
          <w:ilvl w:val="2"/>
          <w:numId w:val="14"/>
        </w:numPr>
        <w:tabs>
          <w:tab w:val="left" w:pos="721"/>
        </w:tabs>
        <w:spacing w:before="0" w:after="0" w:line="240" w:lineRule="auto"/>
        <w:ind w:left="721" w:right="0" w:hanging="601"/>
        <w:jc w:val="left"/>
        <w:rPr>
          <w:sz w:val="24"/>
        </w:rPr>
      </w:pPr>
      <w:r>
        <w:rPr>
          <w:spacing w:val="-2"/>
          <w:sz w:val="24"/>
        </w:rPr>
        <w:t>、洞口防护</w:t>
      </w:r>
    </w:p>
    <w:p>
      <w:pPr>
        <w:pStyle w:val="BodyText"/>
        <w:spacing w:before="160"/>
        <w:jc w:val="both"/>
      </w:pPr>
      <w:r>
        <w:t>1</w:t>
      </w:r>
      <w:r>
        <w:rPr>
          <w:spacing w:val="-15"/>
        </w:rPr>
        <w:t xml:space="preserve">、边长 </w:t>
      </w:r>
      <w:r>
        <w:t>1.5m</w:t>
      </w:r>
      <w:r>
        <w:rPr>
          <w:spacing w:val="-24"/>
        </w:rPr>
        <w:t xml:space="preserve"> 及小于 </w:t>
      </w:r>
      <w:r>
        <w:t>1.5m</w:t>
      </w:r>
      <w:r>
        <w:rPr>
          <w:spacing w:val="-9"/>
        </w:rPr>
        <w:t xml:space="preserve"> 预留洞口安全防护</w:t>
      </w:r>
    </w:p>
    <w:p>
      <w:pPr>
        <w:pStyle w:val="ListParagraph"/>
        <w:numPr>
          <w:ilvl w:val="0"/>
          <w:numId w:val="10"/>
        </w:numPr>
        <w:tabs>
          <w:tab w:val="left" w:pos="481"/>
        </w:tabs>
        <w:spacing w:before="161" w:after="0" w:line="364" w:lineRule="auto"/>
        <w:ind w:left="120" w:right="317" w:firstLine="0"/>
        <w:jc w:val="both"/>
        <w:rPr>
          <w:sz w:val="24"/>
        </w:rPr>
      </w:pPr>
      <w:r>
        <w:rPr>
          <w:spacing w:val="-7"/>
          <w:sz w:val="24"/>
        </w:rPr>
        <w:t xml:space="preserve">、楼板、屋面和平台等面上短边尺寸小于 </w:t>
      </w:r>
      <w:r>
        <w:rPr>
          <w:spacing w:val="-6"/>
          <w:sz w:val="24"/>
        </w:rPr>
        <w:t>1.5m</w:t>
      </w:r>
      <w:r>
        <w:rPr>
          <w:spacing w:val="-10"/>
          <w:sz w:val="24"/>
        </w:rPr>
        <w:t xml:space="preserve"> 的洞口，必须用坚实的盖板盖</w:t>
      </w:r>
      <w:r>
        <w:rPr>
          <w:spacing w:val="-4"/>
          <w:sz w:val="24"/>
        </w:rPr>
        <w:t>住洞口。盖板须保持四周搁置均衡，并用订在盖板上木方顶紧洞口边框，防止盖</w:t>
      </w:r>
      <w:r>
        <w:rPr>
          <w:spacing w:val="-4"/>
          <w:sz w:val="24"/>
        </w:rPr>
        <w:t>板移位。</w:t>
      </w:r>
    </w:p>
    <w:p>
      <w:pPr>
        <w:pStyle w:val="ListParagraph"/>
        <w:numPr>
          <w:ilvl w:val="0"/>
          <w:numId w:val="10"/>
        </w:numPr>
        <w:tabs>
          <w:tab w:val="left" w:pos="481"/>
        </w:tabs>
        <w:spacing w:before="2" w:after="0" w:line="364" w:lineRule="auto"/>
        <w:ind w:left="120" w:right="2025" w:firstLine="0"/>
        <w:jc w:val="left"/>
        <w:rPr>
          <w:sz w:val="24"/>
        </w:rPr>
      </w:pPr>
      <w:r>
        <w:rPr>
          <w:spacing w:val="-2"/>
          <w:sz w:val="24"/>
        </w:rPr>
        <w:t>、盖板上表面刷黄黑相间警戒色和红色“严禁挪移”字样。</w:t>
      </w:r>
      <w:r>
        <w:rPr>
          <w:spacing w:val="-2"/>
          <w:sz w:val="24"/>
        </w:rPr>
        <w:t>防护示意图如下：</w:t>
      </w:r>
    </w:p>
    <w:p>
      <w:pPr>
        <w:spacing w:after="0" w:line="364" w:lineRule="auto"/>
        <w:jc w:val="left"/>
        <w:rPr>
          <w:sz w:val="24"/>
        </w:rPr>
        <w:sectPr>
          <w:footerReference w:type="default" r:id="rId19"/>
          <w:pgSz w:w="11910" w:h="16840"/>
          <w:pgMar w:top="1460" w:right="1480" w:bottom="1180" w:left="1680" w:header="0" w:footer="991"/>
          <w:pgNumType w:start="7"/>
          <w:cols w:space="708"/>
        </w:sectPr>
      </w:pPr>
    </w:p>
    <w:p>
      <w:pPr>
        <w:pStyle w:val="BodyText"/>
        <w:ind w:left="229"/>
        <w:rPr>
          <w:sz w:val="20"/>
        </w:rPr>
      </w:pPr>
      <w:r>
        <w:rPr>
          <w:sz w:val="20"/>
        </w:rPr>
        <w:drawing>
          <wp:inline distT="0" distB="0" distL="0" distR="0">
            <wp:extent cx="5337021" cy="4281868"/>
            <wp:effectExtent l="0" t="0" r="0" b="0"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021" cy="428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6"/>
      </w:pPr>
      <w:r>
        <w:t>2</w:t>
      </w:r>
      <w:r>
        <w:rPr>
          <w:spacing w:val="-10"/>
        </w:rPr>
        <w:t xml:space="preserve">、边长大于 </w:t>
      </w:r>
      <w:r>
        <w:t>1.5m</w:t>
      </w:r>
      <w:r>
        <w:rPr>
          <w:spacing w:val="-9"/>
        </w:rPr>
        <w:t xml:space="preserve"> 预留洞口安全防护</w:t>
      </w:r>
    </w:p>
    <w:p>
      <w:pPr>
        <w:pStyle w:val="ListParagraph"/>
        <w:numPr>
          <w:ilvl w:val="0"/>
          <w:numId w:val="9"/>
        </w:numPr>
        <w:tabs>
          <w:tab w:val="left" w:pos="481"/>
        </w:tabs>
        <w:spacing w:before="160" w:after="0" w:line="364" w:lineRule="auto"/>
        <w:ind w:left="120" w:right="405" w:firstLine="0"/>
        <w:jc w:val="left"/>
        <w:rPr>
          <w:sz w:val="24"/>
        </w:rPr>
      </w:pPr>
      <w:r>
        <w:rPr>
          <w:spacing w:val="-4"/>
          <w:sz w:val="24"/>
        </w:rPr>
        <w:t xml:space="preserve">、洞口四周用钢管搭设三道防护栏杆，第一道栏杆距楼面 </w:t>
      </w:r>
      <w:r>
        <w:rPr>
          <w:spacing w:val="-2"/>
          <w:sz w:val="24"/>
        </w:rPr>
        <w:t>1.2m,第二道栏杆</w:t>
      </w:r>
      <w:r>
        <w:rPr>
          <w:spacing w:val="-4"/>
          <w:sz w:val="24"/>
        </w:rPr>
        <w:t xml:space="preserve">距楼面 </w:t>
      </w:r>
      <w:r>
        <w:rPr>
          <w:sz w:val="24"/>
        </w:rPr>
        <w:t>0.6m，</w:t>
      </w:r>
      <w:r>
        <w:rPr>
          <w:spacing w:val="-2"/>
          <w:sz w:val="24"/>
        </w:rPr>
        <w:t xml:space="preserve">第三道栏杆距楼面 </w:t>
      </w:r>
      <w:r>
        <w:rPr>
          <w:sz w:val="24"/>
        </w:rPr>
        <w:t>0.1m，</w:t>
      </w:r>
      <w:r>
        <w:rPr>
          <w:spacing w:val="-3"/>
          <w:sz w:val="24"/>
        </w:rPr>
        <w:t xml:space="preserve">立杆高度 </w:t>
      </w:r>
      <w:r>
        <w:rPr>
          <w:sz w:val="24"/>
        </w:rPr>
        <w:t>1.2m。</w:t>
      </w:r>
    </w:p>
    <w:p>
      <w:pPr>
        <w:pStyle w:val="ListParagraph"/>
        <w:numPr>
          <w:ilvl w:val="0"/>
          <w:numId w:val="9"/>
        </w:numPr>
        <w:tabs>
          <w:tab w:val="left" w:pos="481"/>
        </w:tabs>
        <w:spacing w:before="2" w:after="0" w:line="364" w:lineRule="auto"/>
        <w:ind w:left="120" w:right="318" w:firstLine="0"/>
        <w:jc w:val="left"/>
        <w:rPr>
          <w:sz w:val="24"/>
        </w:rPr>
      </w:pPr>
      <w:r>
        <w:rPr>
          <w:spacing w:val="-9"/>
          <w:sz w:val="24"/>
        </w:rPr>
        <w:t xml:space="preserve">、洞口尺寸不大于 </w:t>
      </w:r>
      <w:r>
        <w:rPr>
          <w:spacing w:val="-2"/>
          <w:sz w:val="24"/>
        </w:rPr>
        <w:t>2m</w:t>
      </w:r>
      <w:r>
        <w:rPr>
          <w:spacing w:val="-10"/>
          <w:sz w:val="24"/>
        </w:rPr>
        <w:t xml:space="preserve"> 时，中间设一道立杆；洞口尺寸大于 </w:t>
      </w:r>
      <w:r>
        <w:rPr>
          <w:spacing w:val="-2"/>
          <w:sz w:val="24"/>
        </w:rPr>
        <w:t>2m</w:t>
      </w:r>
      <w:r>
        <w:rPr>
          <w:spacing w:val="-7"/>
          <w:sz w:val="24"/>
        </w:rPr>
        <w:t xml:space="preserve"> 时，立杆间距</w:t>
      </w:r>
      <w:r>
        <w:rPr>
          <w:spacing w:val="-11"/>
          <w:sz w:val="24"/>
        </w:rPr>
        <w:t xml:space="preserve">不大于 </w:t>
      </w:r>
      <w:r>
        <w:rPr>
          <w:sz w:val="24"/>
        </w:rPr>
        <w:t>1.2m。</w:t>
      </w:r>
    </w:p>
    <w:p>
      <w:pPr>
        <w:pStyle w:val="ListParagraph"/>
        <w:numPr>
          <w:ilvl w:val="0"/>
          <w:numId w:val="9"/>
        </w:numPr>
        <w:tabs>
          <w:tab w:val="left" w:pos="481"/>
        </w:tabs>
        <w:spacing w:before="1" w:after="0" w:line="364" w:lineRule="auto"/>
        <w:ind w:left="120" w:right="345" w:firstLine="0"/>
        <w:jc w:val="left"/>
        <w:rPr>
          <w:sz w:val="24"/>
        </w:rPr>
      </w:pPr>
      <w:r>
        <w:rPr>
          <w:spacing w:val="-2"/>
          <w:sz w:val="24"/>
        </w:rPr>
        <w:t>、主体结构施工阶段，洞口采用木模板和木枋封闭；安装及装修阶段，洞口</w:t>
      </w:r>
      <w:r>
        <w:rPr>
          <w:spacing w:val="-2"/>
          <w:sz w:val="24"/>
        </w:rPr>
        <w:t>采用水平安全网封闭。</w:t>
      </w:r>
    </w:p>
    <w:p>
      <w:pPr>
        <w:pStyle w:val="ListParagraph"/>
        <w:numPr>
          <w:ilvl w:val="0"/>
          <w:numId w:val="9"/>
        </w:numPr>
        <w:tabs>
          <w:tab w:val="left" w:pos="481"/>
        </w:tabs>
        <w:spacing w:before="1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、防护栏杆外侧满挂密目安全网。防护示意图如下：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21"/>
          <w:pgSz w:w="11910" w:h="16840"/>
          <w:pgMar w:top="1800" w:right="1480" w:bottom="1180" w:left="1680" w:header="0" w:footer="991"/>
          <w:pgNumType w:start="8"/>
          <w:cols w:space="708"/>
        </w:sectPr>
      </w:pPr>
    </w:p>
    <w:p>
      <w:pPr>
        <w:pStyle w:val="BodyText"/>
        <w:ind w:left="462"/>
        <w:rPr>
          <w:sz w:val="20"/>
        </w:rPr>
      </w:pPr>
      <w:r>
        <w:rPr>
          <w:sz w:val="20"/>
        </w:rPr>
        <w:drawing>
          <wp:inline distT="0" distB="0" distL="0" distR="0">
            <wp:extent cx="4796181" cy="2072640"/>
            <wp:effectExtent l="0" t="0" r="0" b="0"/>
            <wp:docPr id="1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6181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</w:p>
    <w:p>
      <w:pPr>
        <w:pStyle w:val="BodyText"/>
        <w:spacing w:before="66"/>
      </w:pPr>
      <w:r>
        <w:t>3、电梯井（管道井）</w:t>
      </w:r>
      <w:r>
        <w:rPr>
          <w:spacing w:val="-2"/>
        </w:rPr>
        <w:t>口安全防护</w:t>
      </w:r>
    </w:p>
    <w:p>
      <w:pPr>
        <w:pStyle w:val="ListParagraph"/>
        <w:numPr>
          <w:ilvl w:val="0"/>
          <w:numId w:val="8"/>
        </w:numPr>
        <w:tabs>
          <w:tab w:val="left" w:pos="481"/>
        </w:tabs>
        <w:spacing w:before="161" w:after="0" w:line="364" w:lineRule="auto"/>
        <w:ind w:left="120" w:right="345" w:firstLine="0"/>
        <w:jc w:val="left"/>
        <w:rPr>
          <w:sz w:val="24"/>
        </w:rPr>
      </w:pPr>
      <w:r>
        <w:rPr>
          <w:spacing w:val="-2"/>
          <w:sz w:val="24"/>
        </w:rPr>
        <w:t>、可根据现场情况，使用强度符合要求的圆钢、方钢等材料，尽量制作可周</w:t>
      </w:r>
      <w:r>
        <w:rPr>
          <w:spacing w:val="-2"/>
          <w:sz w:val="24"/>
        </w:rPr>
        <w:t>转、能重复使用的电梯井口防护门。</w:t>
      </w:r>
    </w:p>
    <w:p>
      <w:pPr>
        <w:pStyle w:val="ListParagraph"/>
        <w:numPr>
          <w:ilvl w:val="0"/>
          <w:numId w:val="8"/>
        </w:numPr>
        <w:tabs>
          <w:tab w:val="left" w:pos="481"/>
        </w:tabs>
        <w:spacing w:before="1" w:after="0" w:line="364" w:lineRule="auto"/>
        <w:ind w:left="120" w:right="318" w:firstLine="0"/>
        <w:jc w:val="left"/>
        <w:rPr>
          <w:sz w:val="24"/>
        </w:rPr>
      </w:pPr>
      <w:r>
        <w:rPr>
          <w:spacing w:val="-2"/>
          <w:sz w:val="24"/>
        </w:rPr>
        <w:t>、电梯井（管道井）</w:t>
      </w:r>
      <w:r>
        <w:rPr>
          <w:spacing w:val="-17"/>
          <w:sz w:val="24"/>
        </w:rPr>
        <w:t xml:space="preserve">口安装 </w:t>
      </w:r>
      <w:r>
        <w:rPr>
          <w:spacing w:val="-2"/>
          <w:sz w:val="24"/>
        </w:rPr>
        <w:t>1.5m</w:t>
      </w:r>
      <w:r>
        <w:rPr>
          <w:spacing w:val="-13"/>
          <w:sz w:val="24"/>
        </w:rPr>
        <w:t xml:space="preserve"> 高工具式防护门。防护门底部安装 </w:t>
      </w:r>
      <w:r>
        <w:rPr>
          <w:spacing w:val="-2"/>
          <w:sz w:val="24"/>
        </w:rPr>
        <w:t>0.2m 高</w:t>
      </w:r>
      <w:r>
        <w:rPr>
          <w:spacing w:val="-2"/>
          <w:sz w:val="24"/>
        </w:rPr>
        <w:t>木质踢脚板。防护门和踢脚板刷黑黄相间警戒色。</w:t>
      </w:r>
    </w:p>
    <w:p>
      <w:pPr>
        <w:pStyle w:val="ListParagraph"/>
        <w:numPr>
          <w:ilvl w:val="0"/>
          <w:numId w:val="8"/>
        </w:numPr>
        <w:tabs>
          <w:tab w:val="left" w:pos="481"/>
        </w:tabs>
        <w:spacing w:before="1" w:after="0" w:line="364" w:lineRule="auto"/>
        <w:ind w:left="120" w:right="225" w:firstLine="0"/>
        <w:jc w:val="left"/>
        <w:rPr>
          <w:sz w:val="24"/>
        </w:rPr>
      </w:pPr>
      <w:r>
        <w:rPr>
          <w:spacing w:val="-2"/>
          <w:sz w:val="24"/>
        </w:rPr>
        <w:t>、电梯井内水平防护采用在井洞内每隔两层（≤10m）用钢管搭设防护平台，</w:t>
      </w:r>
      <w:r>
        <w:rPr>
          <w:spacing w:val="-2"/>
          <w:sz w:val="24"/>
        </w:rPr>
        <w:t>上面满铺跳板（主体施工阶段）或兜挂安全水平网（装修施工阶段）进行安全防</w:t>
      </w:r>
      <w:r>
        <w:rPr>
          <w:spacing w:val="-6"/>
          <w:sz w:val="24"/>
        </w:rPr>
        <w:t>护。</w:t>
      </w:r>
    </w:p>
    <w:p>
      <w:pPr>
        <w:pStyle w:val="BodyText"/>
        <w:spacing w:before="2"/>
      </w:pPr>
      <w:r>
        <w:rPr>
          <w:spacing w:val="-2"/>
        </w:rPr>
        <w:t>防护示意图如下：</w:t>
      </w:r>
    </w:p>
    <w:p>
      <w:pPr>
        <w:spacing w:after="0"/>
        <w:sectPr>
          <w:footerReference w:type="default" r:id="rId23"/>
          <w:pgSz w:w="11910" w:h="16840"/>
          <w:pgMar w:top="1500" w:right="1480" w:bottom="1180" w:left="1680" w:header="0" w:footer="991"/>
          <w:pgNumType w:start="9"/>
          <w:cols w:space="708"/>
        </w:sectPr>
      </w:pPr>
    </w:p>
    <w:p>
      <w:pPr>
        <w:pStyle w:val="BodyText"/>
        <w:ind w:left="408"/>
        <w:rPr>
          <w:sz w:val="20"/>
        </w:rPr>
      </w:pPr>
      <w:r>
        <w:rPr>
          <w:sz w:val="20"/>
        </w:rPr>
        <w:drawing>
          <wp:inline distT="0" distB="0" distL="0" distR="0">
            <wp:extent cx="4914223" cy="4386929"/>
            <wp:effectExtent l="0" t="0" r="0" b="0"/>
            <wp:docPr id="1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223" cy="438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15"/>
        </w:rPr>
      </w:pPr>
    </w:p>
    <w:p>
      <w:pPr>
        <w:pStyle w:val="Heading1"/>
        <w:numPr>
          <w:ilvl w:val="1"/>
          <w:numId w:val="14"/>
        </w:numPr>
        <w:tabs>
          <w:tab w:val="left" w:pos="483"/>
        </w:tabs>
        <w:spacing w:before="0" w:after="0" w:line="433" w:lineRule="exact"/>
        <w:ind w:left="482" w:right="0" w:hanging="363"/>
        <w:jc w:val="left"/>
        <w:rPr>
          <w:rFonts w:ascii="微软雅黑" w:eastAsia="微软雅黑"/>
          <w:sz w:val="22"/>
        </w:rPr>
      </w:pPr>
      <w:bookmarkStart w:id="4" w:name="_TOC_250013"/>
      <w:bookmarkEnd w:id="4"/>
      <w:r>
        <w:rPr>
          <w:rFonts w:ascii="微软雅黑" w:eastAsia="微软雅黑"/>
          <w:spacing w:val="-2"/>
        </w:rPr>
        <w:t>、外脚手架安全防护</w:t>
      </w:r>
    </w:p>
    <w:p>
      <w:pPr>
        <w:pStyle w:val="ListParagraph"/>
        <w:numPr>
          <w:ilvl w:val="0"/>
          <w:numId w:val="7"/>
        </w:numPr>
        <w:tabs>
          <w:tab w:val="left" w:pos="481"/>
        </w:tabs>
        <w:spacing w:before="102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、落地双排外脚手架搭设顺序</w:t>
      </w:r>
    </w:p>
    <w:p>
      <w:pPr>
        <w:pStyle w:val="BodyText"/>
        <w:spacing w:before="161" w:line="364" w:lineRule="auto"/>
        <w:ind w:right="345" w:firstLine="480"/>
      </w:pPr>
      <w:r>
        <w:t>基底整平夯实 → 垫木设置 → 立两侧立杆 → 拉线立中间立杆 → 扫地杆 → 第一排水平杆（大横杆）→</w:t>
      </w:r>
      <w:r>
        <w:rPr>
          <w:spacing w:val="-1"/>
        </w:rPr>
        <w:t xml:space="preserve"> 小横杆 → 操作层兜网铺设 → 走道板铺设</w:t>
      </w:r>
    </w:p>
    <w:p>
      <w:pPr>
        <w:pStyle w:val="BodyText"/>
        <w:spacing w:before="1"/>
      </w:pPr>
      <w:r>
        <w:rPr>
          <w:spacing w:val="-8"/>
        </w:rPr>
        <w:t>→ 挡脚板设置 → 密目网挂设。</w:t>
      </w:r>
      <w:r>
        <w:t>（有连墙点及剪刀撑的在铺设走道板之前完成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7"/>
        </w:numPr>
        <w:tabs>
          <w:tab w:val="left" w:pos="481"/>
        </w:tabs>
        <w:spacing w:before="160" w:after="0" w:line="240" w:lineRule="auto"/>
        <w:ind w:left="481" w:right="0" w:hanging="361"/>
        <w:jc w:val="left"/>
        <w:rPr>
          <w:sz w:val="24"/>
        </w:rPr>
      </w:pPr>
      <w:r>
        <w:rPr>
          <w:spacing w:val="-1"/>
          <w:sz w:val="24"/>
        </w:rPr>
        <w:t>、普通双排外架详图：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25"/>
          <w:pgSz w:w="11910" w:h="16840"/>
          <w:pgMar w:top="1560" w:right="1480" w:bottom="1180" w:left="1680" w:header="0" w:footer="991"/>
          <w:pgNumType w:start="10"/>
          <w:cols w:space="708"/>
        </w:sectPr>
      </w:pPr>
    </w:p>
    <w:p>
      <w:pPr>
        <w:pStyle w:val="BodyText"/>
        <w:ind w:left="0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width:9.05pt;height:12.6pt;margin-top:220.71pt;margin-left:437.87pt;mso-position-horizontal-relative:page;mso-position-vertical-relative:page;position:absolute;z-index:251666432" filled="f" stroked="f">
            <v:textbox style="layout-flow:vertical;mso-layout-flow-alt:bottom-to-top" inset="0,0,0,0">
              <w:txbxContent>
                <w:p>
                  <w:pPr>
                    <w:spacing w:before="1"/>
                    <w:ind w:left="20" w:right="0" w:firstLine="0"/>
                    <w:jc w:val="left"/>
                    <w:rPr>
                      <w:rFonts w:ascii="宋体"/>
                      <w:sz w:val="14"/>
                    </w:rPr>
                  </w:pPr>
                  <w:r>
                    <w:rPr>
                      <w:rFonts w:ascii="宋体"/>
                      <w:spacing w:val="-5"/>
                      <w:sz w:val="14"/>
                    </w:rPr>
                    <w:t>180</w:t>
                  </w:r>
                </w:p>
              </w:txbxContent>
            </v:textbox>
          </v:shape>
        </w:pic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7"/>
      </w:pPr>
      <w:r>
        <w:pict>
          <v:group id="_x0000_s1076" style="width:181.55pt;height:354.95pt;margin-top:-358.97pt;margin-left:94.29pt;mso-position-horizontal-relative:page;position:absolute;z-index:251663360" coordorigin="1886,-7179" coordsize="3631,7099">
            <v:shape id="_x0000_s1077" type="#_x0000_t75" style="width:3631;height:7099;left:1885;position:absolute;top:-7180" stroked="f">
              <v:imagedata r:id="rId26" o:title=""/>
            </v:shape>
            <v:shape id="_x0000_s1078" type="#_x0000_t202" style="width:301;height:142;left:4794;position:absolute;top:-5823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横杆</w:t>
                    </w:r>
                  </w:p>
                </w:txbxContent>
              </v:textbox>
            </v:shape>
            <v:shape id="_x0000_s1079" type="#_x0000_t202" style="width:372;height:118;left:2204;position:absolute;top:-5512" filled="f" stroked="f">
              <v:textbox inset="0,0,0,0">
                <w:txbxContent>
                  <w:p>
                    <w:pPr>
                      <w:spacing w:before="0" w:line="118" w:lineRule="exact"/>
                      <w:ind w:left="0" w:right="0" w:firstLine="0"/>
                      <w:jc w:val="left"/>
                      <w:rPr>
                        <w:rFonts w:ascii="宋体" w:eastAsia="宋体"/>
                        <w:sz w:val="11"/>
                      </w:rPr>
                    </w:pPr>
                    <w:r>
                      <w:rPr>
                        <w:rFonts w:ascii="宋体" w:eastAsia="宋体"/>
                        <w:w w:val="105"/>
                        <w:sz w:val="11"/>
                        <w:u w:val="single"/>
                      </w:rPr>
                      <w:t>操</w:t>
                    </w:r>
                    <w:r>
                      <w:rPr>
                        <w:rFonts w:ascii="宋体" w:eastAsia="宋体"/>
                        <w:w w:val="105"/>
                        <w:sz w:val="11"/>
                        <w:u w:val="single"/>
                      </w:rPr>
                      <w:t>作</w:t>
                    </w:r>
                    <w:r>
                      <w:rPr>
                        <w:rFonts w:ascii="宋体" w:eastAsia="宋体"/>
                        <w:spacing w:val="-10"/>
                        <w:w w:val="105"/>
                        <w:sz w:val="11"/>
                        <w:u w:val="single"/>
                      </w:rPr>
                      <w:t>层</w:t>
                    </w:r>
                  </w:p>
                </w:txbxContent>
              </v:textbox>
            </v:shape>
            <v:shape id="_x0000_s1080" type="#_x0000_t202" style="width:372;height:118;left:3746;position:absolute;top:-5088" filled="f" stroked="f">
              <v:textbox inset="0,0,0,0">
                <w:txbxContent>
                  <w:p>
                    <w:pPr>
                      <w:spacing w:before="0" w:line="118" w:lineRule="exact"/>
                      <w:ind w:left="0" w:right="0" w:firstLine="0"/>
                      <w:jc w:val="left"/>
                      <w:rPr>
                        <w:rFonts w:ascii="宋体" w:eastAsia="宋体"/>
                        <w:sz w:val="11"/>
                      </w:rPr>
                    </w:pPr>
                    <w:r>
                      <w:rPr>
                        <w:rFonts w:ascii="宋体" w:eastAsia="宋体"/>
                        <w:w w:val="105"/>
                        <w:sz w:val="11"/>
                        <w:u w:val="single"/>
                      </w:rPr>
                      <w:t>操</w:t>
                    </w:r>
                    <w:r>
                      <w:rPr>
                        <w:rFonts w:ascii="宋体" w:eastAsia="宋体"/>
                        <w:w w:val="105"/>
                        <w:sz w:val="11"/>
                        <w:u w:val="single"/>
                      </w:rPr>
                      <w:t>作</w:t>
                    </w:r>
                    <w:r>
                      <w:rPr>
                        <w:rFonts w:ascii="宋体" w:eastAsia="宋体"/>
                        <w:spacing w:val="-10"/>
                        <w:w w:val="105"/>
                        <w:sz w:val="11"/>
                        <w:u w:val="single"/>
                      </w:rPr>
                      <w:t>层</w:t>
                    </w:r>
                  </w:p>
                </w:txbxContent>
              </v:textbox>
            </v:shape>
            <v:shape id="_x0000_s1081" type="#_x0000_t202" style="width:442;height:142;left:4804;position:absolute;top:-5113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  <w:u w:val="single"/>
                      </w:rPr>
                      <w:t>拦腰杆</w:t>
                    </w:r>
                  </w:p>
                </w:txbxContent>
              </v:textbox>
            </v:shape>
            <v:shape id="_x0000_s1082" type="#_x0000_t202" style="width:585;height:769;left:4801;position:absolute;top:-4411" filled="f" stroked="f">
              <v:textbox inset="0,0,0,0">
                <w:txbxContent>
                  <w:p>
                    <w:pPr>
                      <w:spacing w:before="0" w:line="161" w:lineRule="exact"/>
                      <w:ind w:left="2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3"/>
                        <w:sz w:val="14"/>
                      </w:rPr>
                      <w:t>安全兜网</w:t>
                    </w:r>
                  </w:p>
                  <w:p>
                    <w:pPr>
                      <w:spacing w:before="0" w:line="326" w:lineRule="exact"/>
                      <w:ind w:left="0" w:right="148" w:firstLine="12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连墙杆</w:t>
                    </w: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安全网</w:t>
                    </w:r>
                  </w:p>
                </w:txbxContent>
              </v:textbox>
            </v:shape>
            <v:shape id="_x0000_s1083" type="#_x0000_t202" style="width:196;height:118;left:3381;position:absolute;top:-1844" filled="f" stroked="f">
              <v:textbox inset="0,0,0,0">
                <w:txbxContent>
                  <w:p>
                    <w:pPr>
                      <w:spacing w:before="0" w:line="118" w:lineRule="exact"/>
                      <w:ind w:left="0" w:right="0" w:firstLine="0"/>
                      <w:jc w:val="left"/>
                      <w:rPr>
                        <w:rFonts w:ascii="宋体"/>
                        <w:sz w:val="11"/>
                      </w:rPr>
                    </w:pPr>
                    <w:r>
                      <w:rPr>
                        <w:rFonts w:ascii="宋体"/>
                        <w:spacing w:val="-5"/>
                        <w:w w:val="105"/>
                        <w:sz w:val="11"/>
                      </w:rPr>
                      <w:t>300</w:t>
                    </w:r>
                  </w:p>
                </w:txbxContent>
              </v:textbox>
            </v:shape>
            <v:shape id="_x0000_s1084" type="#_x0000_t202" style="width:492;height:477;left:4835;position:absolute;top:-1778" filled="f" stroked="f">
              <v:textbox inset="0,0,0,0">
                <w:txbxContent>
                  <w:p>
                    <w:pPr>
                      <w:spacing w:before="0" w:line="16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立杆</w:t>
                    </w:r>
                  </w:p>
                  <w:p>
                    <w:pPr>
                      <w:spacing w:before="2" w:line="240" w:lineRule="auto"/>
                      <w:rPr>
                        <w:rFonts w:ascii="宋体"/>
                        <w:sz w:val="12"/>
                      </w:rPr>
                    </w:pPr>
                  </w:p>
                  <w:p>
                    <w:pPr>
                      <w:spacing w:before="0" w:line="160" w:lineRule="exact"/>
                      <w:ind w:left="49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安全网</w:t>
                    </w:r>
                  </w:p>
                </w:txbxContent>
              </v:textbox>
            </v:shape>
            <v:shape id="_x0000_s1085" type="#_x0000_t202" style="width:442;height:142;left:4882;position:absolute;top:-883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扫地杆</w:t>
                    </w:r>
                  </w:p>
                </w:txbxContent>
              </v:textbox>
            </v:shape>
            <v:shape id="_x0000_s1086" type="#_x0000_t202" style="width:447;height:371;left:3789;position:absolute;top:-477" filled="f" stroked="f">
              <v:textbox inset="0,0,0,0">
                <w:txbxContent>
                  <w:p>
                    <w:pPr>
                      <w:spacing w:before="0" w:line="16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垫木</w:t>
                    </w:r>
                  </w:p>
                  <w:p>
                    <w:pPr>
                      <w:spacing w:before="83" w:line="127" w:lineRule="exact"/>
                      <w:ind w:left="191" w:right="0" w:firstLine="0"/>
                      <w:jc w:val="left"/>
                      <w:rPr>
                        <w:rFonts w:ascii="宋体"/>
                        <w:sz w:val="11"/>
                      </w:rPr>
                    </w:pPr>
                    <w:r>
                      <w:rPr>
                        <w:rFonts w:ascii="宋体"/>
                        <w:spacing w:val="-4"/>
                        <w:w w:val="105"/>
                        <w:sz w:val="11"/>
                      </w:rPr>
                      <w:t>1200</w:t>
                    </w:r>
                  </w:p>
                </w:txbxContent>
              </v:textbox>
            </v:shape>
          </v:group>
        </w:pict>
      </w:r>
      <w:r>
        <w:pict>
          <v:group id="_x0000_s1087" style="width:212pt;height:283.75pt;margin-top:-286.91pt;margin-left:293.91pt;mso-position-horizontal-relative:page;position:absolute;z-index:251664384" coordorigin="5878,-5738" coordsize="4240,5675">
            <v:shape id="_x0000_s1088" type="#_x0000_t75" style="width:2;height:106;left:7978;position:absolute;top:-1977" stroked="f">
              <v:imagedata r:id="rId27" o:title=""/>
            </v:shape>
            <v:shape id="_x0000_s1089" type="#_x0000_t75" style="width:1986;height:3868;left:7139;position:absolute;top:-5739" stroked="f">
              <v:imagedata r:id="rId28" o:title=""/>
            </v:shape>
            <v:shape id="_x0000_s1090" type="#_x0000_t75" style="width:4240;height:1831;left:5878;position:absolute;top:-1894" stroked="f">
              <v:imagedata r:id="rId29" o:title=""/>
            </v:shape>
            <v:shape id="_x0000_s1091" type="#_x0000_t202" style="width:301;height:142;left:8177;position:absolute;top:-5631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横杆</w:t>
                    </w:r>
                  </w:p>
                </w:txbxContent>
              </v:textbox>
            </v:shape>
            <v:shape id="_x0000_s1092" type="#_x0000_t202" style="width:442;height:142;left:8064;position:absolute;top:-4651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挡脚板</w:t>
                    </w:r>
                  </w:p>
                </w:txbxContent>
              </v:textbox>
            </v:shape>
            <v:shape id="_x0000_s1093" type="#_x0000_t202" style="width:442;height:142;left:7620;position:absolute;top:-4471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</w:rPr>
                      <w:t>脚手板</w:t>
                    </w:r>
                  </w:p>
                </w:txbxContent>
              </v:textbox>
            </v:shape>
            <v:shape id="_x0000_s1094" type="#_x0000_t202" style="width:301;height:142;left:6595;position:absolute;top:-1718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横杆</w:t>
                    </w:r>
                  </w:p>
                </w:txbxContent>
              </v:textbox>
            </v:shape>
            <v:shape id="_x0000_s1095" type="#_x0000_t202" style="width:301;height:142;left:7914;position:absolute;top:-710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5"/>
                        <w:sz w:val="14"/>
                      </w:rPr>
                      <w:t>立杆</w:t>
                    </w:r>
                  </w:p>
                </w:txbxContent>
              </v:textbox>
            </v:shape>
            <v:shape id="_x0000_s1096" type="#_x0000_t202" style="width:301;height:142;left:8711;position:absolute;top:-271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/>
                        <w:sz w:val="14"/>
                      </w:rPr>
                    </w:pPr>
                    <w:r>
                      <w:rPr>
                        <w:rFonts w:ascii="宋体"/>
                        <w:spacing w:val="-4"/>
                        <w:sz w:val="14"/>
                      </w:rPr>
                      <w:t>1200</w:t>
                    </w:r>
                  </w:p>
                </w:txbxContent>
              </v:textbox>
            </v:shape>
            <v:shape id="_x0000_s1097" type="#_x0000_t202" style="width:442;height:142;left:7731;position:absolute;top:-3196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4"/>
                        <w:sz w:val="14"/>
                        <w:u w:val="single"/>
                      </w:rPr>
                      <w:t>安全网</w:t>
                    </w:r>
                  </w:p>
                </w:txbxContent>
              </v:textbox>
            </v:shape>
            <v:shape id="_x0000_s1098" type="#_x0000_t202" style="width:582;height:142;left:7582;position:absolute;top:-3799" filled="f" stroked="f">
              <v:textbox inset="0,0,0,0">
                <w:txbxContent>
                  <w:p>
                    <w:pPr>
                      <w:spacing w:before="0" w:line="141" w:lineRule="exact"/>
                      <w:ind w:left="0" w:right="0" w:firstLine="0"/>
                      <w:jc w:val="left"/>
                      <w:rPr>
                        <w:rFonts w:ascii="宋体" w:eastAsia="宋体"/>
                        <w:sz w:val="14"/>
                      </w:rPr>
                    </w:pPr>
                    <w:r>
                      <w:rPr>
                        <w:rFonts w:ascii="宋体" w:eastAsia="宋体"/>
                        <w:spacing w:val="-3"/>
                        <w:sz w:val="14"/>
                      </w:rPr>
                      <w:t>安全兜网</w:t>
                    </w:r>
                  </w:p>
                </w:txbxContent>
              </v:textbox>
            </v:shape>
          </v:group>
        </w:pict>
      </w:r>
      <w:r>
        <w:pict>
          <v:shape id="_x0000_s1099" type="#_x0000_t202" style="width:9.05pt;height:12.6pt;margin-top:-25.89pt;margin-left:232.47pt;mso-position-horizontal-relative:page;position:absolute;z-index:251665408" filled="f" stroked="f">
            <v:textbox style="layout-flow:vertical;mso-layout-flow-alt:bottom-to-top" inset="0,0,0,0">
              <w:txbxContent>
                <w:p>
                  <w:pPr>
                    <w:spacing w:before="1"/>
                    <w:ind w:left="20" w:right="0" w:firstLine="0"/>
                    <w:jc w:val="left"/>
                    <w:rPr>
                      <w:rFonts w:ascii="宋体"/>
                      <w:sz w:val="14"/>
                    </w:rPr>
                  </w:pPr>
                  <w:r>
                    <w:rPr>
                      <w:rFonts w:ascii="宋体"/>
                      <w:spacing w:val="-5"/>
                      <w:sz w:val="14"/>
                    </w:rPr>
                    <w:t>300</w:t>
                  </w:r>
                </w:p>
              </w:txbxContent>
            </v:textbox>
          </v:shape>
        </w:pict>
      </w:r>
      <w:r>
        <w:pict>
          <v:shape id="_x0000_s1100" type="#_x0000_t202" style="width:9.05pt;height:12.6pt;margin-top:-83.62pt;margin-left:452.1pt;mso-position-horizontal-relative:page;position:absolute;z-index:251667456" filled="f" stroked="f">
            <v:textbox style="layout-flow:vertical;mso-layout-flow-alt:bottom-to-top" inset="0,0,0,0">
              <w:txbxContent>
                <w:p>
                  <w:pPr>
                    <w:spacing w:before="1"/>
                    <w:ind w:left="20" w:right="0" w:firstLine="0"/>
                    <w:jc w:val="left"/>
                    <w:rPr>
                      <w:rFonts w:ascii="宋体"/>
                      <w:sz w:val="14"/>
                    </w:rPr>
                  </w:pPr>
                  <w:r>
                    <w:rPr>
                      <w:rFonts w:ascii="宋体"/>
                      <w:spacing w:val="-5"/>
                      <w:sz w:val="14"/>
                    </w:rPr>
                    <w:t>120</w:t>
                  </w:r>
                </w:p>
              </w:txbxContent>
            </v:textbox>
          </v:shape>
        </w:pict>
      </w:r>
      <w:r>
        <w:pict>
          <v:shape id="_x0000_s1101" type="#_x0000_t202" style="width:9.05pt;height:16.15pt;margin-top:-55.18pt;margin-left:497.07pt;mso-position-horizontal-relative:page;position:absolute;z-index:251668480" filled="f" stroked="f">
            <v:textbox style="layout-flow:vertical;mso-layout-flow-alt:bottom-to-top" inset="0,0,0,0">
              <w:txbxContent>
                <w:p>
                  <w:pPr>
                    <w:spacing w:before="1"/>
                    <w:ind w:left="20" w:right="0" w:firstLine="0"/>
                    <w:jc w:val="left"/>
                    <w:rPr>
                      <w:rFonts w:ascii="宋体"/>
                      <w:sz w:val="14"/>
                    </w:rPr>
                  </w:pPr>
                  <w:r>
                    <w:rPr>
                      <w:rFonts w:ascii="宋体"/>
                      <w:spacing w:val="-4"/>
                      <w:sz w:val="14"/>
                    </w:rPr>
                    <w:t>1200</w:t>
                  </w:r>
                </w:p>
              </w:txbxContent>
            </v:textbox>
          </v:shape>
        </w:pict>
      </w:r>
      <w:r>
        <w:rPr>
          <w:spacing w:val="-2"/>
        </w:rPr>
        <w:t>⑶、操作要点：</w:t>
      </w:r>
    </w:p>
    <w:p>
      <w:pPr>
        <w:pStyle w:val="ListParagraph"/>
        <w:numPr>
          <w:ilvl w:val="1"/>
          <w:numId w:val="15"/>
        </w:numPr>
        <w:tabs>
          <w:tab w:val="left" w:pos="601"/>
        </w:tabs>
        <w:spacing w:before="160" w:after="0" w:line="364" w:lineRule="auto"/>
        <w:ind w:left="120" w:right="345" w:firstLine="120"/>
        <w:jc w:val="left"/>
        <w:rPr>
          <w:sz w:val="24"/>
        </w:rPr>
      </w:pPr>
      <w:r>
        <w:rPr>
          <w:spacing w:val="-2"/>
          <w:sz w:val="24"/>
        </w:rPr>
        <w:t>、立杆底部必须清理整平，并夯实，严禁基底为松土。边坡位置上方立杆</w:t>
      </w:r>
      <w:r>
        <w:rPr>
          <w:spacing w:val="-2"/>
          <w:sz w:val="24"/>
        </w:rPr>
        <w:t>时必须凿出平面，然后铺设垫木。</w:t>
      </w:r>
    </w:p>
    <w:p>
      <w:pPr>
        <w:pStyle w:val="ListParagraph"/>
        <w:numPr>
          <w:ilvl w:val="1"/>
          <w:numId w:val="15"/>
        </w:numPr>
        <w:tabs>
          <w:tab w:val="left" w:pos="601"/>
        </w:tabs>
        <w:spacing w:before="2" w:after="0" w:line="240" w:lineRule="auto"/>
        <w:ind w:left="601" w:right="0" w:hanging="361"/>
        <w:jc w:val="left"/>
        <w:rPr>
          <w:sz w:val="24"/>
        </w:rPr>
      </w:pPr>
      <w:r>
        <w:rPr>
          <w:spacing w:val="-10"/>
          <w:sz w:val="24"/>
        </w:rPr>
        <w:t xml:space="preserve">、垫木采用 </w:t>
      </w:r>
      <w:r>
        <w:rPr>
          <w:sz w:val="24"/>
        </w:rPr>
        <w:t>0.3m×4m</w:t>
      </w:r>
      <w:r>
        <w:rPr>
          <w:spacing w:val="-9"/>
          <w:sz w:val="24"/>
        </w:rPr>
        <w:t xml:space="preserve"> 木跳板通长设置。</w:t>
      </w:r>
    </w:p>
    <w:p>
      <w:pPr>
        <w:pStyle w:val="ListParagraph"/>
        <w:numPr>
          <w:ilvl w:val="1"/>
          <w:numId w:val="15"/>
        </w:numPr>
        <w:tabs>
          <w:tab w:val="left" w:pos="601"/>
        </w:tabs>
        <w:spacing w:before="160" w:after="0" w:line="364" w:lineRule="auto"/>
        <w:ind w:left="120" w:right="345" w:firstLine="120"/>
        <w:jc w:val="left"/>
        <w:rPr>
          <w:sz w:val="24"/>
        </w:rPr>
      </w:pPr>
      <w:r>
        <w:rPr>
          <w:spacing w:val="-2"/>
          <w:sz w:val="24"/>
        </w:rPr>
        <w:t>、立杆下端必须紧贴垫木，禁止悬空，立杆搭设必须竖直，并确保同一排</w:t>
      </w:r>
      <w:r>
        <w:rPr>
          <w:spacing w:val="-2"/>
          <w:sz w:val="24"/>
        </w:rPr>
        <w:t>立杆处于同一平面。</w:t>
      </w:r>
    </w:p>
    <w:p>
      <w:pPr>
        <w:pStyle w:val="ListParagraph"/>
        <w:numPr>
          <w:ilvl w:val="1"/>
          <w:numId w:val="15"/>
        </w:numPr>
        <w:tabs>
          <w:tab w:val="left" w:pos="601"/>
        </w:tabs>
        <w:spacing w:before="1" w:after="0" w:line="240" w:lineRule="auto"/>
        <w:ind w:left="601" w:right="0" w:hanging="361"/>
        <w:jc w:val="left"/>
        <w:rPr>
          <w:sz w:val="24"/>
        </w:rPr>
      </w:pPr>
      <w:r>
        <w:rPr>
          <w:spacing w:val="-4"/>
          <w:sz w:val="24"/>
        </w:rPr>
        <w:t xml:space="preserve">、立杆间距如下：第一排立杆距离建筑物 </w:t>
      </w:r>
      <w:r>
        <w:rPr>
          <w:sz w:val="24"/>
        </w:rPr>
        <w:t>0.3m，</w:t>
      </w:r>
      <w:r>
        <w:rPr>
          <w:spacing w:val="-1"/>
          <w:sz w:val="24"/>
        </w:rPr>
        <w:t>第二排立杆距离第一排</w:t>
      </w:r>
    </w:p>
    <w:p>
      <w:pPr>
        <w:pStyle w:val="BodyText"/>
        <w:spacing w:before="161" w:line="364" w:lineRule="auto"/>
        <w:ind w:right="345"/>
      </w:pPr>
      <w:r>
        <w:rPr>
          <w:spacing w:val="-2"/>
        </w:rPr>
        <w:t>0.9m，</w:t>
      </w:r>
      <w:r>
        <w:rPr>
          <w:spacing w:val="-8"/>
        </w:rPr>
        <w:t xml:space="preserve">立杆平距为 </w:t>
      </w:r>
      <w:r>
        <w:rPr>
          <w:spacing w:val="-2"/>
        </w:rPr>
        <w:t>1.2m，</w:t>
      </w:r>
      <w:r>
        <w:rPr>
          <w:spacing w:val="-11"/>
        </w:rPr>
        <w:t xml:space="preserve">步距为 </w:t>
      </w:r>
      <w:r>
        <w:rPr>
          <w:spacing w:val="-2"/>
        </w:rPr>
        <w:t>1.2m。立杆竖向接头采用对接接头，接头位置</w:t>
      </w:r>
      <w:r>
        <w:rPr>
          <w:spacing w:val="-14"/>
        </w:rPr>
        <w:t xml:space="preserve">错开 </w:t>
      </w:r>
      <w:r>
        <w:t>50%。</w:t>
      </w:r>
    </w:p>
    <w:p>
      <w:pPr>
        <w:pStyle w:val="ListParagraph"/>
        <w:numPr>
          <w:ilvl w:val="1"/>
          <w:numId w:val="15"/>
        </w:numPr>
        <w:tabs>
          <w:tab w:val="left" w:pos="601"/>
        </w:tabs>
        <w:spacing w:before="1" w:after="0" w:line="364" w:lineRule="auto"/>
        <w:ind w:left="120" w:right="345" w:firstLine="120"/>
        <w:jc w:val="both"/>
        <w:rPr>
          <w:sz w:val="24"/>
        </w:rPr>
      </w:pPr>
      <w:r>
        <w:rPr>
          <w:spacing w:val="-4"/>
          <w:sz w:val="24"/>
        </w:rPr>
        <w:t xml:space="preserve">、扫地杆距离地面高度 </w:t>
      </w:r>
      <w:r>
        <w:rPr>
          <w:spacing w:val="-2"/>
          <w:sz w:val="24"/>
        </w:rPr>
        <w:t>0.2m</w:t>
      </w:r>
      <w:r>
        <w:rPr>
          <w:spacing w:val="-9"/>
          <w:sz w:val="24"/>
        </w:rPr>
        <w:t xml:space="preserve"> 纵横设置，然后每隔 </w:t>
      </w:r>
      <w:r>
        <w:rPr>
          <w:spacing w:val="-2"/>
          <w:sz w:val="24"/>
        </w:rPr>
        <w:t>1.5m</w:t>
      </w:r>
      <w:r>
        <w:rPr>
          <w:spacing w:val="-7"/>
          <w:sz w:val="24"/>
        </w:rPr>
        <w:t xml:space="preserve"> 高度搭设一道纵向</w:t>
      </w:r>
      <w:r>
        <w:rPr>
          <w:spacing w:val="-2"/>
          <w:sz w:val="24"/>
        </w:rPr>
        <w:t>水平杆（大横杆</w:t>
      </w:r>
      <w:r>
        <w:rPr>
          <w:spacing w:val="-120"/>
          <w:sz w:val="24"/>
        </w:rPr>
        <w:t>）</w:t>
      </w:r>
      <w:r>
        <w:rPr>
          <w:spacing w:val="-2"/>
          <w:sz w:val="24"/>
        </w:rPr>
        <w:t>，操作面上外侧应增设一道水平大横杆。小横杆设置于大横杆</w:t>
      </w:r>
      <w:r>
        <w:rPr>
          <w:spacing w:val="-2"/>
          <w:sz w:val="24"/>
        </w:rPr>
        <w:t xml:space="preserve">上方，位于立杆和大横杆相交处，两侧伸出大横杆 </w:t>
      </w:r>
      <w:r>
        <w:rPr>
          <w:sz w:val="24"/>
        </w:rPr>
        <w:t>50，外侧伸出长短必须一致。 2、悬挑架的搭设</w:t>
      </w:r>
    </w:p>
    <w:p>
      <w:pPr>
        <w:spacing w:after="0" w:line="364" w:lineRule="auto"/>
        <w:jc w:val="both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https://d.book118.com/436132144225010100</w:t>
        </w:r>
      </w:hyperlink>
    </w:p>
    <w:p>
      <w:pPr>
        <w:spacing w:after="0" w:line="364" w:lineRule="auto"/>
        <w:jc w:val="both"/>
        <w:rPr>
          <w:sz w:val="24"/>
        </w:rPr>
      </w:pPr>
    </w:p>
    <w:sectPr>
      <w:footerReference w:type="default" r:id="rId31"/>
      <w:pgSz w:w="11910" w:h="16840"/>
      <w:pgMar w:top="1620" w:right="1480" w:bottom="1180" w:left="1680" w:header="0" w:footer="991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.5pt;height:12pt;margin-top:781.33pt;margin-left:499.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0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3pt;margin-left:493.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3pt;margin-left:493.3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3pt;margin-left:493.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3pt;margin-left:493.3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3pt;margin-left:493.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3pt;margin-left:493.3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3pt;margin-left:493.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3pt;margin-left:493.3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3pt;margin-left:493.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3pt;margin-left:493.3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3pt;margin-left:493.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74A280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5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2" w:hanging="361"/>
      </w:pPr>
      <w:rPr>
        <w:rFonts w:hint="default"/>
        <w:lang w:val="en-US" w:eastAsia="zh-CN" w:bidi="ar-SA"/>
      </w:rPr>
    </w:lvl>
  </w:abstractNum>
  <w:abstractNum w:abstractNumId="1">
    <w:nsid w:val="1A18DD5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2">
    <w:nsid w:val="2029D8D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3">
    <w:nsid w:val="2830320A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5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2" w:hanging="361"/>
      </w:pPr>
      <w:rPr>
        <w:rFonts w:hint="default"/>
        <w:lang w:val="en-US" w:eastAsia="zh-CN" w:bidi="ar-SA"/>
      </w:rPr>
    </w:lvl>
  </w:abstractNum>
  <w:abstractNum w:abstractNumId="4">
    <w:nsid w:val="32E5AF21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5">
    <w:nsid w:val="3546CEA8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5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2" w:hanging="361"/>
      </w:pPr>
      <w:rPr>
        <w:rFonts w:hint="default"/>
        <w:lang w:val="en-US" w:eastAsia="zh-CN" w:bidi="ar-SA"/>
      </w:rPr>
    </w:lvl>
  </w:abstractNum>
  <w:abstractNum w:abstractNumId="6">
    <w:nsid w:val="37B63D75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7">
    <w:nsid w:val="479AD6EB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8">
    <w:nsid w:val="523F187A"/>
    <w:multiLevelType w:val="hybridMultilevel"/>
    <w:tmpl w:val="00000000"/>
    <w:lvl w:ilvl="0">
      <w:start w:val="1"/>
      <w:numFmt w:val="decimal"/>
      <w:lvlText w:val="（%1）"/>
      <w:lvlJc w:val="left"/>
      <w:pPr>
        <w:ind w:left="721" w:hanging="6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22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25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27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35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38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601"/>
      </w:pPr>
      <w:rPr>
        <w:rFonts w:hint="default"/>
        <w:lang w:val="en-US" w:eastAsia="zh-CN" w:bidi="ar-SA"/>
      </w:rPr>
    </w:lvl>
  </w:abstractNum>
  <w:abstractNum w:abstractNumId="9">
    <w:nsid w:val="555CC1A1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5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2" w:hanging="361"/>
      </w:pPr>
      <w:rPr>
        <w:rFonts w:hint="default"/>
        <w:lang w:val="en-US" w:eastAsia="zh-CN" w:bidi="ar-SA"/>
      </w:rPr>
    </w:lvl>
  </w:abstractNum>
  <w:abstractNum w:abstractNumId="10">
    <w:nsid w:val="56C35354"/>
    <w:multiLevelType w:val="hybridMultilevel"/>
    <w:tmpl w:val="00000000"/>
    <w:lvl w:ilvl="0">
      <w:start w:val="3"/>
      <w:numFmt w:val="decimal"/>
      <w:lvlText w:val="%1"/>
      <w:lvlJc w:val="left"/>
      <w:pPr>
        <w:ind w:left="482" w:hanging="363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482" w:hanging="363"/>
        <w:jc w:val="left"/>
      </w:pPr>
      <w:rPr>
        <w:rFonts w:hint="default"/>
        <w:w w:val="83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721" w:hanging="6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00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20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41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262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383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504" w:hanging="601"/>
      </w:pPr>
      <w:rPr>
        <w:rFonts w:hint="default"/>
        <w:lang w:val="en-US" w:eastAsia="zh-CN" w:bidi="ar-SA"/>
      </w:rPr>
    </w:lvl>
  </w:abstractNum>
  <w:abstractNum w:abstractNumId="11">
    <w:nsid w:val="66E114DA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0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7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zh-CN" w:bidi="ar-SA"/>
      </w:rPr>
    </w:lvl>
  </w:abstractNum>
  <w:abstractNum w:abstractNumId="12">
    <w:nsid w:val="6F9197D3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6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33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59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1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39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6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92" w:hanging="361"/>
      </w:pPr>
      <w:rPr>
        <w:rFonts w:hint="default"/>
        <w:lang w:val="en-US" w:eastAsia="zh-CN" w:bidi="ar-SA"/>
      </w:rPr>
    </w:lvl>
  </w:abstractNum>
  <w:abstractNum w:abstractNumId="13">
    <w:nsid w:val="7421CB3E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2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98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16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35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5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072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9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09" w:hanging="361"/>
      </w:pPr>
      <w:rPr>
        <w:rFonts w:hint="default"/>
        <w:lang w:val="en-US" w:eastAsia="zh-CN" w:bidi="ar-SA"/>
      </w:rPr>
    </w:lvl>
  </w:abstractNum>
  <w:abstractNum w:abstractNumId="14">
    <w:nsid w:val="7F8E601F"/>
    <w:multiLevelType w:val="hybridMultilevel"/>
    <w:tmpl w:val="00000000"/>
    <w:lvl w:ilvl="0">
      <w:start w:val="1"/>
      <w:numFmt w:val="decimal"/>
      <w:lvlText w:val="(%1)"/>
      <w:lvlJc w:val="left"/>
      <w:pPr>
        <w:ind w:left="481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2）"/>
      <w:lvlJc w:val="left"/>
      <w:pPr>
        <w:ind w:left="120" w:hanging="36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2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398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16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35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5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072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990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09" w:hanging="361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9"/>
  </w:num>
  <w:num w:numId="5">
    <w:abstractNumId w:val="5"/>
  </w:num>
  <w:num w:numId="6">
    <w:abstractNumId w:val="0"/>
  </w:num>
  <w:num w:numId="7">
    <w:abstractNumId w:val="13"/>
  </w:num>
  <w:num w:numId="8">
    <w:abstractNumId w:val="1"/>
  </w:num>
  <w:num w:numId="9">
    <w:abstractNumId w:val="7"/>
  </w:num>
  <w:num w:numId="10">
    <w:abstractNumId w:val="6"/>
  </w:num>
  <w:num w:numId="11">
    <w:abstractNumId w:val="3"/>
  </w:num>
  <w:num w:numId="12">
    <w:abstractNumId w:val="12"/>
  </w:num>
  <w:num w:numId="13">
    <w:abstractNumId w:val="4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482" w:hanging="363"/>
      <w:outlineLvl w:val="0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60"/>
      <w:ind w:left="120"/>
    </w:pPr>
    <w:rPr>
      <w:rFonts w:ascii="仿宋" w:eastAsia="仿宋" w:hAnsi="仿宋" w:cs="仿宋"/>
      <w:sz w:val="24"/>
      <w:szCs w:val="24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160"/>
      <w:ind w:left="240"/>
    </w:pPr>
    <w:rPr>
      <w:rFonts w:ascii="仿宋" w:eastAsia="仿宋" w:hAnsi="仿宋" w:cs="仿宋"/>
      <w:sz w:val="24"/>
      <w:szCs w:val="24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ind w:right="200"/>
      <w:jc w:val="center"/>
    </w:pPr>
    <w:rPr>
      <w:rFonts w:ascii="Microsoft JhengHei" w:eastAsia="Microsoft JhengHei" w:hAnsi="Microsoft JhengHei" w:cs="Microsoft JhengHei"/>
      <w:b/>
      <w:bCs/>
      <w:sz w:val="56"/>
      <w:szCs w:val="5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1"/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image" Target="media/image6.jpeg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image" Target="media/image7.jpeg" /><Relationship Id="rId17" Type="http://schemas.openxmlformats.org/officeDocument/2006/relationships/footer" Target="footer7.xml" /><Relationship Id="rId18" Type="http://schemas.openxmlformats.org/officeDocument/2006/relationships/image" Target="media/image8.jpeg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footer" Target="footer9.xml" /><Relationship Id="rId22" Type="http://schemas.openxmlformats.org/officeDocument/2006/relationships/image" Target="media/image10.jpeg" /><Relationship Id="rId23" Type="http://schemas.openxmlformats.org/officeDocument/2006/relationships/footer" Target="footer10.xml" /><Relationship Id="rId24" Type="http://schemas.openxmlformats.org/officeDocument/2006/relationships/image" Target="media/image11.jpeg" /><Relationship Id="rId25" Type="http://schemas.openxmlformats.org/officeDocument/2006/relationships/footer" Target="footer11.xml" /><Relationship Id="rId26" Type="http://schemas.openxmlformats.org/officeDocument/2006/relationships/image" Target="media/image12.png" /><Relationship Id="rId27" Type="http://schemas.openxmlformats.org/officeDocument/2006/relationships/image" Target="media/image13.png" /><Relationship Id="rId28" Type="http://schemas.openxmlformats.org/officeDocument/2006/relationships/image" Target="media/image14.png" /><Relationship Id="rId29" Type="http://schemas.openxmlformats.org/officeDocument/2006/relationships/image" Target="media/image15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436132144225010100" TargetMode="External" /><Relationship Id="rId31" Type="http://schemas.openxmlformats.org/officeDocument/2006/relationships/footer" Target="footer12.xm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2024-03-04T12:51:25Z</dcterms:created>
  <dcterms:modified xsi:type="dcterms:W3CDTF">2024-03-04T12:51:25Z</dcterms:modified>
</cp:coreProperties>
</file>