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球墨铸铁件行业商业计划书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5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4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_Toc18843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_Toc6670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4" w:history="1">
        <w:r>
          <w:rPr>
            <w:rFonts w:ascii="仿宋" w:eastAsia="仿宋" w:hAnsi="仿宋" w:cs="仿宋" w:hint="eastAsia"/>
            <w:lang w:eastAsia="zh-CN"/>
          </w:rPr>
          <w:t>二、建设规划分析</w:t>
        </w:r>
        <w:r>
          <w:tab/>
        </w:r>
        <w:r>
          <w:fldChar w:fldCharType="begin"/>
        </w:r>
        <w:r>
          <w:instrText xml:space="preserve"> PAGEREF _Toc8674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_Toc28918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_Toc5606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7" w:history="1">
        <w:r>
          <w:rPr>
            <w:rFonts w:ascii="仿宋" w:eastAsia="仿宋" w:hAnsi="仿宋" w:cs="仿宋" w:hint="eastAsia"/>
            <w:lang w:eastAsia="zh-CN"/>
          </w:rPr>
          <w:t>三、球墨铸铁件项目工程方案分析</w:t>
        </w:r>
        <w:r>
          <w:tab/>
        </w:r>
        <w:r>
          <w:fldChar w:fldCharType="begin"/>
        </w:r>
        <w:r>
          <w:instrText xml:space="preserve"> PAGEREF _Toc25727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0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_Toc29660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四、员工培训与绩效提升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5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_Toc19555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3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_Toc12583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1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_Toc4101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8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_Toc6298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6" w:history="1">
        <w:r>
          <w:rPr>
            <w:rFonts w:ascii="仿宋" w:eastAsia="仿宋" w:hAnsi="仿宋" w:cs="仿宋" w:hint="eastAsia"/>
            <w:lang w:eastAsia="zh-CN"/>
          </w:rPr>
          <w:t>五、球墨铸铁件生产控制的概念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5" w:history="1">
        <w:r>
          <w:rPr>
            <w:rFonts w:ascii="仿宋" w:eastAsia="仿宋" w:hAnsi="仿宋" w:cs="仿宋" w:hint="eastAsia"/>
            <w:lang w:eastAsia="zh-CN"/>
          </w:rPr>
          <w:t>(一)、球墨铸铁件生产控制的概念</w:t>
        </w:r>
        <w:r>
          <w:tab/>
        </w:r>
        <w:r>
          <w:fldChar w:fldCharType="begin"/>
        </w:r>
        <w:r>
          <w:instrText xml:space="preserve"> PAGEREF _Toc27205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3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_Toc14263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_Toc8602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七、第七章员工培训与发展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3" w:history="1">
        <w:r>
          <w:rPr>
            <w:rFonts w:ascii="仿宋" w:eastAsia="仿宋" w:hAnsi="仿宋" w:cs="仿宋" w:hint="eastAsia"/>
            <w:lang w:eastAsia="zh-CN"/>
          </w:rPr>
          <w:t>(三)、培训实施与评估</w:t>
        </w:r>
        <w:r>
          <w:tab/>
        </w:r>
        <w:r>
          <w:fldChar w:fldCharType="begin"/>
        </w:r>
        <w:r>
          <w:instrText xml:space="preserve"> PAGEREF _Toc7293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2" w:history="1">
        <w:r>
          <w:rPr>
            <w:rFonts w:ascii="仿宋" w:eastAsia="仿宋" w:hAnsi="仿宋" w:cs="仿宋" w:hint="eastAsia"/>
            <w:lang w:eastAsia="zh-CN"/>
          </w:rPr>
          <w:t>(四)、持续学习与专业发展支持</w:t>
        </w:r>
        <w:r>
          <w:tab/>
        </w:r>
        <w:r>
          <w:fldChar w:fldCharType="begin"/>
        </w:r>
        <w:r>
          <w:instrText xml:space="preserve"> PAGEREF _Toc7032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24" w:history="1">
        <w:r>
          <w:rPr>
            <w:rFonts w:ascii="仿宋" w:eastAsia="仿宋" w:hAnsi="仿宋" w:cs="仿宋" w:hint="eastAsia"/>
            <w:lang w:eastAsia="zh-CN"/>
          </w:rPr>
          <w:t>八、建设期限和进度安排</w:t>
        </w:r>
        <w:r>
          <w:tab/>
        </w:r>
        <w:r>
          <w:fldChar w:fldCharType="begin"/>
        </w:r>
        <w:r>
          <w:instrText xml:space="preserve"> PAGEREF _Toc26024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4" w:history="1">
        <w:r>
          <w:rPr>
            <w:rFonts w:ascii="仿宋" w:eastAsia="仿宋" w:hAnsi="仿宋" w:cs="仿宋" w:hint="eastAsia"/>
            <w:lang w:eastAsia="zh-CN"/>
          </w:rPr>
          <w:t>(一)、球墨铸铁件项目实施预备阶段</w:t>
        </w:r>
        <w:r>
          <w:tab/>
        </w:r>
        <w:r>
          <w:fldChar w:fldCharType="begin"/>
        </w:r>
        <w:r>
          <w:instrText xml:space="preserve"> PAGEREF _Toc11424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0" w:history="1">
        <w:r>
          <w:rPr>
            <w:rFonts w:ascii="仿宋" w:eastAsia="仿宋" w:hAnsi="仿宋" w:cs="仿宋" w:hint="eastAsia"/>
            <w:lang w:eastAsia="zh-CN"/>
          </w:rPr>
          <w:t>(二)、球墨铸铁件项目实施进度安排</w:t>
        </w:r>
        <w:r>
          <w:tab/>
        </w:r>
        <w:r>
          <w:fldChar w:fldCharType="begin"/>
        </w:r>
        <w:r>
          <w:instrText xml:space="preserve"> PAGEREF _Toc13900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83" w:history="1">
        <w:r>
          <w:rPr>
            <w:rFonts w:ascii="仿宋" w:eastAsia="仿宋" w:hAnsi="仿宋" w:cs="仿宋" w:hint="eastAsia"/>
            <w:lang w:eastAsia="zh-CN"/>
          </w:rPr>
          <w:t>九、环境风险评估</w:t>
        </w:r>
        <w:r>
          <w:tab/>
        </w:r>
        <w:r>
          <w:fldChar w:fldCharType="begin"/>
        </w:r>
        <w:r>
          <w:instrText xml:space="preserve"> PAGEREF _Toc20483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8" w:history="1">
        <w:r>
          <w:rPr>
            <w:rFonts w:ascii="仿宋" w:eastAsia="仿宋" w:hAnsi="仿宋" w:cs="仿宋" w:hint="eastAsia"/>
            <w:lang w:eastAsia="zh-CN"/>
          </w:rPr>
          <w:t>(一)、环境风险评估概述</w:t>
        </w:r>
        <w:r>
          <w:tab/>
        </w:r>
        <w:r>
          <w:fldChar w:fldCharType="begin"/>
        </w:r>
        <w:r>
          <w:instrText xml:space="preserve"> PAGEREF _Toc10078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7" w:history="1">
        <w:r>
          <w:rPr>
            <w:rFonts w:ascii="仿宋" w:eastAsia="仿宋" w:hAnsi="仿宋" w:cs="仿宋" w:hint="eastAsia"/>
            <w:lang w:eastAsia="zh-CN"/>
          </w:rPr>
          <w:t>(二)、评价球墨铸铁件项目风险分析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5" w:history="1">
        <w:r>
          <w:rPr>
            <w:rFonts w:ascii="仿宋" w:eastAsia="仿宋" w:hAnsi="仿宋" w:cs="仿宋" w:hint="eastAsia"/>
            <w:lang w:eastAsia="zh-CN"/>
          </w:rPr>
          <w:t>(三)、风险应急预案</w:t>
        </w:r>
        <w:r>
          <w:tab/>
        </w:r>
        <w:r>
          <w:fldChar w:fldCharType="begin"/>
        </w:r>
        <w:r>
          <w:instrText xml:space="preserve"> PAGEREF _Toc26505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35" w:history="1">
        <w:r>
          <w:rPr>
            <w:rFonts w:ascii="仿宋" w:eastAsia="仿宋" w:hAnsi="仿宋" w:cs="仿宋" w:hint="eastAsia"/>
            <w:lang w:eastAsia="zh-CN"/>
          </w:rPr>
          <w:t>十、市场趋势与消费者洞察</w:t>
        </w:r>
        <w:r>
          <w:tab/>
        </w:r>
        <w:r>
          <w:fldChar w:fldCharType="begin"/>
        </w:r>
        <w:r>
          <w:instrText xml:space="preserve"> PAGEREF _Toc9435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1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_Toc7241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8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_Toc21068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6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_Toc5006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eastAsia="zh-CN"/>
          </w:rPr>
          <w:t>十一、项目运营与管理</w:t>
        </w:r>
        <w:r>
          <w:tab/>
        </w:r>
        <w:r>
          <w:fldChar w:fldCharType="begin"/>
        </w:r>
        <w:r>
          <w:instrText xml:space="preserve"> PAGEREF _Toc3226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8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_Toc30448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425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十二、球墨铸铁件项目概要与评估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8" w:history="1">
        <w:r>
          <w:rPr>
            <w:rFonts w:ascii="仿宋" w:eastAsia="仿宋" w:hAnsi="仿宋" w:cs="仿宋" w:hint="eastAsia"/>
            <w:lang w:eastAsia="zh-CN"/>
          </w:rPr>
          <w:t>(一)、球墨铸铁件项目主办方综述</w:t>
        </w:r>
        <w:r>
          <w:tab/>
        </w:r>
        <w:r>
          <w:fldChar w:fldCharType="begin"/>
        </w:r>
        <w:r>
          <w:instrText xml:space="preserve"> PAGEREF _Toc19058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5" w:history="1">
        <w:r>
          <w:rPr>
            <w:rFonts w:ascii="仿宋" w:eastAsia="仿宋" w:hAnsi="仿宋" w:cs="仿宋" w:hint="eastAsia"/>
            <w:lang w:eastAsia="zh-CN"/>
          </w:rPr>
          <w:t>(二)、球墨铸铁件项目整体情况概述</w:t>
        </w:r>
        <w:r>
          <w:tab/>
        </w:r>
        <w:r>
          <w:fldChar w:fldCharType="begin"/>
        </w:r>
        <w:r>
          <w:instrText xml:space="preserve"> PAGEREF _Toc24715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(三)、球墨铸铁件项目评估及展望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95" w:history="1">
        <w:r>
          <w:rPr>
            <w:rFonts w:ascii="仿宋" w:eastAsia="仿宋" w:hAnsi="仿宋" w:cs="仿宋" w:hint="eastAsia"/>
            <w:lang w:eastAsia="zh-CN"/>
          </w:rPr>
          <w:t>十三、球墨铸铁件项目风险分析</w:t>
        </w:r>
        <w:r>
          <w:tab/>
        </w:r>
        <w:r>
          <w:fldChar w:fldCharType="begin"/>
        </w:r>
        <w:r>
          <w:instrText xml:space="preserve"> PAGEREF _Toc11195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1" w:history="1">
        <w:r>
          <w:rPr>
            <w:rFonts w:ascii="仿宋" w:eastAsia="仿宋" w:hAnsi="仿宋" w:cs="仿宋" w:hint="eastAsia"/>
            <w:lang w:eastAsia="zh-CN"/>
          </w:rPr>
          <w:t>(二)、经济风险分析</w:t>
        </w:r>
        <w:r>
          <w:tab/>
        </w:r>
        <w:r>
          <w:fldChar w:fldCharType="begin"/>
        </w:r>
        <w:r>
          <w:instrText xml:space="preserve"> PAGEREF _Toc11811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1" w:history="1">
        <w:r>
          <w:rPr>
            <w:rFonts w:ascii="仿宋" w:eastAsia="仿宋" w:hAnsi="仿宋" w:cs="仿宋" w:hint="eastAsia"/>
            <w:lang w:eastAsia="zh-CN"/>
          </w:rPr>
          <w:t>(三)、环境风险分析</w:t>
        </w:r>
        <w:r>
          <w:tab/>
        </w:r>
        <w:r>
          <w:fldChar w:fldCharType="begin"/>
        </w:r>
        <w:r>
          <w:instrText xml:space="preserve"> PAGEREF _Toc18561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7" w:history="1">
        <w:r>
          <w:rPr>
            <w:rFonts w:ascii="仿宋" w:eastAsia="仿宋" w:hAnsi="仿宋" w:cs="仿宋" w:hint="eastAsia"/>
            <w:lang w:eastAsia="zh-CN"/>
          </w:rPr>
          <w:t>(四)、人才风险分析</w:t>
        </w:r>
        <w:r>
          <w:tab/>
        </w:r>
        <w:r>
          <w:fldChar w:fldCharType="begin"/>
        </w:r>
        <w:r>
          <w:instrText xml:space="preserve"> PAGEREF _Toc23097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eastAsia="zh-CN"/>
          </w:rPr>
          <w:t>(五)、社会责任风险分析</w:t>
        </w:r>
        <w:r>
          <w:tab/>
        </w:r>
        <w:r>
          <w:fldChar w:fldCharType="begin"/>
        </w:r>
        <w:r>
          <w:instrText xml:space="preserve"> PAGEREF _Toc30473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3" w:history="1">
        <w:r>
          <w:rPr>
            <w:rFonts w:ascii="仿宋" w:eastAsia="仿宋" w:hAnsi="仿宋" w:cs="仿宋" w:hint="eastAsia"/>
            <w:lang w:eastAsia="zh-CN"/>
          </w:rPr>
          <w:t>(六)、全球经济不确定性风险分析</w:t>
        </w:r>
        <w:r>
          <w:tab/>
        </w:r>
        <w:r>
          <w:fldChar w:fldCharType="begin"/>
        </w:r>
        <w:r>
          <w:instrText xml:space="preserve"> PAGEREF _Toc3423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4" w:history="1">
        <w:r>
          <w:rPr>
            <w:rFonts w:ascii="仿宋" w:eastAsia="仿宋" w:hAnsi="仿宋" w:cs="仿宋" w:hint="eastAsia"/>
            <w:lang w:eastAsia="zh-CN"/>
          </w:rPr>
          <w:t>(七)、供应链风险分析</w:t>
        </w:r>
        <w:r>
          <w:tab/>
        </w:r>
        <w:r>
          <w:fldChar w:fldCharType="begin"/>
        </w:r>
        <w:r>
          <w:instrText xml:space="preserve"> PAGEREF _Toc7164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(八)、网络安全风险分析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0" w:history="1">
        <w:r>
          <w:rPr>
            <w:rFonts w:ascii="仿宋" w:eastAsia="仿宋" w:hAnsi="仿宋" w:cs="仿宋" w:hint="eastAsia"/>
            <w:lang w:eastAsia="zh-CN"/>
          </w:rPr>
          <w:t>十四、网络分销渠道</w:t>
        </w:r>
        <w:r>
          <w:tab/>
        </w:r>
        <w:r>
          <w:fldChar w:fldCharType="begin"/>
        </w:r>
        <w:r>
          <w:instrText xml:space="preserve"> PAGEREF _Toc14990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9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_Toc13929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9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_Toc25169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_Toc1888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9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_Toc18509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04" w:history="1">
        <w:r>
          <w:rPr>
            <w:rFonts w:ascii="仿宋" w:eastAsia="仿宋" w:hAnsi="仿宋" w:cs="仿宋" w:hint="eastAsia"/>
            <w:lang w:eastAsia="zh-CN"/>
          </w:rPr>
          <w:t>十五、法律与合规性</w:t>
        </w:r>
        <w:r>
          <w:tab/>
        </w:r>
        <w:r>
          <w:fldChar w:fldCharType="begin"/>
        </w:r>
        <w:r>
          <w:instrText xml:space="preserve"> PAGEREF _Toc13804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6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_Toc22986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(二)、球墨铸铁件项目合同管理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2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_Toc7802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7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_Toc15577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6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_Toc11496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92" w:history="1">
        <w:r>
          <w:rPr>
            <w:rFonts w:ascii="仿宋" w:eastAsia="仿宋" w:hAnsi="仿宋" w:cs="仿宋" w:hint="eastAsia"/>
            <w:lang w:eastAsia="zh-CN"/>
          </w:rPr>
          <w:t>十六、质量管理体系</w:t>
        </w:r>
        <w:r>
          <w:tab/>
        </w:r>
        <w:r>
          <w:fldChar w:fldCharType="begin"/>
        </w:r>
        <w:r>
          <w:instrText xml:space="preserve"> PAGEREF _Toc12392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9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_Toc19279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0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_Toc26700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_Toc13629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" w:history="1">
        <w:r>
          <w:rPr>
            <w:rFonts w:ascii="仿宋" w:eastAsia="仿宋" w:hAnsi="仿宋" w:cs="仿宋" w:hint="eastAsia"/>
            <w:lang w:eastAsia="zh-CN"/>
          </w:rPr>
          <w:t>十七、特殊环境影响分析</w:t>
        </w:r>
        <w:r>
          <w:tab/>
        </w:r>
        <w:r>
          <w:fldChar w:fldCharType="begin"/>
        </w:r>
        <w:r>
          <w:instrText xml:space="preserve"> PAGEREF _Toc1645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" w:history="1">
        <w:r>
          <w:rPr>
            <w:rFonts w:ascii="仿宋" w:eastAsia="仿宋" w:hAnsi="仿宋" w:cs="仿宋" w:hint="eastAsia"/>
            <w:lang w:eastAsia="zh-CN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_Toc2007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4" w:history="1">
        <w:r>
          <w:rPr>
            <w:rFonts w:ascii="仿宋" w:eastAsia="仿宋" w:hAnsi="仿宋" w:cs="仿宋" w:hint="eastAsia"/>
            <w:lang w:eastAsia="zh-CN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_Toc11034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7" w:history="1">
        <w:r>
          <w:rPr>
            <w:rFonts w:ascii="仿宋" w:eastAsia="仿宋" w:hAnsi="仿宋" w:cs="仿宋" w:hint="eastAsia"/>
            <w:lang w:eastAsia="zh-CN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_Toc8507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eastAsia="zh-CN"/>
          </w:rPr>
          <w:t>十八、社会和环境责任</w:t>
        </w:r>
        <w:r>
          <w:tab/>
        </w:r>
        <w:r>
          <w:fldChar w:fldCharType="begin"/>
        </w:r>
        <w:r>
          <w:instrText xml:space="preserve"> PAGEREF _Toc23505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7" w:history="1">
        <w:r>
          <w:rPr>
            <w:rFonts w:ascii="仿宋" w:eastAsia="仿宋" w:hAnsi="仿宋" w:cs="仿宋" w:hint="eastAsia"/>
            <w:lang w:eastAsia="zh-CN"/>
          </w:rPr>
          <w:t>(一)、社会责任球墨铸铁件项目</w:t>
        </w:r>
        <w:r>
          <w:tab/>
        </w:r>
        <w:r>
          <w:fldChar w:fldCharType="begin"/>
        </w:r>
        <w:r>
          <w:instrText xml:space="preserve"> PAGEREF _Toc24337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_Toc24186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十九、法律法规及环境影响评价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5" w:history="1">
        <w:r>
          <w:rPr>
            <w:rFonts w:ascii="仿宋" w:eastAsia="仿宋" w:hAnsi="仿宋" w:cs="仿宋" w:hint="eastAsia"/>
            <w:lang w:eastAsia="zh-CN"/>
          </w:rPr>
          <w:t>(一)、法律法规的遵守</w:t>
        </w:r>
        <w:r>
          <w:tab/>
        </w:r>
        <w:r>
          <w:fldChar w:fldCharType="begin"/>
        </w:r>
        <w:r>
          <w:instrText xml:space="preserve"> PAGEREF _Toc24775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438" w:history="1">
        <w:r>
          <w:rPr>
            <w:rFonts w:ascii="仿宋" w:eastAsia="仿宋" w:hAnsi="仿宋" w:cs="仿宋" w:hint="eastAsia"/>
            <w:lang w:eastAsia="zh-CN"/>
          </w:rPr>
          <w:t>(二)、环境影响评价</w:t>
        </w:r>
        <w:r>
          <w:tab/>
        </w:r>
        <w:r>
          <w:fldChar w:fldCharType="begin"/>
        </w:r>
        <w:r>
          <w:instrText xml:space="preserve"> PAGEREF _Toc29438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" w:history="1">
        <w:r>
          <w:rPr>
            <w:rFonts w:ascii="仿宋" w:eastAsia="仿宋" w:hAnsi="仿宋" w:cs="仿宋" w:hint="eastAsia"/>
            <w:lang w:eastAsia="zh-CN"/>
          </w:rPr>
          <w:t>(三)、环保手续办理</w:t>
        </w:r>
        <w:r>
          <w:tab/>
        </w:r>
        <w:r>
          <w:fldChar w:fldCharType="begin"/>
        </w:r>
        <w:r>
          <w:instrText xml:space="preserve"> PAGEREF _Toc2545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4" w:history="1">
        <w:r>
          <w:rPr>
            <w:rFonts w:ascii="仿宋" w:eastAsia="仿宋" w:hAnsi="仿宋" w:cs="仿宋" w:hint="eastAsia"/>
            <w:lang w:eastAsia="zh-CN"/>
          </w:rPr>
          <w:t>二十、团队介绍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2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_Toc12992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3" w:history="1">
        <w:r>
          <w:rPr>
            <w:rFonts w:ascii="仿宋" w:eastAsia="仿宋" w:hAnsi="仿宋" w:cs="仿宋" w:hint="eastAsia"/>
            <w:lang w:eastAsia="zh-CN"/>
          </w:rPr>
          <w:t>二十一、球墨铸铁件项目总结分析</w:t>
        </w:r>
        <w:r>
          <w:tab/>
        </w:r>
        <w:r>
          <w:fldChar w:fldCharType="begin"/>
        </w:r>
        <w:r>
          <w:instrText xml:space="preserve"> PAGEREF _Toc25753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5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34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43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长期愿景和目标：首先确定企业长期愿景和目标，明确未来3到5年的具体目标，如市场份额、收入目标、国际扩张等。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市场趋势分析：详细分析所处行业的市场趋势，包括增长率、消费者偏好、技术发展等。这有助于了解未来可能出现的机会和挑战。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竞争分析：评估竞争对手的优势和弱点。说明与竞争对手相比的竞争优势，以及如何利用这些优势实现目标。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目标市场：明确目标市场是谁，包括受众群体、地理位置和细分市场。解释如何满足他们的需求和期望。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营销策略：描述市场营销策略，包括品牌建设、市场推广、数字营销和销售渠道。阐述如何吸引并保留客户。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https://d.book118.com/436140150035010053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球墨铸铁件行业商业计划书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球墨铸铁件行业商业计划书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球墨铸铁件行业商业计划书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球墨铸铁件行业商业计划书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球墨铸铁件行业商业计划书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B4827DD"/>
    <w:rsid w:val="3B4827D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614015003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2024-02-26T13:27:00Z</dcterms:created>
  <dcterms:modified xsi:type="dcterms:W3CDTF">2024-02-26T13:27:58Z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CCD42975CAF9474D81E761B53DA09CED_11</vt:lpwstr>
  </property>
  <property fmtid="{D5CDD505-2E9C-101B-9397-08002B2CF9AE}" pid="3" name="KSOProductBuildVer">
    <vt:lpwstr>2052-12.1.0.16250</vt:lpwstr>
  </property>
</Properties>
</file>