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67C6">
      <w:pPr>
        <w:pStyle w:val="Normal0"/>
        <w:ind w:left="2600" w:hanging="2600" w:hangingChars="500"/>
        <w:rPr>
          <w:b/>
          <w:sz w:val="52"/>
          <w:szCs w:val="52"/>
        </w:rPr>
      </w:pPr>
      <w:r>
        <w:rPr>
          <w:rFonts w:hint="eastAsia"/>
          <w:b/>
          <w:sz w:val="52"/>
          <w:szCs w:val="52"/>
        </w:rPr>
        <w:t>重组人胰岛素及类似物产业化原料</w:t>
      </w:r>
    </w:p>
    <w:p w:rsidR="006A67C6">
      <w:pPr>
        <w:pStyle w:val="Normal0"/>
        <w:ind w:left="2600" w:hanging="2600" w:hangingChars="500"/>
        <w:jc w:val="center"/>
        <w:rPr>
          <w:b/>
          <w:sz w:val="52"/>
          <w:szCs w:val="52"/>
        </w:rPr>
      </w:pPr>
      <w:r>
        <w:rPr>
          <w:rFonts w:hint="eastAsia"/>
          <w:b/>
          <w:sz w:val="52"/>
          <w:szCs w:val="52"/>
        </w:rPr>
        <w:t>项目（二期）</w:t>
      </w:r>
    </w:p>
    <w:p w:rsidR="006A67C6">
      <w:pPr>
        <w:pStyle w:val="Normal0"/>
        <w:jc w:val="center"/>
        <w:rPr>
          <w:b/>
          <w:sz w:val="52"/>
          <w:szCs w:val="52"/>
        </w:rPr>
      </w:pPr>
      <w:r>
        <w:rPr>
          <w:rFonts w:hint="eastAsia"/>
          <w:b/>
          <w:sz w:val="52"/>
          <w:szCs w:val="52"/>
        </w:rPr>
        <w:t>落</w:t>
      </w:r>
    </w:p>
    <w:p w:rsidR="006A67C6">
      <w:pPr>
        <w:pStyle w:val="Normal0"/>
        <w:jc w:val="center"/>
        <w:rPr>
          <w:b/>
          <w:sz w:val="52"/>
          <w:szCs w:val="52"/>
        </w:rPr>
      </w:pPr>
      <w:r>
        <w:rPr>
          <w:rFonts w:hint="eastAsia"/>
          <w:b/>
          <w:sz w:val="52"/>
          <w:szCs w:val="52"/>
        </w:rPr>
        <w:t>地</w:t>
      </w:r>
    </w:p>
    <w:p w:rsidR="006A67C6">
      <w:pPr>
        <w:pStyle w:val="Normal0"/>
        <w:jc w:val="center"/>
        <w:rPr>
          <w:b/>
          <w:sz w:val="52"/>
          <w:szCs w:val="52"/>
        </w:rPr>
      </w:pPr>
      <w:r>
        <w:rPr>
          <w:rFonts w:hint="eastAsia"/>
          <w:b/>
          <w:sz w:val="52"/>
          <w:szCs w:val="52"/>
        </w:rPr>
        <w:t>脚</w:t>
      </w:r>
    </w:p>
    <w:p w:rsidR="006A67C6">
      <w:pPr>
        <w:pStyle w:val="Normal0"/>
        <w:jc w:val="center"/>
        <w:rPr>
          <w:b/>
          <w:sz w:val="52"/>
          <w:szCs w:val="52"/>
        </w:rPr>
      </w:pPr>
      <w:r>
        <w:rPr>
          <w:rFonts w:hint="eastAsia"/>
          <w:b/>
          <w:sz w:val="52"/>
          <w:szCs w:val="52"/>
        </w:rPr>
        <w:t>手</w:t>
      </w:r>
    </w:p>
    <w:p w:rsidR="006A67C6">
      <w:pPr>
        <w:pStyle w:val="Normal0"/>
        <w:jc w:val="center"/>
        <w:rPr>
          <w:b/>
          <w:sz w:val="52"/>
          <w:szCs w:val="52"/>
        </w:rPr>
      </w:pPr>
      <w:r>
        <w:rPr>
          <w:rFonts w:hint="eastAsia"/>
          <w:b/>
          <w:sz w:val="52"/>
          <w:szCs w:val="52"/>
        </w:rPr>
        <w:t>架</w:t>
      </w:r>
    </w:p>
    <w:p w:rsidR="006A67C6">
      <w:pPr>
        <w:pStyle w:val="Normal0"/>
        <w:jc w:val="center"/>
        <w:rPr>
          <w:b/>
          <w:sz w:val="52"/>
          <w:szCs w:val="52"/>
        </w:rPr>
      </w:pPr>
      <w:r>
        <w:rPr>
          <w:rFonts w:hint="eastAsia"/>
          <w:b/>
          <w:sz w:val="52"/>
          <w:szCs w:val="52"/>
        </w:rPr>
        <w:t>施</w:t>
      </w:r>
    </w:p>
    <w:p w:rsidR="006A67C6">
      <w:pPr>
        <w:pStyle w:val="Normal0"/>
        <w:jc w:val="center"/>
        <w:rPr>
          <w:b/>
          <w:sz w:val="52"/>
          <w:szCs w:val="52"/>
        </w:rPr>
      </w:pPr>
      <w:r>
        <w:rPr>
          <w:rFonts w:hint="eastAsia"/>
          <w:b/>
          <w:sz w:val="52"/>
          <w:szCs w:val="52"/>
        </w:rPr>
        <w:t>工</w:t>
      </w:r>
    </w:p>
    <w:p w:rsidR="006A67C6">
      <w:pPr>
        <w:pStyle w:val="Normal0"/>
        <w:jc w:val="center"/>
        <w:rPr>
          <w:b/>
          <w:sz w:val="52"/>
          <w:szCs w:val="52"/>
        </w:rPr>
      </w:pPr>
      <w:r>
        <w:rPr>
          <w:rFonts w:hint="eastAsia"/>
          <w:b/>
          <w:sz w:val="52"/>
          <w:szCs w:val="52"/>
        </w:rPr>
        <w:t>方</w:t>
      </w:r>
    </w:p>
    <w:p w:rsidR="006A67C6">
      <w:pPr>
        <w:pStyle w:val="Normal0"/>
        <w:jc w:val="center"/>
        <w:rPr>
          <w:b/>
          <w:sz w:val="52"/>
          <w:szCs w:val="52"/>
        </w:rPr>
      </w:pPr>
      <w:r>
        <w:rPr>
          <w:rFonts w:hint="eastAsia"/>
          <w:b/>
          <w:sz w:val="52"/>
          <w:szCs w:val="52"/>
        </w:rPr>
        <w:t>案</w:t>
      </w:r>
    </w:p>
    <w:p w:rsidR="006A67C6">
      <w:pPr>
        <w:pStyle w:val="PlainText"/>
        <w:spacing w:line="500" w:lineRule="exact"/>
        <w:ind w:firstLine="1440" w:firstLineChars="400"/>
        <w:rPr>
          <w:rFonts w:hAnsi="宋体"/>
          <w:sz w:val="36"/>
          <w:szCs w:val="36"/>
        </w:rPr>
      </w:pPr>
    </w:p>
    <w:p w:rsidR="006A67C6">
      <w:pPr>
        <w:pStyle w:val="PlainText"/>
        <w:spacing w:line="360" w:lineRule="auto"/>
        <w:ind w:firstLine="1280" w:firstLineChars="400"/>
        <w:rPr>
          <w:rFonts w:hAnsi="宋体"/>
          <w:sz w:val="32"/>
          <w:szCs w:val="32"/>
          <w:u w:val="single"/>
        </w:rPr>
        <w:sectPr>
          <w:pgSz w:w="11906" w:h="16838"/>
          <w:pgMar w:top="1440" w:right="1800" w:bottom="1440" w:left="1800" w:header="851" w:footer="992" w:gutter="0"/>
          <w:pgNumType w:start="0"/>
          <w:cols w:space="425"/>
          <w:titlePg/>
          <w:docGrid w:type="lines" w:linePitch="312"/>
        </w:sectPr>
      </w:pPr>
      <w:r>
        <w:rPr>
          <w:rFonts w:hAnsi="宋体" w:hint="eastAsia"/>
          <w:sz w:val="32"/>
          <w:szCs w:val="32"/>
        </w:rPr>
        <w:t>编</w:t>
      </w:r>
      <w:r>
        <w:rPr>
          <w:rFonts w:hAnsi="宋体" w:hint="eastAsia"/>
          <w:sz w:val="32"/>
          <w:szCs w:val="32"/>
        </w:rPr>
        <w:t xml:space="preserve"> </w:t>
      </w:r>
      <w:r>
        <w:rPr>
          <w:rFonts w:hAnsi="宋体" w:hint="eastAsia"/>
          <w:sz w:val="32"/>
          <w:szCs w:val="32"/>
        </w:rPr>
        <w:t>制</w:t>
      </w:r>
      <w:r>
        <w:rPr>
          <w:rFonts w:hAnsi="宋体" w:hint="eastAsia"/>
          <w:sz w:val="32"/>
          <w:szCs w:val="32"/>
        </w:rPr>
        <w:t xml:space="preserve"> </w:t>
      </w:r>
      <w:r>
        <w:rPr>
          <w:rFonts w:hAnsi="宋体" w:hint="eastAsia"/>
          <w:sz w:val="32"/>
          <w:szCs w:val="32"/>
        </w:rPr>
        <w:t>人：</w:t>
      </w:r>
      <w:r>
        <w:rPr>
          <w:rFonts w:hAnsi="宋体" w:hint="eastAsia"/>
          <w:sz w:val="32"/>
          <w:szCs w:val="32"/>
          <w:u w:val="single"/>
        </w:rPr>
        <w:t xml:space="preserve">                          </w:t>
      </w:r>
    </w:p>
    <w:p w:rsidR="006A67C6">
      <w:pPr>
        <w:pStyle w:val="PlainText"/>
        <w:spacing w:line="360" w:lineRule="auto"/>
        <w:ind w:firstLine="1280" w:firstLineChars="400"/>
        <w:rPr>
          <w:rFonts w:hAnsi="宋体"/>
          <w:sz w:val="32"/>
          <w:szCs w:val="32"/>
          <w:u w:val="single"/>
        </w:rPr>
      </w:pPr>
      <w:r>
        <w:rPr>
          <w:rFonts w:hAnsi="宋体" w:hint="eastAsia"/>
          <w:sz w:val="32"/>
          <w:szCs w:val="32"/>
        </w:rPr>
        <w:t>审</w:t>
      </w:r>
      <w:r>
        <w:rPr>
          <w:rFonts w:hAnsi="宋体" w:hint="eastAsia"/>
          <w:sz w:val="32"/>
          <w:szCs w:val="32"/>
        </w:rPr>
        <w:t xml:space="preserve"> </w:t>
      </w:r>
      <w:r>
        <w:rPr>
          <w:rFonts w:hAnsi="宋体" w:hint="eastAsia"/>
          <w:sz w:val="32"/>
          <w:szCs w:val="32"/>
        </w:rPr>
        <w:t>核</w:t>
      </w:r>
      <w:r>
        <w:rPr>
          <w:rFonts w:hAnsi="宋体" w:hint="eastAsia"/>
          <w:sz w:val="32"/>
          <w:szCs w:val="32"/>
        </w:rPr>
        <w:t xml:space="preserve"> </w:t>
      </w:r>
      <w:r>
        <w:rPr>
          <w:rFonts w:hAnsi="宋体" w:hint="eastAsia"/>
          <w:sz w:val="32"/>
          <w:szCs w:val="32"/>
        </w:rPr>
        <w:t>人：</w:t>
      </w:r>
      <w:r>
        <w:rPr>
          <w:rFonts w:hAnsi="宋体" w:hint="eastAsia"/>
          <w:sz w:val="32"/>
          <w:szCs w:val="32"/>
          <w:u w:val="single"/>
        </w:rPr>
        <w:t xml:space="preserve">                          </w:t>
      </w:r>
    </w:p>
    <w:p w:rsidR="006A67C6">
      <w:pPr>
        <w:pStyle w:val="PlainText"/>
        <w:spacing w:line="360" w:lineRule="auto"/>
        <w:ind w:firstLine="1280" w:firstLineChars="400"/>
        <w:rPr>
          <w:rFonts w:hAnsi="宋体"/>
          <w:sz w:val="32"/>
          <w:szCs w:val="32"/>
          <w:u w:val="single"/>
        </w:rPr>
      </w:pPr>
      <w:r>
        <w:rPr>
          <w:rFonts w:hAnsi="宋体" w:hint="eastAsia"/>
          <w:sz w:val="32"/>
          <w:szCs w:val="32"/>
        </w:rPr>
        <w:t>审</w:t>
      </w:r>
      <w:r>
        <w:rPr>
          <w:rFonts w:hAnsi="宋体" w:hint="eastAsia"/>
          <w:sz w:val="32"/>
          <w:szCs w:val="32"/>
        </w:rPr>
        <w:t xml:space="preserve"> </w:t>
      </w:r>
      <w:r>
        <w:rPr>
          <w:rFonts w:hAnsi="宋体" w:hint="eastAsia"/>
          <w:sz w:val="32"/>
          <w:szCs w:val="32"/>
        </w:rPr>
        <w:t>批</w:t>
      </w:r>
      <w:r>
        <w:rPr>
          <w:rFonts w:hAnsi="宋体" w:hint="eastAsia"/>
          <w:sz w:val="32"/>
          <w:szCs w:val="32"/>
        </w:rPr>
        <w:t xml:space="preserve"> </w:t>
      </w:r>
      <w:r>
        <w:rPr>
          <w:rFonts w:hAnsi="宋体" w:hint="eastAsia"/>
          <w:sz w:val="32"/>
          <w:szCs w:val="32"/>
        </w:rPr>
        <w:t>人：</w:t>
      </w:r>
      <w:r>
        <w:rPr>
          <w:rFonts w:hAnsi="宋体" w:hint="eastAsia"/>
          <w:sz w:val="32"/>
          <w:szCs w:val="32"/>
          <w:u w:val="single"/>
        </w:rPr>
        <w:t xml:space="preserve">                          </w:t>
      </w:r>
    </w:p>
    <w:p w:rsidR="006A67C6">
      <w:pPr>
        <w:pStyle w:val="PlainText"/>
        <w:spacing w:line="360" w:lineRule="auto"/>
        <w:ind w:firstLine="1280" w:firstLineChars="400"/>
        <w:rPr>
          <w:rFonts w:hAnsi="宋体"/>
          <w:sz w:val="32"/>
          <w:szCs w:val="32"/>
          <w:u w:val="single"/>
        </w:rPr>
      </w:pPr>
      <w:r>
        <w:rPr>
          <w:rFonts w:hAnsi="宋体" w:hint="eastAsia"/>
          <w:sz w:val="32"/>
          <w:szCs w:val="32"/>
        </w:rPr>
        <w:t>编制单位：</w:t>
      </w:r>
      <w:r>
        <w:rPr>
          <w:rFonts w:hAnsi="宋体" w:hint="eastAsia"/>
          <w:sz w:val="32"/>
          <w:szCs w:val="32"/>
          <w:u w:val="single"/>
        </w:rPr>
        <w:t xml:space="preserve">                          </w:t>
      </w:r>
    </w:p>
    <w:p w:rsidR="006A67C6">
      <w:pPr>
        <w:pStyle w:val="Normal0"/>
        <w:spacing w:line="360" w:lineRule="auto"/>
        <w:ind w:firstLine="1280" w:firstLineChars="400"/>
        <w:rPr>
          <w:rFonts w:ascii="宋体" w:hAnsi="宋体"/>
          <w:sz w:val="32"/>
          <w:szCs w:val="32"/>
          <w:u w:val="single"/>
        </w:rPr>
        <w:sectPr>
          <w:type w:val="nextPage"/>
          <w:pgSz w:w="11906" w:h="16838"/>
          <w:pgMar w:top="1440" w:right="1800" w:bottom="1440" w:left="1800" w:header="851" w:footer="992" w:gutter="0"/>
          <w:pgNumType w:start="1"/>
          <w:cols w:space="425"/>
          <w:titlePg w:val="0"/>
          <w:docGrid w:type="lines" w:linePitch="312"/>
        </w:sectPr>
      </w:pPr>
      <w:r>
        <w:rPr>
          <w:rFonts w:hAnsi="宋体" w:hint="eastAsia"/>
          <w:sz w:val="32"/>
          <w:szCs w:val="32"/>
        </w:rPr>
        <w:t>编制日期：</w:t>
      </w:r>
      <w:r>
        <w:rPr>
          <w:rFonts w:hAnsi="宋体" w:hint="eastAsia"/>
          <w:sz w:val="32"/>
          <w:szCs w:val="32"/>
          <w:u w:val="single"/>
        </w:rPr>
        <w:t xml:space="preserve">                          </w:t>
      </w:r>
    </w:p>
    <w:p w:rsidR="006A67C6">
      <w:pPr>
        <w:pStyle w:val="Normal0"/>
        <w:spacing w:line="360" w:lineRule="auto"/>
        <w:jc w:val="left"/>
        <w:outlineLvl w:val="0"/>
        <w:rPr>
          <w:rFonts w:ascii="宋体" w:hAnsi="宋体" w:cs="宋体"/>
          <w:color w:val="000000"/>
          <w:sz w:val="24"/>
        </w:rPr>
      </w:pPr>
      <w:bookmarkStart w:id="0" w:name="_Toc17717"/>
      <w:r>
        <w:rPr>
          <w:rFonts w:ascii="宋体" w:hAnsi="宋体" w:cs="宋体" w:hint="eastAsia"/>
          <w:color w:val="000000"/>
          <w:sz w:val="24"/>
        </w:rPr>
        <w:t>目录</w:t>
      </w:r>
      <w:r>
        <w:rPr>
          <w:rFonts w:ascii="宋体" w:hAnsi="宋体" w:cs="宋体" w:hint="eastAsia"/>
          <w:color w:val="000000"/>
          <w:sz w:val="24"/>
        </w:rPr>
        <w:br/>
      </w:r>
      <w:bookmarkEnd w:id="0"/>
      <w:r>
        <w:rPr>
          <w:rFonts w:ascii="宋体" w:hAnsi="宋体" w:cs="宋体" w:hint="eastAsia"/>
          <w:color w:val="000000"/>
          <w:sz w:val="24"/>
        </w:rPr>
        <w:fldChar w:fldCharType="begin"/>
      </w:r>
      <w:r>
        <w:rPr>
          <w:rFonts w:ascii="宋体" w:hAnsi="宋体" w:cs="宋体" w:hint="eastAsia"/>
          <w:color w:val="000000"/>
          <w:sz w:val="24"/>
        </w:rPr>
        <w:instrText xml:space="preserve">TOC \o "1-3" \h \z \u </w:instrText>
      </w:r>
      <w:r>
        <w:rPr>
          <w:rFonts w:ascii="宋体" w:hAnsi="宋体" w:cs="宋体" w:hint="eastAsia"/>
          <w:color w:val="000000"/>
          <w:sz w:val="24"/>
        </w:rPr>
        <w:fldChar w:fldCharType="separate"/>
      </w:r>
    </w:p>
    <w:p w:rsidR="006A67C6">
      <w:pPr>
        <w:pStyle w:val="TOC1"/>
        <w:tabs>
          <w:tab w:val="right" w:leader="hyphen" w:pos="8306"/>
        </w:tabs>
      </w:pPr>
      <w:hyperlink w:anchor="_Toc17717" w:history="1">
        <w:r>
          <w:rPr>
            <w:rFonts w:ascii="宋体" w:hAnsi="宋体" w:cs="宋体" w:hint="eastAsia"/>
          </w:rPr>
          <w:t>目录</w:t>
        </w:r>
        <w:r>
          <w:rPr>
            <w:rFonts w:ascii="宋体" w:hAnsi="宋体" w:cs="宋体" w:hint="eastAsia"/>
          </w:rPr>
          <w:t xml:space="preserve"> </w:t>
        </w:r>
        <w:r>
          <w:tab/>
        </w:r>
        <w:r>
          <w:fldChar w:fldCharType="begin"/>
        </w:r>
        <w:r>
          <w:instrText xml:space="preserve"> PAGEREF _Toc17717 </w:instrText>
        </w:r>
        <w:r>
          <w:fldChar w:fldCharType="separate"/>
        </w:r>
        <w:r>
          <w:t>2</w:t>
        </w:r>
        <w:r>
          <w:fldChar w:fldCharType="end"/>
        </w:r>
      </w:hyperlink>
    </w:p>
    <w:p w:rsidR="006A67C6">
      <w:pPr>
        <w:pStyle w:val="TOC1"/>
        <w:tabs>
          <w:tab w:val="right" w:leader="hyphen" w:pos="8306"/>
        </w:tabs>
      </w:pPr>
      <w:hyperlink w:anchor="_Toc22123" w:history="1">
        <w:r>
          <w:rPr>
            <w:rFonts w:ascii="宋体" w:hAnsi="宋体" w:cs="宋体" w:hint="eastAsia"/>
            <w:b/>
          </w:rPr>
          <w:t>第一节、工程概况</w:t>
        </w:r>
        <w:r>
          <w:tab/>
        </w:r>
        <w:r>
          <w:fldChar w:fldCharType="begin"/>
        </w:r>
        <w:r>
          <w:instrText xml:space="preserve"> PAGEREF _Toc22123 </w:instrText>
        </w:r>
        <w:r>
          <w:fldChar w:fldCharType="separate"/>
        </w:r>
        <w:r>
          <w:t>3</w:t>
        </w:r>
        <w:r>
          <w:fldChar w:fldCharType="end"/>
        </w:r>
      </w:hyperlink>
    </w:p>
    <w:p w:rsidR="006A67C6">
      <w:pPr>
        <w:pStyle w:val="TOC1"/>
        <w:tabs>
          <w:tab w:val="right" w:leader="hyphen" w:pos="8306"/>
        </w:tabs>
      </w:pPr>
      <w:hyperlink w:anchor="_Toc30181" w:history="1">
        <w:r>
          <w:rPr>
            <w:rFonts w:ascii="宋体" w:hAnsi="宋体" w:cs="宋体" w:hint="eastAsia"/>
            <w:b/>
          </w:rPr>
          <w:t>第二节、编制依据</w:t>
        </w:r>
        <w:r>
          <w:tab/>
        </w:r>
        <w:r>
          <w:fldChar w:fldCharType="begin"/>
        </w:r>
        <w:r>
          <w:instrText xml:space="preserve"> PAGEREF _Toc30181 </w:instrText>
        </w:r>
        <w:r>
          <w:fldChar w:fldCharType="separate"/>
        </w:r>
        <w:r>
          <w:t>6</w:t>
        </w:r>
        <w:r>
          <w:fldChar w:fldCharType="end"/>
        </w:r>
      </w:hyperlink>
    </w:p>
    <w:p w:rsidR="006A67C6">
      <w:pPr>
        <w:pStyle w:val="TOC1"/>
        <w:tabs>
          <w:tab w:val="right" w:leader="hyphen" w:pos="8306"/>
        </w:tabs>
      </w:pPr>
      <w:hyperlink w:anchor="_Toc22353" w:history="1">
        <w:r>
          <w:rPr>
            <w:rFonts w:ascii="宋体" w:hAnsi="宋体" w:cs="宋体" w:hint="eastAsia"/>
            <w:b/>
          </w:rPr>
          <w:t>第三节、施工计划</w:t>
        </w:r>
        <w:r>
          <w:tab/>
        </w:r>
        <w:r>
          <w:fldChar w:fldCharType="begin"/>
        </w:r>
        <w:r>
          <w:instrText xml:space="preserve"> PAGEREF _Toc22353 </w:instrText>
        </w:r>
        <w:r>
          <w:fldChar w:fldCharType="separate"/>
        </w:r>
        <w:r>
          <w:t>7</w:t>
        </w:r>
        <w:r>
          <w:fldChar w:fldCharType="end"/>
        </w:r>
      </w:hyperlink>
    </w:p>
    <w:p w:rsidR="006A67C6">
      <w:pPr>
        <w:pStyle w:val="TOC1"/>
        <w:tabs>
          <w:tab w:val="right" w:leader="hyphen" w:pos="8306"/>
        </w:tabs>
      </w:pPr>
      <w:hyperlink w:anchor="_Toc2030" w:history="1">
        <w:r>
          <w:rPr>
            <w:rFonts w:ascii="宋体" w:hAnsi="宋体" w:cs="宋体" w:hint="eastAsia"/>
            <w:b/>
          </w:rPr>
          <w:t>第四节、施工工艺技术</w:t>
        </w:r>
        <w:r>
          <w:tab/>
        </w:r>
        <w:r>
          <w:fldChar w:fldCharType="begin"/>
        </w:r>
        <w:r>
          <w:instrText xml:space="preserve"> PAGEREF _Toc2030 </w:instrText>
        </w:r>
        <w:r>
          <w:fldChar w:fldCharType="separate"/>
        </w:r>
        <w:r>
          <w:t>10</w:t>
        </w:r>
        <w:r>
          <w:fldChar w:fldCharType="end"/>
        </w:r>
      </w:hyperlink>
    </w:p>
    <w:p w:rsidR="006A67C6">
      <w:pPr>
        <w:pStyle w:val="TOC1"/>
        <w:tabs>
          <w:tab w:val="right" w:leader="hyphen" w:pos="8306"/>
        </w:tabs>
      </w:pPr>
      <w:hyperlink w:anchor="_Toc31269" w:history="1">
        <w:r>
          <w:rPr>
            <w:rFonts w:ascii="宋体" w:hAnsi="宋体" w:cs="宋体" w:hint="eastAsia"/>
            <w:b/>
          </w:rPr>
          <w:t>第五节、施工安全保证措施</w:t>
        </w:r>
        <w:r>
          <w:tab/>
        </w:r>
        <w:r>
          <w:fldChar w:fldCharType="begin"/>
        </w:r>
        <w:r>
          <w:instrText xml:space="preserve"> PAGEREF _Toc31269 </w:instrText>
        </w:r>
        <w:r>
          <w:fldChar w:fldCharType="separate"/>
        </w:r>
        <w:r>
          <w:t>17</w:t>
        </w:r>
        <w:r>
          <w:fldChar w:fldCharType="end"/>
        </w:r>
      </w:hyperlink>
    </w:p>
    <w:p w:rsidR="006A67C6">
      <w:pPr>
        <w:pStyle w:val="TOC1"/>
        <w:tabs>
          <w:tab w:val="right" w:leader="hyphen" w:pos="8306"/>
        </w:tabs>
      </w:pPr>
      <w:hyperlink w:anchor="_Toc20297" w:history="1">
        <w:r>
          <w:rPr>
            <w:rFonts w:ascii="宋体" w:hAnsi="宋体" w:cs="宋体" w:hint="eastAsia"/>
            <w:b/>
          </w:rPr>
          <w:t>第六节、劳动力计划</w:t>
        </w:r>
        <w:r>
          <w:tab/>
        </w:r>
        <w:r>
          <w:fldChar w:fldCharType="begin"/>
        </w:r>
        <w:r>
          <w:instrText xml:space="preserve"> PAGEREF _Toc20297 </w:instrText>
        </w:r>
        <w:r>
          <w:fldChar w:fldCharType="separate"/>
        </w:r>
        <w:r>
          <w:t>26</w:t>
        </w:r>
        <w:r>
          <w:fldChar w:fldCharType="end"/>
        </w:r>
      </w:hyperlink>
    </w:p>
    <w:p w:rsidR="006A67C6">
      <w:pPr>
        <w:pStyle w:val="TOC1"/>
        <w:tabs>
          <w:tab w:val="right" w:leader="hyphen" w:pos="8306"/>
        </w:tabs>
      </w:pPr>
      <w:hyperlink w:anchor="_Toc25781" w:history="1">
        <w:r>
          <w:rPr>
            <w:rFonts w:ascii="宋体" w:hAnsi="宋体" w:cs="宋体" w:hint="eastAsia"/>
            <w:b/>
          </w:rPr>
          <w:t>第七节、计算书及相关图纸</w:t>
        </w:r>
        <w:r>
          <w:tab/>
        </w:r>
        <w:r>
          <w:fldChar w:fldCharType="begin"/>
        </w:r>
        <w:r>
          <w:instrText xml:space="preserve"> PAGEREF _Toc25781 </w:instrText>
        </w:r>
        <w:r>
          <w:fldChar w:fldCharType="separate"/>
        </w:r>
        <w:r>
          <w:t>27</w:t>
        </w:r>
        <w:r>
          <w:fldChar w:fldCharType="end"/>
        </w:r>
      </w:hyperlink>
    </w:p>
    <w:p w:rsidR="006A67C6">
      <w:pPr>
        <w:pStyle w:val="TOC1"/>
        <w:tabs>
          <w:tab w:val="right" w:leader="hyphen" w:pos="8306"/>
        </w:tabs>
        <w:spacing w:line="360" w:lineRule="auto"/>
        <w:jc w:val="center"/>
        <w:outlineLvl w:val="0"/>
        <w:rPr>
          <w:rFonts w:ascii="宋体" w:hAnsi="宋体" w:cs="宋体"/>
          <w:color w:val="000000"/>
          <w:sz w:val="24"/>
        </w:rPr>
        <w:sectPr>
          <w:type w:val="nextPage"/>
          <w:pgSz w:w="11906" w:h="16838"/>
          <w:pgMar w:top="1440" w:right="1800" w:bottom="1440" w:left="1800" w:header="851" w:footer="992" w:gutter="0"/>
          <w:pgNumType w:start="2"/>
          <w:cols w:space="425"/>
          <w:titlePg w:val="0"/>
          <w:docGrid w:type="lines" w:linePitch="312"/>
        </w:sectPr>
      </w:pPr>
      <w:r>
        <w:rPr>
          <w:rFonts w:ascii="宋体" w:hAnsi="宋体" w:cs="宋体" w:hint="eastAsia"/>
          <w:color w:val="000000"/>
          <w:sz w:val="24"/>
        </w:rPr>
        <w:fldChar w:fldCharType="end"/>
      </w:r>
    </w:p>
    <w:p w:rsidR="006A67C6">
      <w:pPr>
        <w:pStyle w:val="Normal0"/>
        <w:spacing w:line="360" w:lineRule="auto"/>
        <w:jc w:val="left"/>
        <w:outlineLvl w:val="0"/>
        <w:rPr>
          <w:rFonts w:ascii="宋体" w:hAnsi="宋体" w:cs="宋体"/>
          <w:b/>
          <w:color w:val="000000"/>
          <w:sz w:val="32"/>
        </w:rPr>
      </w:pPr>
      <w:bookmarkStart w:id="1" w:name="_Toc22123"/>
      <w:r>
        <w:rPr>
          <w:rFonts w:ascii="宋体" w:hAnsi="宋体" w:cs="宋体" w:hint="eastAsia"/>
          <w:b/>
          <w:color w:val="000000"/>
          <w:sz w:val="32"/>
        </w:rPr>
        <w:t>第一节、工程概况</w:t>
      </w:r>
      <w:bookmarkEnd w:id="1"/>
    </w:p>
    <w:p w:rsidR="006A67C6">
      <w:pPr>
        <w:pStyle w:val="Normal0"/>
        <w:spacing w:line="360" w:lineRule="auto"/>
        <w:rPr>
          <w:rFonts w:ascii="宋体" w:hAnsi="宋体" w:cs="宋体"/>
          <w:b/>
          <w:color w:val="000000"/>
          <w:sz w:val="28"/>
        </w:rPr>
      </w:pPr>
      <w:r>
        <w:rPr>
          <w:rFonts w:ascii="宋体" w:hAnsi="宋体" w:cs="宋体" w:hint="eastAsia"/>
          <w:b/>
          <w:color w:val="000000"/>
          <w:sz w:val="28"/>
        </w:rPr>
        <w:t>一、工程概况</w:t>
      </w:r>
    </w:p>
    <w:p w:rsidR="006A67C6">
      <w:pPr>
        <w:pStyle w:val="Normal0"/>
        <w:spacing w:line="360" w:lineRule="auto"/>
        <w:rPr>
          <w:rFonts w:ascii="宋体" w:hAnsi="宋体"/>
          <w:sz w:val="24"/>
        </w:rPr>
      </w:pPr>
      <w:r>
        <w:rPr>
          <w:rFonts w:ascii="宋体" w:hAnsi="宋体"/>
          <w:sz w:val="24"/>
        </w:rPr>
        <w:t>建设单位：</w:t>
      </w:r>
      <w:r>
        <w:rPr>
          <w:rFonts w:ascii="宋体" w:hAnsi="宋体" w:hint="eastAsia"/>
          <w:sz w:val="24"/>
        </w:rPr>
        <w:t>江苏万邦生化医药股份有限公司</w:t>
      </w:r>
    </w:p>
    <w:p w:rsidR="006A67C6">
      <w:pPr>
        <w:pStyle w:val="Normal0"/>
        <w:spacing w:line="360" w:lineRule="auto"/>
        <w:rPr>
          <w:rFonts w:ascii="宋体" w:hAnsi="宋体"/>
          <w:sz w:val="24"/>
        </w:rPr>
      </w:pPr>
      <w:r>
        <w:rPr>
          <w:rFonts w:ascii="宋体" w:hAnsi="宋体"/>
          <w:sz w:val="24"/>
        </w:rPr>
        <w:t>勘察单位：</w:t>
      </w:r>
      <w:r>
        <w:rPr>
          <w:rFonts w:ascii="宋体" w:hAnsi="宋体" w:hint="eastAsia"/>
          <w:sz w:val="24"/>
        </w:rPr>
        <w:t>江苏省第二地质工程勘察院</w:t>
      </w:r>
    </w:p>
    <w:p w:rsidR="006A67C6">
      <w:pPr>
        <w:pStyle w:val="Normal0"/>
        <w:spacing w:line="360" w:lineRule="auto"/>
        <w:rPr>
          <w:rFonts w:ascii="宋体" w:hAnsi="宋体"/>
          <w:sz w:val="24"/>
        </w:rPr>
      </w:pPr>
      <w:r>
        <w:rPr>
          <w:rFonts w:ascii="宋体" w:hAnsi="宋体"/>
          <w:sz w:val="24"/>
        </w:rPr>
        <w:t>设计单位：</w:t>
      </w:r>
      <w:r>
        <w:rPr>
          <w:rFonts w:ascii="宋体" w:hAnsi="宋体" w:hint="eastAsia"/>
          <w:sz w:val="24"/>
        </w:rPr>
        <w:t>中国医药集团重庆医药设计院</w:t>
      </w:r>
    </w:p>
    <w:p w:rsidR="006A67C6">
      <w:pPr>
        <w:pStyle w:val="Normal0"/>
        <w:spacing w:line="360" w:lineRule="auto"/>
        <w:rPr>
          <w:rFonts w:ascii="宋体" w:hAnsi="宋体"/>
          <w:sz w:val="24"/>
        </w:rPr>
      </w:pPr>
      <w:r>
        <w:rPr>
          <w:rFonts w:ascii="宋体" w:hAnsi="宋体"/>
          <w:sz w:val="24"/>
        </w:rPr>
        <w:t>监理单位：</w:t>
      </w:r>
      <w:r>
        <w:rPr>
          <w:rFonts w:ascii="_5b8b_4f53" w:hAnsi="_5b8b_4f53" w:cs="_5b8b_4f53" w:hint="eastAsia"/>
          <w:color w:val="000000"/>
          <w:sz w:val="24"/>
          <w:shd w:val="clear" w:color="auto" w:fill="FFFFFF"/>
        </w:rPr>
        <w:t>华夏建设工程监理有限公司</w:t>
      </w:r>
    </w:p>
    <w:p w:rsidR="006A67C6">
      <w:pPr>
        <w:pStyle w:val="Normal0"/>
        <w:spacing w:line="360" w:lineRule="auto"/>
        <w:rPr>
          <w:rFonts w:ascii="宋体" w:hAnsi="宋体"/>
          <w:sz w:val="24"/>
        </w:rPr>
      </w:pPr>
      <w:r>
        <w:rPr>
          <w:rFonts w:ascii="宋体" w:hAnsi="宋体"/>
          <w:sz w:val="24"/>
        </w:rPr>
        <w:t>施工单位：</w:t>
      </w:r>
      <w:r>
        <w:rPr>
          <w:rFonts w:ascii="宋体" w:hAnsi="宋体" w:hint="eastAsia"/>
          <w:sz w:val="24"/>
        </w:rPr>
        <w:t>南通四建集团有限公司</w:t>
      </w:r>
    </w:p>
    <w:p w:rsidR="006A67C6">
      <w:pPr>
        <w:pStyle w:val="1"/>
        <w:spacing w:line="520" w:lineRule="exact"/>
        <w:ind w:firstLine="480"/>
        <w:rPr>
          <w:sz w:val="24"/>
          <w:szCs w:val="24"/>
        </w:rPr>
      </w:pPr>
      <w:r>
        <w:rPr>
          <w:rFonts w:hint="eastAsia"/>
          <w:sz w:val="24"/>
          <w:szCs w:val="24"/>
        </w:rPr>
        <w:t>重组人胰岛素及类似物产业化原料项目（二期）</w:t>
      </w:r>
      <w:r>
        <w:rPr>
          <w:rFonts w:hint="eastAsia"/>
          <w:sz w:val="24"/>
          <w:szCs w:val="24"/>
        </w:rPr>
        <w:t>工程位于徐州经济开发区杨山路</w:t>
      </w:r>
      <w:r>
        <w:rPr>
          <w:rFonts w:hint="eastAsia"/>
          <w:sz w:val="24"/>
          <w:szCs w:val="24"/>
        </w:rPr>
        <w:t>6</w:t>
      </w:r>
      <w:r>
        <w:rPr>
          <w:rFonts w:hint="eastAsia"/>
          <w:sz w:val="24"/>
          <w:szCs w:val="24"/>
        </w:rPr>
        <w:t>号万邦医药厂区内</w:t>
      </w:r>
      <w:r>
        <w:rPr>
          <w:rFonts w:hint="eastAsia"/>
          <w:color w:val="000000"/>
          <w:sz w:val="24"/>
          <w:szCs w:val="24"/>
        </w:rPr>
        <w:t>，</w:t>
      </w:r>
      <w:r>
        <w:rPr>
          <w:rFonts w:hint="eastAsia"/>
          <w:sz w:val="24"/>
          <w:szCs w:val="24"/>
        </w:rPr>
        <w:t>总建筑面积</w:t>
      </w:r>
      <w:r>
        <w:rPr>
          <w:rFonts w:hint="eastAsia"/>
          <w:sz w:val="24"/>
          <w:szCs w:val="24"/>
        </w:rPr>
        <w:t>10501.08</w:t>
      </w:r>
      <w:r>
        <w:rPr>
          <w:rFonts w:hint="eastAsia"/>
          <w:sz w:val="24"/>
          <w:szCs w:val="24"/>
        </w:rPr>
        <w:t>平方米</w:t>
      </w:r>
      <w:r>
        <w:rPr>
          <w:rFonts w:hint="eastAsia"/>
          <w:sz w:val="24"/>
          <w:szCs w:val="24"/>
        </w:rPr>
        <w:t>，地上</w:t>
      </w:r>
      <w:r>
        <w:rPr>
          <w:rFonts w:hint="eastAsia"/>
          <w:sz w:val="24"/>
          <w:szCs w:val="24"/>
        </w:rPr>
        <w:t>3</w:t>
      </w:r>
      <w:r>
        <w:rPr>
          <w:rFonts w:hint="eastAsia"/>
          <w:sz w:val="24"/>
          <w:szCs w:val="24"/>
        </w:rPr>
        <w:t>层。本工程为现浇混凝土框架结构体系，结构合理使用年限</w:t>
      </w:r>
      <w:r>
        <w:rPr>
          <w:rFonts w:hint="eastAsia"/>
          <w:sz w:val="24"/>
          <w:szCs w:val="24"/>
        </w:rPr>
        <w:t>50</w:t>
      </w:r>
      <w:r>
        <w:rPr>
          <w:rFonts w:hint="eastAsia"/>
          <w:sz w:val="24"/>
          <w:szCs w:val="24"/>
        </w:rPr>
        <w:t>年，建筑结构安全等级</w:t>
      </w:r>
      <w:r>
        <w:rPr>
          <w:rFonts w:hint="eastAsia"/>
          <w:sz w:val="24"/>
          <w:szCs w:val="24"/>
        </w:rPr>
        <w:t>二</w:t>
      </w:r>
      <w:r>
        <w:rPr>
          <w:rFonts w:hint="eastAsia"/>
          <w:sz w:val="24"/>
          <w:szCs w:val="24"/>
        </w:rPr>
        <w:t>级，建筑抗震设防类别</w:t>
      </w:r>
      <w:r>
        <w:rPr>
          <w:rFonts w:hint="eastAsia"/>
          <w:sz w:val="24"/>
          <w:szCs w:val="24"/>
        </w:rPr>
        <w:t>丙</w:t>
      </w:r>
      <w:r>
        <w:rPr>
          <w:rFonts w:hint="eastAsia"/>
          <w:sz w:val="24"/>
          <w:szCs w:val="24"/>
        </w:rPr>
        <w:t>类建筑，建筑高度</w:t>
      </w:r>
      <w:r>
        <w:rPr>
          <w:rFonts w:hint="eastAsia"/>
          <w:sz w:val="24"/>
          <w:szCs w:val="24"/>
        </w:rPr>
        <w:t>19.5</w:t>
      </w:r>
      <w:r>
        <w:rPr>
          <w:rFonts w:hint="eastAsia"/>
          <w:sz w:val="24"/>
          <w:szCs w:val="24"/>
        </w:rPr>
        <w:t>m</w:t>
      </w:r>
      <w:r>
        <w:rPr>
          <w:rFonts w:hint="eastAsia"/>
          <w:sz w:val="24"/>
          <w:szCs w:val="24"/>
        </w:rPr>
        <w:t>。</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工程基本情况</w:t>
      </w:r>
    </w:p>
    <w:tbl>
      <w:tblPr>
        <w:tblStyle w:val="TableNormal"/>
        <w:tblW w:w="9322" w:type="dxa"/>
        <w:jc w:val="center"/>
        <w:tblCellSpacing w:w="0" w:type="dxa"/>
        <w:tblLayout w:type="fixed"/>
        <w:tblCellMar>
          <w:top w:w="45" w:type="dxa"/>
          <w:left w:w="45" w:type="dxa"/>
          <w:bottom w:w="45" w:type="dxa"/>
          <w:right w:w="45" w:type="dxa"/>
        </w:tblCellMar>
        <w:tblLook w:val="04A0"/>
      </w:tblPr>
      <w:tblGrid>
        <w:gridCol w:w="1508"/>
        <w:gridCol w:w="3104"/>
        <w:gridCol w:w="1606"/>
        <w:gridCol w:w="3104"/>
      </w:tblGrid>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工程名称</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重组人胰岛素及类似物产业化原料项目（二期）</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工程地点</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徐州经济开发区杨山路6号万邦医药厂区内</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周边环境</w:t>
            </w:r>
          </w:p>
        </w:tc>
        <w:tc>
          <w:tcPr>
            <w:tcW w:w="7814" w:type="dxa"/>
            <w:gridSpan w:val="3"/>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建筑面积(m</w:t>
            </w:r>
            <w:r>
              <w:rPr>
                <w:rFonts w:ascii="Times New Roman" w:eastAsia="Times New Roman" w:hAnsi="Times New Roman" w:hint="eastAsia"/>
                <w:color w:val="000000"/>
                <w:sz w:val="24"/>
                <w:vertAlign w:val="superscript"/>
              </w:rPr>
              <w:t>2</w:t>
            </w:r>
            <w:r>
              <w:rPr>
                <w:rFonts w:ascii="Times New Roman" w:eastAsia="Times New Roman" w:hAnsi="Times New Roman" w:hint="eastAsia"/>
                <w:color w:val="000000"/>
                <w:sz w:val="24"/>
              </w:rPr>
              <w:t>)</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10501</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建筑高度(m)</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19.5</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基础形式</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主体结构</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框架</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抗震等级</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抗震设防烈度</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9322" w:type="dxa"/>
        <w:jc w:val="center"/>
        <w:tblCellSpacing w:w="0" w:type="dxa"/>
        <w:tblLayout w:type="fixed"/>
        <w:tblCellMar>
          <w:top w:w="45" w:type="dxa"/>
          <w:left w:w="45" w:type="dxa"/>
          <w:bottom w:w="45" w:type="dxa"/>
          <w:right w:w="45" w:type="dxa"/>
        </w:tblCellMar>
        <w:tblLook w:val="04A0"/>
      </w:tblPr>
      <w:tblGrid>
        <w:gridCol w:w="1508"/>
        <w:gridCol w:w="3104"/>
        <w:gridCol w:w="1606"/>
        <w:gridCol w:w="3104"/>
      </w:tblGrid>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地上层数</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3</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地下层数</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0</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标准层层高(</w:t>
            </w:r>
            <w:r>
              <w:rPr>
                <w:rFonts w:ascii="Times New Roman" w:eastAsia="Times New Roman" w:hAnsi="Times New Roman" w:hint="eastAsia"/>
                <w:color w:val="000000"/>
                <w:sz w:val="24"/>
              </w:rPr>
              <w:t>m)</w:t>
            </w:r>
          </w:p>
        </w:tc>
        <w:tc>
          <w:tcPr>
            <w:tcW w:w="7814" w:type="dxa"/>
            <w:gridSpan w:val="3"/>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6.6</w:t>
            </w:r>
          </w:p>
        </w:tc>
      </w:tr>
    </w:tbl>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各责任主体名称</w:t>
      </w:r>
    </w:p>
    <w:tbl>
      <w:tblPr>
        <w:tblStyle w:val="TableNormal"/>
        <w:tblW w:w="9322" w:type="dxa"/>
        <w:jc w:val="center"/>
        <w:tblCellSpacing w:w="0" w:type="dxa"/>
        <w:tblLayout w:type="fixed"/>
        <w:tblCellMar>
          <w:top w:w="45" w:type="dxa"/>
          <w:left w:w="45" w:type="dxa"/>
          <w:bottom w:w="45" w:type="dxa"/>
          <w:right w:w="45" w:type="dxa"/>
        </w:tblCellMar>
        <w:tblLook w:val="04A0"/>
      </w:tblPr>
      <w:tblGrid>
        <w:gridCol w:w="1508"/>
        <w:gridCol w:w="3104"/>
        <w:gridCol w:w="1606"/>
        <w:gridCol w:w="3104"/>
      </w:tblGrid>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建设单位</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江苏万邦生化医药股份有限公司</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设计单位</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中国医药集团重庆医药设计院</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施工单位</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南通四建集团有限公司</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监理单位</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华夏建设工程监理有限公司</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项目经理</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秦照霞</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总监理工程师</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1508"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技术负责人</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凌强</w:t>
            </w:r>
          </w:p>
        </w:tc>
        <w:tc>
          <w:tcPr>
            <w:tcW w:w="1606"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专业监理工程师</w:t>
            </w:r>
          </w:p>
        </w:tc>
        <w:tc>
          <w:tcPr>
            <w:tcW w:w="3104" w:type="dxa"/>
            <w:tcBorders>
              <w:top w:val="single" w:sz="6" w:space="0" w:color="auto"/>
              <w:left w:val="single" w:sz="6" w:space="0" w:color="auto"/>
              <w:bottom w:val="single" w:sz="6" w:space="0" w:color="auto"/>
              <w:right w:val="single" w:sz="6" w:space="0" w:color="auto"/>
              <w:tl2br w:val="nil"/>
              <w:tr2bl w:val="nil"/>
            </w:tcBorders>
            <w:shd w:val="clear" w:color="auto" w:fill="FFFFFF"/>
            <w:vAlign w:val="center"/>
          </w:tcPr>
          <w:p w:rsidR="006A67C6">
            <w:pPr>
              <w:pStyle w:val="Normal0"/>
              <w:spacing w:line="360" w:lineRule="auto"/>
              <w:jc w:val="left"/>
              <w:rPr>
                <w:rFonts w:ascii="Times New Roman" w:eastAsia="Times New Roman" w:hAnsi="Times New Roman"/>
                <w:color w:val="000000"/>
                <w:sz w:val="24"/>
              </w:rPr>
            </w:pPr>
          </w:p>
        </w:tc>
      </w:tr>
    </w:tbl>
    <w:p w:rsidR="006A67C6">
      <w:pPr>
        <w:pStyle w:val="Normal0"/>
        <w:numPr>
          <w:ilvl w:val="0"/>
          <w:numId w:val="1"/>
        </w:numPr>
        <w:spacing w:line="360" w:lineRule="auto"/>
        <w:jc w:val="left"/>
        <w:rPr>
          <w:rFonts w:ascii="宋体" w:hAnsi="宋体" w:cs="宋体"/>
          <w:b/>
          <w:color w:val="000000"/>
          <w:sz w:val="28"/>
        </w:rPr>
      </w:pPr>
      <w:r>
        <w:rPr>
          <w:rFonts w:ascii="宋体" w:hAnsi="宋体" w:cs="宋体" w:hint="eastAsia"/>
          <w:b/>
          <w:color w:val="000000"/>
          <w:sz w:val="28"/>
        </w:rPr>
        <w:t>施工要求</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1、脚手架的设计力求做到结构安全可靠，造价经济合理。</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2、确保脚手架在使用周期内安全、稳定、牢靠。</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3、选用材料时，力求做到常见通用、可周转利用，便于保养维修。</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4、脚手架在搭设及拆除过程中要符合工程施工进度要求。操作人员需取得特殊作业人员资格上岗证。</w:t>
      </w:r>
    </w:p>
    <w:p w:rsidR="006A67C6">
      <w:pPr>
        <w:pStyle w:val="Normal0"/>
        <w:ind w:left="360" w:hanging="360"/>
        <w:rPr>
          <w:rFonts w:ascii="宋体" w:hAnsi="宋体" w:cs="宋体"/>
          <w:b/>
          <w:color w:val="000000"/>
          <w:sz w:val="28"/>
        </w:rPr>
      </w:pPr>
      <w:r>
        <w:rPr>
          <w:rFonts w:ascii="宋体" w:hAnsi="宋体" w:cs="宋体" w:hint="eastAsia"/>
          <w:b/>
          <w:color w:val="000000"/>
          <w:sz w:val="28"/>
        </w:rPr>
        <w:t>三、技术保证条件</w:t>
      </w:r>
    </w:p>
    <w:p w:rsidR="006A67C6">
      <w:pPr>
        <w:pStyle w:val="Normal0"/>
        <w:ind w:left="360" w:hanging="360"/>
        <w:rPr>
          <w:rFonts w:ascii="宋体" w:hAnsi="宋体"/>
          <w:sz w:val="24"/>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4"/>
        </w:rPr>
        <w:t>1</w:t>
      </w:r>
      <w:r>
        <w:rPr>
          <w:rFonts w:ascii="宋体" w:hAnsi="宋体" w:hint="eastAsia"/>
          <w:sz w:val="24"/>
        </w:rPr>
        <w:t>、安全网络</w:t>
      </w:r>
    </w:p>
    <w:p w:rsidR="006A67C6">
      <w:pPr>
        <w:pStyle w:val="Normal0"/>
        <w:rPr>
          <w:rFonts w:ascii="宋体" w:hAnsi="宋体"/>
          <w:sz w:val="24"/>
        </w:rPr>
      </w:pP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6in;height:351.75pt;mso-wrap-distance-bottom:0;mso-wrap-distance-left:9pt;mso-wrap-distance-right:9pt;mso-wrap-distance-top:0">
            <v:imagedata r:id="rId5" o:title=""/>
          </v:shape>
        </w:pict>
      </w:r>
    </w:p>
    <w:p w:rsidR="006A67C6">
      <w:pPr>
        <w:pStyle w:val="Normal0"/>
        <w:spacing w:line="360" w:lineRule="auto"/>
        <w:jc w:val="left"/>
        <w:rPr>
          <w:rFonts w:ascii="Times New Roman" w:eastAsia="Times New Roman" w:hAnsi="Times New Roman"/>
          <w:color w:val="000000"/>
          <w:sz w:val="24"/>
        </w:rPr>
        <w:sectPr>
          <w:type w:val="nextPage"/>
          <w:pgSz w:w="11906" w:h="16838"/>
          <w:pgMar w:top="1440" w:right="1800" w:bottom="1440" w:left="1800" w:header="851" w:footer="992" w:gutter="0"/>
          <w:pgNumType w:start="5"/>
          <w:cols w:space="425"/>
          <w:titlePg w:val="0"/>
          <w:docGrid w:type="lines" w:linePitch="312"/>
        </w:sectPr>
      </w:pPr>
      <w:r>
        <w:rPr>
          <w:rFonts w:ascii="Times New Roman" w:eastAsia="Times New Roman" w:hAnsi="Times New Roman" w:hint="eastAsia"/>
          <w:color w:val="000000"/>
          <w:sz w:val="24"/>
        </w:rPr>
        <w:t>2、脚手架的搭设和拆除需严格执行该《专项施工方案》。</w:t>
      </w:r>
    </w:p>
    <w:p w:rsidR="006A67C6">
      <w:pPr>
        <w:pStyle w:val="Normal0"/>
        <w:spacing w:line="360" w:lineRule="auto"/>
        <w:jc w:val="left"/>
        <w:outlineLvl w:val="0"/>
        <w:rPr>
          <w:rFonts w:ascii="宋体" w:hAnsi="宋体" w:cs="宋体"/>
          <w:b/>
          <w:color w:val="000000"/>
          <w:sz w:val="32"/>
        </w:rPr>
      </w:pPr>
      <w:bookmarkStart w:id="2" w:name="_Toc30181"/>
      <w:r>
        <w:rPr>
          <w:rFonts w:ascii="宋体" w:hAnsi="宋体" w:cs="宋体" w:hint="eastAsia"/>
          <w:b/>
          <w:color w:val="000000"/>
          <w:sz w:val="32"/>
        </w:rPr>
        <w:t>第二节、编制依据</w:t>
      </w:r>
      <w:bookmarkEnd w:id="2"/>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1、《建筑施工脚手架实用手册》</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2、《建筑地基基础设计规范》GB50007-2011</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3、《建筑结构荷载规范》GB50009-2012</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4、《混凝土结构设计规范》GB50010-2010</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5、《钢结构设计规范》GB50017-2003</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6、《建筑施工安全检查标准》JGJ59-2011</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7、《建筑施工高处作业安全技术规范》JGJ80-91</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8、《建筑施工扣件式钢管脚手架安全技术规范》JGJ130-2011</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9、《危险性较大的分部分项工程安全管理办法》(建质[2009]87号文)</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10、《建设工程安全生产管理条例》国务院令第393号</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11、本工程设计图纸</w:t>
      </w:r>
    </w:p>
    <w:p w:rsidR="006A67C6">
      <w:pPr>
        <w:pStyle w:val="Normal0"/>
        <w:spacing w:line="360" w:lineRule="auto"/>
        <w:jc w:val="left"/>
        <w:rPr>
          <w:rFonts w:ascii="Times New Roman" w:eastAsia="Times New Roman" w:hAnsi="Times New Roman"/>
          <w:color w:val="000000"/>
          <w:sz w:val="24"/>
        </w:rPr>
        <w:sectPr>
          <w:type w:val="nextPage"/>
          <w:pgSz w:w="11906" w:h="16838"/>
          <w:pgMar w:top="1440" w:right="1800" w:bottom="1440" w:left="1800" w:header="851" w:footer="992" w:gutter="0"/>
          <w:pgNumType w:start="6"/>
          <w:cols w:space="425"/>
          <w:titlePg w:val="0"/>
          <w:docGrid w:type="lines" w:linePitch="312"/>
        </w:sectPr>
      </w:pPr>
      <w:r>
        <w:rPr>
          <w:rFonts w:ascii="Times New Roman" w:eastAsia="Times New Roman" w:hAnsi="Times New Roman" w:hint="eastAsia"/>
          <w:color w:val="000000"/>
          <w:sz w:val="24"/>
        </w:rPr>
        <w:t>12、本工程施工组织设计</w:t>
      </w:r>
    </w:p>
    <w:p w:rsidR="006A67C6">
      <w:pPr>
        <w:pStyle w:val="Normal0"/>
        <w:spacing w:line="360" w:lineRule="auto"/>
        <w:jc w:val="left"/>
        <w:outlineLvl w:val="0"/>
        <w:rPr>
          <w:sz w:val="24"/>
        </w:rPr>
      </w:pPr>
      <w:bookmarkStart w:id="3" w:name="_Toc22353"/>
      <w:r>
        <w:rPr>
          <w:rFonts w:ascii="宋体" w:hAnsi="宋体" w:cs="宋体" w:hint="eastAsia"/>
          <w:b/>
          <w:color w:val="000000"/>
          <w:sz w:val="32"/>
        </w:rPr>
        <w:t>第三节、施工计划</w:t>
      </w:r>
      <w:bookmarkEnd w:id="3"/>
    </w:p>
    <w:p w:rsidR="006A67C6">
      <w:pPr>
        <w:pStyle w:val="Normal0"/>
        <w:numPr>
          <w:ilvl w:val="0"/>
          <w:numId w:val="2"/>
        </w:numPr>
        <w:spacing w:line="360" w:lineRule="auto"/>
        <w:jc w:val="left"/>
        <w:rPr>
          <w:rFonts w:ascii="宋体" w:hAnsi="宋体" w:cs="宋体"/>
          <w:b/>
          <w:color w:val="000000"/>
          <w:sz w:val="28"/>
        </w:rPr>
      </w:pPr>
      <w:r>
        <w:rPr>
          <w:rFonts w:ascii="宋体" w:hAnsi="宋体" w:cs="宋体" w:hint="eastAsia"/>
          <w:b/>
          <w:color w:val="000000"/>
          <w:sz w:val="28"/>
        </w:rPr>
        <w:t>材料与设备计划</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脚手架钢管应采用现行国家标准《直缝电焊钢管》</w:t>
      </w:r>
      <w:r>
        <w:rPr>
          <w:rFonts w:ascii="Times New Roman" w:eastAsia="Times New Roman" w:hAnsi="Times New Roman" w:hint="eastAsia"/>
          <w:sz w:val="24"/>
        </w:rPr>
        <w:t>GB/T13793</w:t>
      </w:r>
      <w:r>
        <w:rPr>
          <w:rFonts w:ascii="宋体" w:hAnsi="宋体" w:hint="eastAsia"/>
          <w:sz w:val="24"/>
        </w:rPr>
        <w:t>或《低压流体输送用焊接钢管》</w:t>
      </w:r>
      <w:r>
        <w:rPr>
          <w:rFonts w:ascii="Times New Roman" w:eastAsia="Times New Roman" w:hAnsi="Times New Roman" w:hint="eastAsia"/>
          <w:sz w:val="24"/>
        </w:rPr>
        <w:t>GB/T3091</w:t>
      </w:r>
      <w:r>
        <w:rPr>
          <w:rFonts w:ascii="宋体" w:hAnsi="宋体" w:hint="eastAsia"/>
          <w:sz w:val="24"/>
        </w:rPr>
        <w:t>中规定的</w:t>
      </w:r>
      <w:r>
        <w:rPr>
          <w:rFonts w:ascii="宋体" w:hAnsi="宋体" w:hint="eastAsia"/>
          <w:sz w:val="24"/>
        </w:rPr>
        <w:t>Q</w:t>
      </w:r>
      <w:r>
        <w:rPr>
          <w:rFonts w:ascii="Times New Roman" w:eastAsia="Times New Roman" w:hAnsi="Times New Roman" w:hint="eastAsia"/>
          <w:sz w:val="24"/>
        </w:rPr>
        <w:t>235</w:t>
      </w:r>
      <w:r>
        <w:rPr>
          <w:rFonts w:ascii="宋体" w:hAnsi="宋体" w:hint="eastAsia"/>
          <w:sz w:val="24"/>
        </w:rPr>
        <w:t>普通钢管，钢管的钢材质量应符合现行国家标准《碳素结构钢》</w:t>
      </w:r>
      <w:r>
        <w:rPr>
          <w:rFonts w:ascii="Times New Roman" w:eastAsia="Times New Roman" w:hAnsi="Times New Roman" w:hint="eastAsia"/>
          <w:sz w:val="24"/>
        </w:rPr>
        <w:t>GB/T700</w:t>
      </w:r>
      <w:r>
        <w:rPr>
          <w:rFonts w:ascii="宋体" w:hAnsi="宋体" w:hint="eastAsia"/>
          <w:sz w:val="24"/>
        </w:rPr>
        <w:t>中</w:t>
      </w:r>
      <w:r>
        <w:rPr>
          <w:rFonts w:ascii="宋体" w:hAnsi="宋体" w:hint="eastAsia"/>
          <w:sz w:val="24"/>
        </w:rPr>
        <w:t>Q235</w:t>
      </w:r>
      <w:r>
        <w:rPr>
          <w:rFonts w:ascii="宋体" w:hAnsi="宋体" w:hint="eastAsia"/>
          <w:sz w:val="24"/>
        </w:rPr>
        <w:t>级钢的规定。每根钢管的最大质量不应大于</w:t>
      </w:r>
      <w:r>
        <w:rPr>
          <w:rFonts w:ascii="Times New Roman" w:eastAsia="Times New Roman" w:hAnsi="Times New Roman" w:hint="eastAsia"/>
          <w:sz w:val="24"/>
        </w:rPr>
        <w:t>25.8kg</w:t>
      </w:r>
      <w:r>
        <w:rPr>
          <w:rFonts w:ascii="宋体" w:hAnsi="宋体" w:hint="eastAsia"/>
          <w:sz w:val="24"/>
        </w:rPr>
        <w:t>。新钢管表面应平直光滑，不应有裂缝、结疤、分层、错位、硬弯、毛刺、压痕和深的划道，钢管要有产品质量合格证、质量检验报告，钢管材质检验方法应符合现行国家标准《金属拉伸室温拉伸试验方法》</w:t>
      </w:r>
      <w:r>
        <w:rPr>
          <w:rFonts w:ascii="Times New Roman" w:eastAsia="Times New Roman" w:hAnsi="Times New Roman" w:hint="eastAsia"/>
          <w:sz w:val="24"/>
        </w:rPr>
        <w:t>GB/T228</w:t>
      </w:r>
      <w:r>
        <w:rPr>
          <w:rFonts w:ascii="宋体" w:hAnsi="宋体" w:hint="eastAsia"/>
          <w:sz w:val="24"/>
        </w:rPr>
        <w:t>的有关规定，质量和钢管外径、壁厚、端面等的偏差应符合《建筑施工扣件式钢管脚手架安全技术规范》</w:t>
      </w:r>
      <w:r>
        <w:rPr>
          <w:rFonts w:ascii="Times New Roman" w:eastAsia="Times New Roman" w:hAnsi="Times New Roman" w:hint="eastAsia"/>
          <w:sz w:val="24"/>
        </w:rPr>
        <w:t>JGJ130</w:t>
      </w:r>
      <w:r>
        <w:rPr>
          <w:rFonts w:ascii="宋体" w:hAnsi="宋体" w:hint="eastAsia"/>
          <w:sz w:val="24"/>
        </w:rPr>
        <w:t>的有关规定，应涂有防锈漆。旧钢管表面锈蚀深度、钢管弯曲变形应符合《建筑施工扣件式钢管脚手架安全技术规范》</w:t>
      </w:r>
      <w:r>
        <w:rPr>
          <w:rFonts w:ascii="Times New Roman" w:eastAsia="Times New Roman" w:hAnsi="Times New Roman" w:hint="eastAsia"/>
          <w:sz w:val="24"/>
        </w:rPr>
        <w:t>JGJ130</w:t>
      </w:r>
      <w:r>
        <w:rPr>
          <w:rFonts w:ascii="宋体" w:hAnsi="宋体" w:hint="eastAsia"/>
          <w:sz w:val="24"/>
        </w:rPr>
        <w:t>的有关规定。锈蚀检查应每年一次。检查时，应在锈蚀严重的钢管中抽取</w:t>
      </w:r>
      <w:r>
        <w:rPr>
          <w:rFonts w:ascii="Times New Roman" w:eastAsia="Times New Roman" w:hAnsi="Times New Roman" w:hint="eastAsia"/>
          <w:sz w:val="24"/>
        </w:rPr>
        <w:t>3</w:t>
      </w:r>
      <w:r>
        <w:rPr>
          <w:rFonts w:ascii="宋体" w:hAnsi="宋体" w:hint="eastAsia"/>
          <w:sz w:val="24"/>
        </w:rPr>
        <w:t>根，在每根锈蚀严重部位横向截断取样检查，当锈蚀深度超过规定值时不得使用。钢管上严禁打孔。</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2、</w:t>
      </w:r>
      <w:r>
        <w:rPr>
          <w:rFonts w:ascii="宋体" w:hAnsi="宋体" w:hint="eastAsia"/>
          <w:sz w:val="24"/>
        </w:rPr>
        <w:t>扣件应采用可锻铸铁或铸钢制作，其质量和性能应符合现行国家标准《钢管脚手架扣件》</w:t>
      </w:r>
      <w:r>
        <w:rPr>
          <w:rFonts w:ascii="Times New Roman" w:eastAsia="Times New Roman" w:hAnsi="Times New Roman" w:hint="eastAsia"/>
          <w:sz w:val="24"/>
        </w:rPr>
        <w:t>GB15831</w:t>
      </w:r>
      <w:r>
        <w:rPr>
          <w:rFonts w:ascii="宋体" w:hAnsi="宋体" w:hint="eastAsia"/>
          <w:sz w:val="24"/>
        </w:rPr>
        <w:t>的要求，采用其他材料制作的扣件，应经试验证明其质量符合该标准的规定后方可使用。扣件应有生产许可证、法定检测单位的测试报告和产品合格证。扣件进入施</w:t>
      </w:r>
      <w:r>
        <w:rPr>
          <w:rFonts w:ascii="宋体" w:hAnsi="宋体" w:hint="eastAsia"/>
          <w:sz w:val="24"/>
        </w:rPr>
        <w:t>工现场应检查产品合格证，并应进行抽样复试。扣件在使用前应逐个挑选，有裂缝、变形、螺栓出现滑丝的严禁使用。扣件在螺栓拧紧扭力矩达</w:t>
      </w:r>
      <w:r>
        <w:rPr>
          <w:rFonts w:ascii="Times New Roman" w:eastAsia="Times New Roman" w:hAnsi="Times New Roman" w:hint="eastAsia"/>
          <w:sz w:val="24"/>
        </w:rPr>
        <w:t>65N·m</w:t>
      </w:r>
      <w:r>
        <w:rPr>
          <w:rFonts w:ascii="宋体" w:hAnsi="宋体" w:hint="eastAsia"/>
          <w:sz w:val="24"/>
        </w:rPr>
        <w:t>时，不得发生破坏。新、旧扣件均应进行防锈处理。</w:t>
      </w:r>
    </w:p>
    <w:p w:rsidR="006A67C6">
      <w:pPr>
        <w:pStyle w:val="Normal0"/>
        <w:spacing w:line="360" w:lineRule="auto"/>
        <w:jc w:val="left"/>
        <w:rPr>
          <w:rFonts w:ascii="宋体" w:hAnsi="宋体"/>
          <w:color w:val="000000"/>
          <w:sz w:val="24"/>
        </w:rPr>
      </w:pPr>
      <w:r>
        <w:rPr>
          <w:rFonts w:ascii="Times New Roman" w:eastAsia="Times New Roman" w:hAnsi="Times New Roman" w:hint="eastAsia"/>
          <w:color w:val="000000"/>
          <w:sz w:val="24"/>
        </w:rPr>
        <w:t>3、</w:t>
      </w:r>
      <w:r>
        <w:rPr>
          <w:rFonts w:ascii="宋体" w:hAnsi="宋体" w:hint="eastAsia"/>
          <w:color w:val="000000"/>
          <w:sz w:val="24"/>
        </w:rPr>
        <w:t>搭设架子前应进行保养，除锈并统一涂色，力求环保美观。</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4、</w:t>
      </w:r>
      <w:r>
        <w:rPr>
          <w:rFonts w:ascii="宋体" w:hAnsi="宋体" w:hint="eastAsia"/>
          <w:sz w:val="24"/>
        </w:rPr>
        <w:t>脚手板</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脚手板可用</w:t>
      </w:r>
      <w:r>
        <w:rPr>
          <w:rFonts w:ascii="宋体" w:hAnsi="宋体" w:hint="eastAsia"/>
          <w:color w:val="FF00FF"/>
          <w:sz w:val="24"/>
        </w:rPr>
        <w:t>钢、木、竹</w:t>
      </w:r>
      <w:r>
        <w:rPr>
          <w:rFonts w:ascii="宋体" w:hAnsi="宋体" w:hint="eastAsia"/>
          <w:sz w:val="24"/>
        </w:rPr>
        <w:t>材料制作、单块脚手板的质量不大于</w:t>
      </w:r>
      <w:r>
        <w:rPr>
          <w:rFonts w:ascii="宋体" w:hAnsi="宋体" w:hint="eastAsia"/>
          <w:sz w:val="24"/>
        </w:rPr>
        <w:t>30kg</w:t>
      </w:r>
      <w:r>
        <w:rPr>
          <w:rFonts w:ascii="宋体" w:hAnsi="宋体" w:hint="eastAsia"/>
          <w:sz w:val="24"/>
        </w:rPr>
        <w:t>；</w:t>
      </w:r>
    </w:p>
    <w:p w:rsidR="006A67C6">
      <w:pPr>
        <w:pStyle w:val="Normal0"/>
        <w:spacing w:line="360" w:lineRule="auto"/>
        <w:jc w:val="left"/>
        <w:rPr>
          <w:rFonts w:ascii="宋体" w:hAnsi="宋体"/>
          <w:sz w:val="24"/>
        </w:rPr>
        <w:sectPr>
          <w:type w:val="nextPage"/>
          <w:pgSz w:w="11906" w:h="16838"/>
          <w:pgMar w:top="1440" w:right="1800" w:bottom="1440" w:left="1800" w:header="851" w:footer="992" w:gutter="0"/>
          <w:pgNumType w:start="7"/>
          <w:cols w:space="425"/>
          <w:titlePg w:val="0"/>
          <w:docGrid w:type="lines" w:linePitch="312"/>
        </w:sectPr>
      </w:pPr>
      <w:r>
        <w:rPr>
          <w:rFonts w:ascii="Times New Roman" w:eastAsia="Times New Roman" w:hAnsi="Times New Roman" w:hint="eastAsia"/>
          <w:color w:val="000000"/>
          <w:sz w:val="24"/>
        </w:rPr>
        <w:t>(2)</w:t>
      </w:r>
      <w:r>
        <w:rPr>
          <w:rFonts w:ascii="宋体" w:hAnsi="宋体" w:hint="eastAsia"/>
          <w:sz w:val="24"/>
        </w:rPr>
        <w:t>竹脚手板宜采用由毛竹或楠竹制作的竹串片板、竹笆板；竹串片脚手板应符合现行行业标准《建筑施工木脚手架安全技术规范》</w:t>
      </w:r>
      <w:r>
        <w:rPr>
          <w:rFonts w:ascii="宋体" w:hAnsi="宋体" w:hint="eastAsia"/>
          <w:sz w:val="24"/>
        </w:rPr>
        <w:t>JGJ64</w:t>
      </w:r>
      <w:r>
        <w:rPr>
          <w:rFonts w:ascii="宋体" w:hAnsi="宋体" w:hint="eastAsia"/>
          <w:sz w:val="24"/>
        </w:rPr>
        <w:t>的相关规定。</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5、</w:t>
      </w:r>
      <w:r>
        <w:rPr>
          <w:rFonts w:ascii="宋体" w:hAnsi="宋体" w:hint="eastAsia"/>
          <w:sz w:val="24"/>
        </w:rPr>
        <w:t>安全网采用密目式安全立网，应符合下列要求：</w:t>
      </w:r>
    </w:p>
    <w:p w:rsidR="006A67C6">
      <w:pPr>
        <w:pStyle w:val="Normal0"/>
        <w:rPr>
          <w:rFonts w:ascii="宋体" w:hAnsi="宋体"/>
          <w:sz w:val="24"/>
        </w:rPr>
      </w:pPr>
      <w:r>
        <w:rPr>
          <w:rFonts w:ascii="宋体" w:hAnsi="宋体" w:hint="eastAsia"/>
          <w:sz w:val="24"/>
        </w:rPr>
        <w:t>(1)</w:t>
      </w:r>
      <w:r>
        <w:rPr>
          <w:rFonts w:ascii="宋体" w:hAnsi="宋体" w:hint="eastAsia"/>
          <w:sz w:val="24"/>
        </w:rPr>
        <w:t>网目密度不低于</w:t>
      </w:r>
      <w:r>
        <w:rPr>
          <w:rFonts w:ascii="Times New Roman" w:eastAsia="Times New Roman" w:hAnsi="Times New Roman" w:hint="eastAsia"/>
          <w:sz w:val="24"/>
        </w:rPr>
        <w:t>2000</w:t>
      </w:r>
      <w:r>
        <w:rPr>
          <w:rFonts w:ascii="宋体" w:hAnsi="宋体" w:hint="eastAsia"/>
          <w:sz w:val="24"/>
        </w:rPr>
        <w:t>目</w:t>
      </w:r>
      <w:r>
        <w:rPr>
          <w:rFonts w:ascii="Times New Roman" w:eastAsia="Times New Roman" w:hAnsi="Times New Roman" w:hint="eastAsia"/>
          <w:sz w:val="24"/>
        </w:rPr>
        <w:t>/100c</w:t>
      </w:r>
      <w:r>
        <w:rPr>
          <w:rFonts w:ascii="宋体" w:hAnsi="宋体" w:hint="eastAsia"/>
          <w:sz w:val="24"/>
        </w:rPr>
        <w:t>㎡；</w:t>
      </w:r>
    </w:p>
    <w:p w:rsidR="006A67C6">
      <w:pPr>
        <w:pStyle w:val="Normal0"/>
        <w:rPr>
          <w:rFonts w:ascii="宋体" w:hAnsi="宋体"/>
          <w:sz w:val="24"/>
        </w:rPr>
      </w:pPr>
      <w:r>
        <w:rPr>
          <w:rFonts w:ascii="宋体" w:hAnsi="宋体" w:hint="eastAsia"/>
          <w:sz w:val="24"/>
        </w:rPr>
        <w:t>(2)</w:t>
      </w:r>
      <w:r>
        <w:rPr>
          <w:rFonts w:ascii="宋体" w:hAnsi="宋体" w:hint="eastAsia"/>
          <w:sz w:val="24"/>
        </w:rPr>
        <w:t>网体各边缘部位的开眼环扣必须牢固可靠，孔径不低于</w:t>
      </w:r>
      <w:r>
        <w:rPr>
          <w:rFonts w:ascii="Times New Roman" w:eastAsia="Times New Roman" w:hAnsi="Times New Roman" w:hint="eastAsia"/>
          <w:sz w:val="24"/>
        </w:rPr>
        <w:t>1mm</w:t>
      </w:r>
      <w:r>
        <w:rPr>
          <w:rFonts w:ascii="宋体" w:hAnsi="宋体" w:hint="eastAsia"/>
          <w:sz w:val="24"/>
        </w:rPr>
        <w:t>；</w:t>
      </w:r>
    </w:p>
    <w:p w:rsidR="006A67C6">
      <w:pPr>
        <w:pStyle w:val="Normal0"/>
        <w:rPr>
          <w:rFonts w:ascii="宋体" w:hAnsi="宋体"/>
          <w:sz w:val="24"/>
        </w:rPr>
      </w:pPr>
      <w:r>
        <w:rPr>
          <w:rFonts w:ascii="宋体" w:hAnsi="宋体" w:hint="eastAsia"/>
          <w:sz w:val="24"/>
        </w:rPr>
        <w:t>(3)</w:t>
      </w:r>
      <w:r>
        <w:rPr>
          <w:rFonts w:ascii="宋体" w:hAnsi="宋体" w:hint="eastAsia"/>
          <w:sz w:val="24"/>
        </w:rPr>
        <w:t>网体缝线不得有跳针、露缝，缝边应均匀；</w:t>
      </w:r>
    </w:p>
    <w:p w:rsidR="006A67C6">
      <w:pPr>
        <w:pStyle w:val="Normal0"/>
        <w:rPr>
          <w:rFonts w:ascii="宋体" w:hAnsi="宋体"/>
          <w:sz w:val="24"/>
        </w:rPr>
      </w:pPr>
      <w:r>
        <w:rPr>
          <w:rFonts w:ascii="宋体" w:hAnsi="宋体" w:hint="eastAsia"/>
          <w:sz w:val="24"/>
        </w:rPr>
        <w:t>(4)</w:t>
      </w:r>
      <w:r>
        <w:rPr>
          <w:rFonts w:ascii="宋体" w:hAnsi="宋体" w:hint="eastAsia"/>
          <w:sz w:val="24"/>
        </w:rPr>
        <w:t>一张网体上不得有一个以上的接缝，且接缝部位应端正牢固；</w:t>
      </w:r>
    </w:p>
    <w:p w:rsidR="006A67C6">
      <w:pPr>
        <w:pStyle w:val="Normal0"/>
        <w:rPr>
          <w:rFonts w:ascii="宋体" w:hAnsi="宋体"/>
          <w:sz w:val="24"/>
        </w:rPr>
      </w:pPr>
      <w:r>
        <w:rPr>
          <w:rFonts w:ascii="宋体" w:hAnsi="宋体" w:hint="eastAsia"/>
          <w:sz w:val="24"/>
        </w:rPr>
        <w:t>(5)</w:t>
      </w:r>
      <w:r>
        <w:rPr>
          <w:rFonts w:ascii="宋体" w:hAnsi="宋体" w:hint="eastAsia"/>
          <w:sz w:val="24"/>
        </w:rPr>
        <w:t>不得有断沙、破洞、变形及有碍使用的编织缺陷；</w:t>
      </w:r>
    </w:p>
    <w:p w:rsidR="006A67C6">
      <w:pPr>
        <w:pStyle w:val="Normal0"/>
        <w:rPr>
          <w:rFonts w:ascii="宋体" w:hAnsi="宋体"/>
          <w:sz w:val="24"/>
        </w:rPr>
      </w:pPr>
      <w:r>
        <w:rPr>
          <w:rFonts w:ascii="宋体" w:hAnsi="宋体" w:hint="eastAsia"/>
          <w:sz w:val="24"/>
        </w:rPr>
        <w:t>(6)</w:t>
      </w:r>
      <w:r>
        <w:rPr>
          <w:rFonts w:ascii="宋体" w:hAnsi="宋体" w:hint="eastAsia"/>
          <w:sz w:val="24"/>
        </w:rPr>
        <w:t>阻燃安全网的续燃、阻燃时间均不得大于</w:t>
      </w:r>
      <w:r>
        <w:rPr>
          <w:rFonts w:ascii="Times New Roman" w:eastAsia="Times New Roman" w:hAnsi="Times New Roman" w:hint="eastAsia"/>
          <w:sz w:val="24"/>
        </w:rPr>
        <w:t>4s</w:t>
      </w:r>
      <w:r>
        <w:rPr>
          <w:rFonts w:ascii="宋体" w:hAnsi="宋体" w:hint="eastAsia"/>
          <w:sz w:val="24"/>
        </w:rPr>
        <w:t>。使用的安全网必须有产品生产许可证和质量合格证，以及由相关建筑安全监督管理部门发放的准用证；</w:t>
      </w:r>
    </w:p>
    <w:p w:rsidR="006A67C6">
      <w:pPr>
        <w:pStyle w:val="Normal0"/>
        <w:rPr>
          <w:rFonts w:ascii="宋体" w:hAnsi="宋体"/>
          <w:sz w:val="24"/>
        </w:rPr>
      </w:pPr>
      <w:r>
        <w:rPr>
          <w:rFonts w:ascii="宋体" w:hAnsi="宋体" w:hint="eastAsia"/>
          <w:sz w:val="24"/>
        </w:rPr>
        <w:t>(7)</w:t>
      </w:r>
      <w:r>
        <w:rPr>
          <w:rFonts w:ascii="宋体" w:hAnsi="宋体" w:hint="eastAsia"/>
          <w:sz w:val="24"/>
        </w:rPr>
        <w:t>做耐贯穿试验不穿透，</w:t>
      </w:r>
      <w:r>
        <w:rPr>
          <w:rFonts w:ascii="Times New Roman" w:eastAsia="Times New Roman" w:hAnsi="Times New Roman" w:hint="eastAsia"/>
          <w:sz w:val="24"/>
        </w:rPr>
        <w:t>1.6×1.8m</w:t>
      </w:r>
      <w:r>
        <w:rPr>
          <w:rFonts w:ascii="宋体" w:hAnsi="宋体" w:hint="eastAsia"/>
          <w:sz w:val="24"/>
        </w:rPr>
        <w:t>的单张网重量在</w:t>
      </w:r>
      <w:r>
        <w:rPr>
          <w:rFonts w:ascii="Times New Roman" w:eastAsia="Times New Roman" w:hAnsi="Times New Roman" w:hint="eastAsia"/>
          <w:sz w:val="24"/>
        </w:rPr>
        <w:t>3kg</w:t>
      </w:r>
      <w:r>
        <w:rPr>
          <w:rFonts w:ascii="宋体" w:hAnsi="宋体" w:hint="eastAsia"/>
          <w:sz w:val="24"/>
        </w:rPr>
        <w:t>以上；</w:t>
      </w:r>
    </w:p>
    <w:p w:rsidR="006A67C6">
      <w:pPr>
        <w:pStyle w:val="Normal0"/>
        <w:rPr>
          <w:rFonts w:ascii="宋体" w:hAnsi="宋体"/>
          <w:sz w:val="24"/>
        </w:rPr>
      </w:pPr>
      <w:r>
        <w:rPr>
          <w:rFonts w:ascii="宋体" w:hAnsi="宋体" w:hint="eastAsia"/>
          <w:sz w:val="24"/>
        </w:rPr>
        <w:t>(8)</w:t>
      </w:r>
      <w:r>
        <w:rPr>
          <w:rFonts w:ascii="宋体" w:hAnsi="宋体" w:hint="eastAsia"/>
          <w:sz w:val="24"/>
        </w:rPr>
        <w:t>颜色应满足环境效果要求，选用绿色；</w:t>
      </w:r>
    </w:p>
    <w:p w:rsidR="006A67C6">
      <w:pPr>
        <w:pStyle w:val="Normal0"/>
        <w:spacing w:line="360" w:lineRule="auto"/>
        <w:jc w:val="left"/>
        <w:rPr>
          <w:rFonts w:ascii="宋体" w:hAnsi="宋体"/>
          <w:color w:val="000000"/>
          <w:sz w:val="24"/>
        </w:rPr>
      </w:pPr>
      <w:r>
        <w:rPr>
          <w:rFonts w:ascii="Times New Roman" w:eastAsia="Times New Roman" w:hAnsi="Times New Roman" w:hint="eastAsia"/>
          <w:color w:val="000000"/>
          <w:sz w:val="24"/>
        </w:rPr>
        <w:t>6、</w:t>
      </w:r>
      <w:r>
        <w:rPr>
          <w:rFonts w:ascii="宋体" w:hAnsi="宋体" w:hint="eastAsia"/>
          <w:sz w:val="24"/>
        </w:rPr>
        <w:t>连</w:t>
      </w:r>
      <w:r>
        <w:rPr>
          <w:rFonts w:ascii="宋体" w:hAnsi="宋体" w:hint="eastAsia"/>
          <w:color w:val="000000"/>
          <w:sz w:val="24"/>
        </w:rPr>
        <w:t>墙件材料采用</w:t>
      </w:r>
      <w:r>
        <w:rPr>
          <w:rFonts w:ascii="宋体" w:hAnsi="宋体" w:hint="eastAsia"/>
          <w:color w:val="FF00FF"/>
          <w:sz w:val="24"/>
        </w:rPr>
        <w:t>钢管或型钢</w:t>
      </w:r>
      <w:r>
        <w:rPr>
          <w:rFonts w:ascii="宋体" w:hAnsi="宋体" w:hint="eastAsia"/>
          <w:sz w:val="24"/>
        </w:rPr>
        <w:t>制作</w:t>
      </w:r>
      <w:r>
        <w:rPr>
          <w:rFonts w:ascii="宋体" w:hAnsi="宋体" w:hint="eastAsia"/>
          <w:color w:val="000000"/>
          <w:sz w:val="24"/>
        </w:rPr>
        <w:t>，其材质应符合现行国家标准《碳素钢结构》</w:t>
      </w:r>
      <w:r>
        <w:rPr>
          <w:rFonts w:ascii="Times New Roman" w:eastAsia="Times New Roman" w:hAnsi="Times New Roman" w:hint="eastAsia"/>
          <w:color w:val="000000"/>
          <w:sz w:val="24"/>
        </w:rPr>
        <w:t>GB/T700</w:t>
      </w:r>
      <w:r>
        <w:rPr>
          <w:rFonts w:ascii="宋体" w:hAnsi="宋体" w:hint="eastAsia"/>
          <w:color w:val="000000"/>
          <w:sz w:val="24"/>
        </w:rPr>
        <w:t>中</w:t>
      </w:r>
      <w:r>
        <w:rPr>
          <w:rFonts w:ascii="Times New Roman" w:eastAsia="Times New Roman" w:hAnsi="Times New Roman" w:hint="eastAsia"/>
          <w:color w:val="000000"/>
          <w:sz w:val="24"/>
        </w:rPr>
        <w:t>Q235</w:t>
      </w:r>
      <w:r>
        <w:rPr>
          <w:rFonts w:ascii="宋体" w:hAnsi="宋体" w:hint="eastAsia"/>
          <w:color w:val="000000"/>
          <w:sz w:val="24"/>
        </w:rPr>
        <w:t>级钢或《低合金高强度结构钢》</w:t>
      </w:r>
      <w:r>
        <w:rPr>
          <w:rFonts w:ascii="Times New Roman" w:eastAsia="Times New Roman" w:hAnsi="Times New Roman" w:hint="eastAsia"/>
          <w:color w:val="000000"/>
          <w:sz w:val="24"/>
        </w:rPr>
        <w:t>GB/T1591</w:t>
      </w:r>
      <w:r>
        <w:rPr>
          <w:rFonts w:ascii="宋体" w:hAnsi="宋体" w:hint="eastAsia"/>
          <w:color w:val="000000"/>
          <w:sz w:val="24"/>
        </w:rPr>
        <w:t>中</w:t>
      </w:r>
      <w:r>
        <w:rPr>
          <w:rFonts w:ascii="Times New Roman" w:eastAsia="Times New Roman" w:hAnsi="Times New Roman" w:hint="eastAsia"/>
          <w:color w:val="000000"/>
          <w:sz w:val="24"/>
        </w:rPr>
        <w:t>Q345</w:t>
      </w:r>
      <w:r>
        <w:rPr>
          <w:rFonts w:ascii="宋体" w:hAnsi="宋体" w:hint="eastAsia"/>
          <w:color w:val="000000"/>
          <w:sz w:val="24"/>
        </w:rPr>
        <w:t>级钢的规定。</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7、</w:t>
      </w:r>
      <w:r>
        <w:rPr>
          <w:rFonts w:ascii="宋体" w:hAnsi="宋体" w:hint="eastAsia"/>
          <w:sz w:val="24"/>
        </w:rPr>
        <w:t>可调底座的底板和可调托座托板宜采用</w:t>
      </w:r>
      <w:r>
        <w:rPr>
          <w:rFonts w:ascii="宋体" w:hAnsi="宋体" w:hint="eastAsia"/>
          <w:sz w:val="24"/>
        </w:rPr>
        <w:t>Q235</w:t>
      </w:r>
      <w:r>
        <w:rPr>
          <w:rFonts w:ascii="宋体" w:hAnsi="宋体" w:hint="eastAsia"/>
          <w:sz w:val="24"/>
        </w:rPr>
        <w:t>钢板制作，厚度不应小于</w:t>
      </w:r>
      <w:r>
        <w:rPr>
          <w:rFonts w:ascii="宋体" w:hAnsi="宋体" w:hint="eastAsia"/>
          <w:sz w:val="24"/>
        </w:rPr>
        <w:t>5mm</w:t>
      </w:r>
      <w:r>
        <w:rPr>
          <w:rFonts w:ascii="宋体" w:hAnsi="宋体" w:hint="eastAsia"/>
          <w:sz w:val="24"/>
        </w:rPr>
        <w:t>，允许尺寸偏差应为±</w:t>
      </w:r>
      <w:r>
        <w:rPr>
          <w:rFonts w:ascii="Times New Roman" w:eastAsia="Times New Roman" w:hAnsi="Times New Roman" w:hint="eastAsia"/>
          <w:sz w:val="24"/>
        </w:rPr>
        <w:t>0.</w:t>
      </w:r>
      <w:r>
        <w:rPr>
          <w:rFonts w:ascii="宋体" w:hAnsi="宋体" w:hint="eastAsia"/>
          <w:sz w:val="24"/>
        </w:rPr>
        <w:t>2mm</w:t>
      </w:r>
      <w:r>
        <w:rPr>
          <w:rFonts w:ascii="宋体" w:hAnsi="宋体" w:hint="eastAsia"/>
          <w:sz w:val="24"/>
        </w:rPr>
        <w:t>，承力面钢板长度和宽度均不应小于</w:t>
      </w:r>
      <w:r>
        <w:rPr>
          <w:rFonts w:ascii="宋体" w:hAnsi="宋体" w:hint="eastAsia"/>
          <w:sz w:val="24"/>
        </w:rPr>
        <w:t>150mm</w:t>
      </w:r>
      <w:r>
        <w:rPr>
          <w:rFonts w:ascii="宋体" w:hAnsi="宋体" w:hint="eastAsia"/>
          <w:sz w:val="24"/>
        </w:rPr>
        <w:t>；承力面钢板和丝杆应采用环焊，并应设置加劲片或加劲拱度；可调托座托板应设置开口挡板，挡板高度不应小于</w:t>
      </w:r>
      <w:r>
        <w:rPr>
          <w:rFonts w:ascii="宋体" w:hAnsi="宋体" w:hint="eastAsia"/>
          <w:sz w:val="24"/>
        </w:rPr>
        <w:t>40mm</w:t>
      </w:r>
      <w:r>
        <w:rPr>
          <w:rFonts w:ascii="宋体" w:hAnsi="宋体" w:hint="eastAsia"/>
          <w:sz w:val="24"/>
        </w:rPr>
        <w:t>。</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8、</w:t>
      </w:r>
      <w:r>
        <w:rPr>
          <w:rFonts w:ascii="宋体" w:hAnsi="宋体" w:hint="eastAsia"/>
          <w:sz w:val="24"/>
        </w:rPr>
        <w:t>可调底座及可调托座丝杆与螺母旋合长度不得小于</w:t>
      </w:r>
      <w:r>
        <w:rPr>
          <w:rFonts w:ascii="宋体" w:hAnsi="宋体" w:hint="eastAsia"/>
          <w:sz w:val="24"/>
        </w:rPr>
        <w:t>6</w:t>
      </w:r>
      <w:r>
        <w:rPr>
          <w:rFonts w:ascii="宋体" w:hAnsi="宋体" w:hint="eastAsia"/>
          <w:sz w:val="24"/>
        </w:rPr>
        <w:t>扣，螺母厚度不得小于</w:t>
      </w:r>
      <w:r>
        <w:rPr>
          <w:rFonts w:ascii="宋体" w:hAnsi="宋体" w:hint="eastAsia"/>
          <w:sz w:val="24"/>
        </w:rPr>
        <w:t>30mm</w:t>
      </w:r>
      <w:r>
        <w:rPr>
          <w:rFonts w:ascii="宋体" w:hAnsi="宋体" w:hint="eastAsia"/>
          <w:sz w:val="24"/>
        </w:rPr>
        <w:t>，插入立杆内的长度不得小于</w:t>
      </w:r>
      <w:r>
        <w:rPr>
          <w:rFonts w:ascii="宋体" w:hAnsi="宋体" w:hint="eastAsia"/>
          <w:sz w:val="24"/>
        </w:rPr>
        <w:t>150mm</w:t>
      </w:r>
      <w:r>
        <w:rPr>
          <w:rFonts w:ascii="宋体" w:hAnsi="宋体" w:hint="eastAsia"/>
          <w:sz w:val="24"/>
        </w:rPr>
        <w:t>。</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主要材料参数表</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【扣件式脚手架】</w:t>
      </w:r>
    </w:p>
    <w:tbl>
      <w:tblPr>
        <w:tblStyle w:val="TableNormal"/>
        <w:tblW w:w="8392" w:type="dxa"/>
        <w:tblCellSpacing w:w="0" w:type="dxa"/>
        <w:tblInd w:w="120" w:type="dxa"/>
        <w:tblLayout w:type="fixed"/>
        <w:tblCellMar>
          <w:left w:w="105" w:type="dxa"/>
          <w:right w:w="105" w:type="dxa"/>
        </w:tblCellMar>
        <w:tblLook w:val="04A0"/>
      </w:tblPr>
      <w:tblGrid>
        <w:gridCol w:w="982"/>
        <w:gridCol w:w="2356"/>
        <w:gridCol w:w="2354"/>
        <w:gridCol w:w="736"/>
        <w:gridCol w:w="1094"/>
        <w:gridCol w:w="870"/>
      </w:tblGrid>
      <w:tr>
        <w:tblPrEx>
          <w:tblW w:w="8392" w:type="dxa"/>
          <w:tblCellSpacing w:w="0" w:type="dxa"/>
          <w:tblInd w:w="120" w:type="dxa"/>
          <w:tblLayout w:type="fixed"/>
          <w:tblCellMar>
            <w:left w:w="105" w:type="dxa"/>
            <w:right w:w="105" w:type="dxa"/>
          </w:tblCellMar>
          <w:tblLook w:val="04A0"/>
        </w:tblPrEx>
        <w:trPr>
          <w:tblCellSpacing w:w="0" w:type="dxa"/>
        </w:trPr>
        <w:tc>
          <w:tcPr>
            <w:tcW w:w="982"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名称</w:t>
            </w: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规格</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用途</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单位</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总需用量</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备注</w:t>
            </w:r>
          </w:p>
        </w:tc>
      </w:tr>
      <w:tr>
        <w:tblPrEx>
          <w:tblW w:w="8392" w:type="dxa"/>
          <w:tblCellSpacing w:w="0" w:type="dxa"/>
          <w:tblInd w:w="120" w:type="dxa"/>
          <w:tblLayout w:type="fixed"/>
          <w:tblCellMar>
            <w:left w:w="105" w:type="dxa"/>
            <w:right w:w="105" w:type="dxa"/>
          </w:tblCellMar>
          <w:tblLook w:val="04A0"/>
        </w:tblPrEx>
        <w:trPr>
          <w:tblCellSpacing w:w="0" w:type="dxa"/>
        </w:trPr>
        <w:tc>
          <w:tcPr>
            <w:tcW w:w="982" w:type="dxa"/>
            <w:vMerge w:val="restart"/>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钢管</w:t>
            </w: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eastAsia="Times New Roman" w:hAnsi="Times New Roman"/>
                <w:sz w:val="24"/>
              </w:rPr>
            </w:pPr>
            <w:r>
              <w:rPr>
                <w:rFonts w:ascii="Times New Roman" w:eastAsia="Times New Roman" w:hAnsi="Times New Roman" w:hint="eastAsia"/>
                <w:sz w:val="24"/>
              </w:rPr>
              <w:t>6m</w:t>
            </w:r>
            <w:r>
              <w:rPr>
                <w:rFonts w:ascii="宋体" w:hAnsi="宋体" w:hint="eastAsia"/>
                <w:sz w:val="24"/>
              </w:rPr>
              <w:t>φ</w:t>
            </w:r>
            <w:r>
              <w:rPr>
                <w:rFonts w:ascii="Times New Roman" w:eastAsia="Times New Roman" w:hAnsi="Times New Roman" w:hint="eastAsia"/>
                <w:sz w:val="24"/>
              </w:rPr>
              <w:t>48mm</w:t>
            </w:r>
            <w:r>
              <w:rPr>
                <w:rFonts w:ascii="宋体" w:hAnsi="宋体" w:hint="eastAsia"/>
                <w:sz w:val="24"/>
              </w:rPr>
              <w:t>×</w:t>
            </w:r>
            <w:r>
              <w:rPr>
                <w:rFonts w:ascii="Times New Roman" w:eastAsia="Times New Roman" w:hAnsi="Times New Roman" w:hint="eastAsia"/>
                <w:sz w:val="24"/>
              </w:rPr>
              <w:t>3mm</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纵向水平杆、立杆、剪刀撑</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根</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3000</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租赁</w:t>
            </w:r>
          </w:p>
        </w:tc>
      </w:tr>
      <w:tr>
        <w:tblPrEx>
          <w:tblW w:w="8392" w:type="dxa"/>
          <w:tblCellSpacing w:w="0" w:type="dxa"/>
          <w:tblInd w:w="120" w:type="dxa"/>
          <w:tblLayout w:type="fixed"/>
          <w:tblCellMar>
            <w:left w:w="105" w:type="dxa"/>
            <w:right w:w="105" w:type="dxa"/>
          </w:tblCellMar>
          <w:tblLook w:val="04A0"/>
        </w:tblPrEx>
        <w:trPr>
          <w:tblCellSpacing w:w="0" w:type="dxa"/>
        </w:trPr>
        <w:tc>
          <w:tcPr>
            <w:tcW w:w="982" w:type="dxa"/>
            <w:vMerge/>
            <w:tcBorders>
              <w:top w:val="single" w:sz="6" w:space="0" w:color="000000"/>
              <w:left w:val="single" w:sz="6" w:space="0" w:color="000000"/>
              <w:bottom w:val="single" w:sz="6" w:space="0" w:color="000000"/>
              <w:right w:val="single" w:sz="6" w:space="0" w:color="000000"/>
              <w:tl2br w:val="nil"/>
              <w:tr2bl w:val="nil"/>
            </w:tcBorders>
          </w:tcPr>
          <w:p w:rsidR="006A67C6">
            <w:pPr>
              <w:pStyle w:val="Normal0"/>
              <w:jc w:val="left"/>
              <w:rPr>
                <w:rFonts w:ascii="Times New Roman" w:eastAsia="Times New Roman" w:hAnsi="Times New Roman"/>
                <w:sz w:val="24"/>
              </w:rPr>
            </w:pP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1.5m</w:t>
            </w:r>
            <w:r>
              <w:rPr>
                <w:rFonts w:ascii="宋体" w:hAnsi="宋体" w:hint="eastAsia"/>
                <w:sz w:val="24"/>
              </w:rPr>
              <w:t>φ</w:t>
            </w:r>
            <w:r>
              <w:rPr>
                <w:rFonts w:ascii="Times New Roman" w:eastAsia="Times New Roman" w:hAnsi="Times New Roman" w:hint="eastAsia"/>
                <w:sz w:val="24"/>
              </w:rPr>
              <w:t>48mm</w:t>
            </w:r>
            <w:r>
              <w:rPr>
                <w:rFonts w:ascii="宋体" w:hAnsi="宋体" w:hint="eastAsia"/>
                <w:sz w:val="24"/>
              </w:rPr>
              <w:t>×</w:t>
            </w:r>
            <w:r>
              <w:rPr>
                <w:rFonts w:ascii="Times New Roman" w:eastAsia="Times New Roman" w:hAnsi="Times New Roman" w:hint="eastAsia"/>
                <w:sz w:val="24"/>
              </w:rPr>
              <w:t>3mm</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横向水平杆、连墙件</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根</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2500</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租赁</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TableNormal"/>
        <w:tblW w:w="8392" w:type="dxa"/>
        <w:tblCellSpacing w:w="0" w:type="dxa"/>
        <w:tblInd w:w="120" w:type="dxa"/>
        <w:tblLayout w:type="fixed"/>
        <w:tblCellMar>
          <w:left w:w="105" w:type="dxa"/>
          <w:right w:w="105" w:type="dxa"/>
        </w:tblCellMar>
        <w:tblLook w:val="04A0"/>
      </w:tblPr>
      <w:tblGrid>
        <w:gridCol w:w="982"/>
        <w:gridCol w:w="2356"/>
        <w:gridCol w:w="2354"/>
        <w:gridCol w:w="736"/>
        <w:gridCol w:w="1094"/>
        <w:gridCol w:w="870"/>
      </w:tblGrid>
      <w:tr>
        <w:tblPrEx>
          <w:tblW w:w="8392" w:type="dxa"/>
          <w:tblCellSpacing w:w="0" w:type="dxa"/>
          <w:tblInd w:w="120" w:type="dxa"/>
          <w:tblLayout w:type="fixed"/>
          <w:tblCellMar>
            <w:left w:w="105" w:type="dxa"/>
            <w:right w:w="105" w:type="dxa"/>
          </w:tblCellMar>
          <w:tblLook w:val="04A0"/>
        </w:tblPrEx>
        <w:trPr>
          <w:tblCellSpacing w:w="0" w:type="dxa"/>
        </w:trPr>
        <w:tc>
          <w:tcPr>
            <w:tcW w:w="982"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木脚手板</w:t>
            </w: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eastAsia="Times New Roman" w:hAnsi="Times New Roman"/>
                <w:sz w:val="24"/>
              </w:rPr>
            </w:pPr>
            <w:r>
              <w:rPr>
                <w:rFonts w:ascii="Times New Roman" w:eastAsia="Times New Roman" w:hAnsi="Times New Roman" w:hint="eastAsia"/>
                <w:sz w:val="24"/>
              </w:rPr>
              <w:t>3000mm</w:t>
            </w:r>
            <w:r>
              <w:rPr>
                <w:rFonts w:ascii="宋体" w:hAnsi="宋体" w:hint="eastAsia"/>
                <w:sz w:val="24"/>
              </w:rPr>
              <w:t>×</w:t>
            </w:r>
            <w:r>
              <w:rPr>
                <w:rFonts w:ascii="Times New Roman" w:eastAsia="Times New Roman" w:hAnsi="Times New Roman" w:hint="eastAsia"/>
                <w:sz w:val="24"/>
              </w:rPr>
              <w:t>200mm</w:t>
            </w:r>
            <w:r>
              <w:rPr>
                <w:rFonts w:ascii="宋体" w:hAnsi="宋体" w:hint="eastAsia"/>
                <w:sz w:val="24"/>
              </w:rPr>
              <w:t>×</w:t>
            </w:r>
            <w:r>
              <w:rPr>
                <w:rFonts w:ascii="Times New Roman" w:eastAsia="Times New Roman" w:hAnsi="Times New Roman" w:hint="eastAsia"/>
                <w:sz w:val="24"/>
              </w:rPr>
              <w:t>50mm</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脚手板与基础垫板</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块</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80</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租赁</w:t>
            </w:r>
          </w:p>
        </w:tc>
      </w:tr>
      <w:tr>
        <w:tblPrEx>
          <w:tblW w:w="8392" w:type="dxa"/>
          <w:tblCellSpacing w:w="0" w:type="dxa"/>
          <w:tblInd w:w="120" w:type="dxa"/>
          <w:tblLayout w:type="fixed"/>
          <w:tblCellMar>
            <w:left w:w="105" w:type="dxa"/>
            <w:right w:w="105" w:type="dxa"/>
          </w:tblCellMar>
          <w:tblLook w:val="04A0"/>
        </w:tblPrEx>
        <w:trPr>
          <w:tblCellSpacing w:w="0" w:type="dxa"/>
        </w:trPr>
        <w:tc>
          <w:tcPr>
            <w:tcW w:w="982"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扣件</w:t>
            </w: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ind w:firstLine="840"/>
              <w:rPr>
                <w:rFonts w:ascii="宋体" w:hAnsi="宋体"/>
                <w:sz w:val="24"/>
              </w:rPr>
            </w:pPr>
            <w:r>
              <w:rPr>
                <w:rFonts w:ascii="宋体" w:hAnsi="宋体"/>
                <w:sz w:val="24"/>
              </w:rPr>
              <w:t>—</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各杆件的连接</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个</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30000</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租赁</w:t>
            </w:r>
          </w:p>
        </w:tc>
      </w:tr>
      <w:tr>
        <w:tblPrEx>
          <w:tblW w:w="8392" w:type="dxa"/>
          <w:tblCellSpacing w:w="0" w:type="dxa"/>
          <w:tblInd w:w="120" w:type="dxa"/>
          <w:tblLayout w:type="fixed"/>
          <w:tblCellMar>
            <w:left w:w="105" w:type="dxa"/>
            <w:right w:w="105" w:type="dxa"/>
          </w:tblCellMar>
          <w:tblLook w:val="04A0"/>
        </w:tblPrEx>
        <w:trPr>
          <w:tblCellSpacing w:w="0" w:type="dxa"/>
        </w:trPr>
        <w:tc>
          <w:tcPr>
            <w:tcW w:w="982"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安全网</w:t>
            </w:r>
          </w:p>
        </w:tc>
        <w:tc>
          <w:tcPr>
            <w:tcW w:w="235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Times New Roman" w:eastAsia="Times New Roman" w:hAnsi="Times New Roman" w:hint="eastAsia"/>
                <w:sz w:val="24"/>
              </w:rPr>
              <w:t>6m</w:t>
            </w:r>
            <w:r>
              <w:rPr>
                <w:rFonts w:ascii="宋体" w:hAnsi="宋体" w:hint="eastAsia"/>
                <w:sz w:val="24"/>
              </w:rPr>
              <w:t>×</w:t>
            </w:r>
            <w:r>
              <w:rPr>
                <w:rFonts w:ascii="Times New Roman" w:eastAsia="Times New Roman" w:hAnsi="Times New Roman" w:hint="eastAsia"/>
                <w:sz w:val="24"/>
              </w:rPr>
              <w:t>1.5m2000</w:t>
            </w:r>
            <w:r>
              <w:rPr>
                <w:rFonts w:ascii="宋体" w:hAnsi="宋体" w:hint="eastAsia"/>
                <w:sz w:val="24"/>
              </w:rPr>
              <w:t>目</w:t>
            </w:r>
          </w:p>
        </w:tc>
        <w:tc>
          <w:tcPr>
            <w:tcW w:w="235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防坠</w:t>
            </w:r>
          </w:p>
        </w:tc>
        <w:tc>
          <w:tcPr>
            <w:tcW w:w="736"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张</w:t>
            </w:r>
          </w:p>
        </w:tc>
        <w:tc>
          <w:tcPr>
            <w:tcW w:w="1094"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Times New Roman" w:hAnsi="Times New Roman"/>
                <w:sz w:val="24"/>
              </w:rPr>
            </w:pPr>
            <w:r>
              <w:rPr>
                <w:rFonts w:ascii="Times New Roman" w:hAnsi="Times New Roman" w:hint="eastAsia"/>
                <w:sz w:val="24"/>
              </w:rPr>
              <w:t>500</w:t>
            </w:r>
          </w:p>
        </w:tc>
        <w:tc>
          <w:tcPr>
            <w:tcW w:w="870" w:type="dxa"/>
            <w:tcBorders>
              <w:top w:val="single" w:sz="6" w:space="0" w:color="000000"/>
              <w:left w:val="single" w:sz="6" w:space="0" w:color="000000"/>
              <w:bottom w:val="single" w:sz="6" w:space="0" w:color="000000"/>
              <w:right w:val="single" w:sz="6" w:space="0" w:color="000000"/>
              <w:tl2br w:val="nil"/>
              <w:tr2bl w:val="nil"/>
            </w:tcBorders>
          </w:tcPr>
          <w:p w:rsidR="006A67C6">
            <w:pPr>
              <w:pStyle w:val="Normal0"/>
              <w:rPr>
                <w:rFonts w:ascii="宋体" w:hAnsi="宋体"/>
                <w:sz w:val="24"/>
              </w:rPr>
            </w:pPr>
            <w:r>
              <w:rPr>
                <w:rFonts w:ascii="宋体" w:hAnsi="宋体" w:hint="eastAsia"/>
                <w:sz w:val="24"/>
              </w:rPr>
              <w:t>采购</w:t>
            </w:r>
          </w:p>
        </w:tc>
      </w:tr>
    </w:tbl>
    <w:p w:rsidR="006A67C6">
      <w:pPr>
        <w:pStyle w:val="Normal0"/>
        <w:jc w:val="left"/>
        <w:rPr>
          <w:rFonts w:ascii="Times New Roman" w:eastAsia="Times New Roman" w:hAnsi="Times New Roman"/>
          <w:color w:val="000000"/>
          <w:sz w:val="24"/>
        </w:rPr>
        <w:sectPr>
          <w:type w:val="nextPage"/>
          <w:pgSz w:w="11906" w:h="16838"/>
          <w:pgMar w:top="1440" w:right="1800" w:bottom="1440" w:left="1800" w:header="851" w:footer="992" w:gutter="0"/>
          <w:pgNumType w:start="9"/>
          <w:cols w:space="425"/>
          <w:titlePg w:val="0"/>
          <w:docGrid w:type="lines" w:linePitch="312"/>
        </w:sectPr>
      </w:pPr>
    </w:p>
    <w:p w:rsidR="006A67C6">
      <w:pPr>
        <w:pStyle w:val="Normal0"/>
        <w:spacing w:line="360" w:lineRule="auto"/>
        <w:jc w:val="left"/>
        <w:outlineLvl w:val="0"/>
        <w:rPr>
          <w:rFonts w:ascii="宋体" w:hAnsi="宋体" w:cs="宋体"/>
          <w:b/>
          <w:color w:val="000000"/>
          <w:sz w:val="32"/>
        </w:rPr>
      </w:pPr>
      <w:bookmarkStart w:id="4" w:name="_Toc2030"/>
      <w:r>
        <w:rPr>
          <w:rFonts w:ascii="宋体" w:hAnsi="宋体" w:cs="宋体" w:hint="eastAsia"/>
          <w:b/>
          <w:color w:val="000000"/>
          <w:sz w:val="32"/>
        </w:rPr>
        <w:t>第四节、施工工艺技术</w:t>
      </w:r>
      <w:bookmarkEnd w:id="4"/>
    </w:p>
    <w:p w:rsidR="006A67C6">
      <w:pPr>
        <w:pStyle w:val="Normal0"/>
        <w:spacing w:line="360" w:lineRule="auto"/>
        <w:jc w:val="left"/>
        <w:rPr>
          <w:rFonts w:ascii="Times New Roman" w:eastAsia="Times New Roman" w:hAnsi="Times New Roman"/>
          <w:color w:val="000000"/>
          <w:sz w:val="24"/>
        </w:rPr>
      </w:pPr>
      <w:r>
        <w:rPr>
          <w:rFonts w:ascii="宋体" w:hAnsi="宋体" w:cs="宋体" w:hint="eastAsia"/>
          <w:b/>
          <w:color w:val="000000"/>
          <w:sz w:val="28"/>
        </w:rPr>
        <w:t>一、技术参数</w:t>
      </w:r>
      <w:r>
        <w:rPr>
          <w:rFonts w:ascii="Times New Roman" w:eastAsia="Times New Roman" w:hAnsi="Times New Roman" w:hint="eastAsia"/>
          <w:color w:val="000000"/>
          <w:sz w:val="24"/>
        </w:rPr>
        <w:t>【扣件式脚手架】</w:t>
      </w:r>
    </w:p>
    <w:tbl>
      <w:tblPr>
        <w:tblStyle w:val="TableNormal"/>
        <w:tblW w:w="9322" w:type="dxa"/>
        <w:jc w:val="center"/>
        <w:tblCellSpacing w:w="0" w:type="dxa"/>
        <w:tblLayout w:type="fixed"/>
        <w:tblCellMar>
          <w:top w:w="45" w:type="dxa"/>
          <w:left w:w="45" w:type="dxa"/>
          <w:bottom w:w="45" w:type="dxa"/>
          <w:right w:w="45" w:type="dxa"/>
        </w:tblCellMar>
        <w:tblLook w:val="04A0"/>
      </w:tblPr>
      <w:tblGrid>
        <w:gridCol w:w="3008"/>
        <w:gridCol w:w="1604"/>
        <w:gridCol w:w="3106"/>
        <w:gridCol w:w="1604"/>
      </w:tblGrid>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脚手架排数</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双排脚手架</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纵、横向水平杆布置方式</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纵向水平杆在上</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搭设高度(m)</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22</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钢管类型</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Ф48×3</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立杆纵距(m)</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1.5</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立杆横距(m)</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0.8</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立杆步距(m)</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1.8</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双立杆计算方法</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按构造要求设计</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挡脚板</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2步1设</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脚手板</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2步1设</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横向斜撑</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5跨1设</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连墙件布置方式</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两步三跨</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连墙件连接方式</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扣件连接</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地区</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江苏徐州市</w:t>
            </w:r>
          </w:p>
        </w:tc>
      </w:tr>
      <w:tr>
        <w:tblPrEx>
          <w:tblW w:w="9322" w:type="dxa"/>
          <w:jc w:val="center"/>
          <w:tblCellSpacing w:w="0" w:type="dxa"/>
          <w:tblLayout w:type="fixed"/>
          <w:tblCellMar>
            <w:top w:w="45" w:type="dxa"/>
            <w:left w:w="45" w:type="dxa"/>
            <w:bottom w:w="45" w:type="dxa"/>
            <w:right w:w="45" w:type="dxa"/>
          </w:tblCellMar>
          <w:tblLook w:val="04A0"/>
        </w:tblPrEx>
        <w:trPr>
          <w:trHeight w:val="75"/>
          <w:tblCellSpacing w:w="0" w:type="dxa"/>
          <w:jc w:val="center"/>
        </w:trPr>
        <w:tc>
          <w:tcPr>
            <w:tcW w:w="3008"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基本风压(kN/m</w:t>
            </w:r>
            <w:r>
              <w:rPr>
                <w:rFonts w:ascii="Times New Roman" w:eastAsia="Times New Roman" w:hAnsi="Times New Roman" w:hint="eastAsia"/>
                <w:color w:val="000000"/>
                <w:sz w:val="24"/>
                <w:vertAlign w:val="superscript"/>
              </w:rPr>
              <w:t>2</w:t>
            </w:r>
            <w:r>
              <w:rPr>
                <w:rFonts w:ascii="Times New Roman" w:eastAsia="Times New Roman" w:hAnsi="Times New Roman" w:hint="eastAsia"/>
                <w:color w:val="000000"/>
                <w:sz w:val="24"/>
              </w:rPr>
              <w:t>)</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0.25</w:t>
            </w:r>
          </w:p>
        </w:tc>
        <w:tc>
          <w:tcPr>
            <w:tcW w:w="3106"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安全网</w:t>
            </w:r>
          </w:p>
        </w:tc>
        <w:tc>
          <w:tcPr>
            <w:tcW w:w="1604" w:type="dxa"/>
            <w:tcBorders>
              <w:top w:val="single" w:sz="6" w:space="0" w:color="auto"/>
              <w:left w:val="single" w:sz="6" w:space="0" w:color="auto"/>
              <w:bottom w:val="single" w:sz="6" w:space="0" w:color="auto"/>
              <w:right w:val="single" w:sz="6" w:space="0" w:color="auto"/>
              <w:tl2br w:val="nil"/>
              <w:tr2bl w:val="nil"/>
            </w:tcBorders>
            <w:shd w:val="clear" w:color="auto" w:fill="FFFFFF"/>
          </w:tcPr>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全封闭</w:t>
            </w:r>
          </w:p>
        </w:tc>
      </w:tr>
    </w:tbl>
    <w:p w:rsidR="006A67C6">
      <w:pPr>
        <w:pStyle w:val="Normal0"/>
        <w:spacing w:line="360" w:lineRule="auto"/>
        <w:jc w:val="center"/>
        <w:rPr>
          <w:rFonts w:ascii="Times New Roman" w:eastAsia="Times New Roman" w:hAnsi="Times New Roman"/>
          <w:color w:val="000000"/>
          <w:sz w:val="24"/>
        </w:rPr>
      </w:pPr>
    </w:p>
    <w:p w:rsidR="006A67C6">
      <w:pPr>
        <w:pStyle w:val="Normal0"/>
        <w:spacing w:line="360" w:lineRule="auto"/>
        <w:jc w:val="left"/>
        <w:rPr>
          <w:rFonts w:ascii="Times New Roman" w:eastAsia="Times New Roman" w:hAnsi="Times New Roman"/>
          <w:color w:val="000000"/>
          <w:sz w:val="24"/>
        </w:rPr>
      </w:pPr>
      <w:r>
        <w:rPr>
          <w:rFonts w:ascii="宋体" w:hAnsi="宋体" w:cs="宋体" w:hint="eastAsia"/>
          <w:b/>
          <w:color w:val="000000"/>
          <w:sz w:val="28"/>
        </w:rPr>
        <w:t>二、工艺流程</w:t>
      </w:r>
      <w:r>
        <w:rPr>
          <w:rFonts w:ascii="Times New Roman" w:eastAsia="Times New Roman" w:hAnsi="Times New Roman" w:hint="eastAsia"/>
          <w:color w:val="000000"/>
          <w:sz w:val="24"/>
        </w:rPr>
        <w:t>【扣件式脚手架】</w:t>
      </w:r>
    </w:p>
    <w:p w:rsidR="006A67C6">
      <w:pPr>
        <w:pStyle w:val="Normal0"/>
        <w:rPr>
          <w:rFonts w:ascii="宋体" w:hAnsi="宋体"/>
          <w:sz w:val="24"/>
        </w:rPr>
      </w:pPr>
      <w:r>
        <w:rPr>
          <w:rFonts w:ascii="宋体" w:hAnsi="宋体" w:hint="eastAsia"/>
          <w:sz w:val="24"/>
        </w:rPr>
        <w:t>场地平整、夯实</w:t>
      </w:r>
      <w:r>
        <w:rPr>
          <w:rFonts w:ascii="Times New Roman" w:eastAsia="Times New Roman" w:hAnsi="Times New Roman" w:hint="eastAsia"/>
          <w:sz w:val="24"/>
        </w:rPr>
        <w:t>→</w:t>
      </w:r>
      <w:r>
        <w:rPr>
          <w:rFonts w:ascii="宋体" w:hAnsi="宋体" w:hint="eastAsia"/>
          <w:sz w:val="24"/>
        </w:rPr>
        <w:t>基础承载力实验、材料配备</w:t>
      </w:r>
      <w:r>
        <w:rPr>
          <w:rFonts w:ascii="Times New Roman" w:eastAsia="Times New Roman" w:hAnsi="Times New Roman" w:hint="eastAsia"/>
          <w:sz w:val="24"/>
        </w:rPr>
        <w:t>→</w:t>
      </w:r>
      <w:r>
        <w:rPr>
          <w:rFonts w:ascii="宋体" w:hAnsi="宋体" w:hint="eastAsia"/>
          <w:sz w:val="24"/>
        </w:rPr>
        <w:t>定位设置通长脚手板、底座</w:t>
      </w:r>
      <w:r>
        <w:rPr>
          <w:rFonts w:ascii="Times New Roman" w:eastAsia="Times New Roman" w:hAnsi="Times New Roman" w:hint="eastAsia"/>
          <w:sz w:val="24"/>
        </w:rPr>
        <w:t>→</w:t>
      </w:r>
      <w:r>
        <w:rPr>
          <w:rFonts w:ascii="宋体" w:hAnsi="宋体" w:hint="eastAsia"/>
          <w:sz w:val="24"/>
        </w:rPr>
        <w:t>纵向扫地杆</w:t>
      </w:r>
      <w:r>
        <w:rPr>
          <w:rFonts w:ascii="Times New Roman" w:eastAsia="Times New Roman" w:hAnsi="Times New Roman" w:hint="eastAsia"/>
          <w:sz w:val="24"/>
        </w:rPr>
        <w:t>→</w:t>
      </w:r>
      <w:r>
        <w:rPr>
          <w:rFonts w:ascii="宋体" w:hAnsi="宋体" w:hint="eastAsia"/>
          <w:sz w:val="24"/>
        </w:rPr>
        <w:t>立杆</w:t>
      </w:r>
      <w:r>
        <w:rPr>
          <w:rFonts w:ascii="Times New Roman" w:eastAsia="Times New Roman" w:hAnsi="Times New Roman" w:hint="eastAsia"/>
          <w:sz w:val="24"/>
        </w:rPr>
        <w:t>→</w:t>
      </w:r>
      <w:r>
        <w:rPr>
          <w:rFonts w:ascii="宋体" w:hAnsi="宋体" w:hint="eastAsia"/>
          <w:sz w:val="24"/>
        </w:rPr>
        <w:t>横向扫地杆</w:t>
      </w:r>
      <w:r>
        <w:rPr>
          <w:rFonts w:ascii="Times New Roman" w:eastAsia="Times New Roman" w:hAnsi="Times New Roman" w:hint="eastAsia"/>
          <w:sz w:val="24"/>
        </w:rPr>
        <w:t>→</w:t>
      </w:r>
      <w:r>
        <w:rPr>
          <w:rFonts w:ascii="宋体" w:hAnsi="宋体" w:hint="eastAsia"/>
          <w:sz w:val="24"/>
        </w:rPr>
        <w:t>横向水平杆</w:t>
      </w:r>
      <w:r>
        <w:rPr>
          <w:rFonts w:ascii="Times New Roman" w:eastAsia="Times New Roman" w:hAnsi="Times New Roman" w:hint="eastAsia"/>
          <w:sz w:val="24"/>
        </w:rPr>
        <w:t>→</w:t>
      </w:r>
      <w:r>
        <w:rPr>
          <w:rFonts w:ascii="宋体" w:hAnsi="宋体" w:hint="eastAsia"/>
          <w:sz w:val="24"/>
        </w:rPr>
        <w:t>纵向水平杆</w:t>
      </w:r>
      <w:r>
        <w:rPr>
          <w:rFonts w:ascii="宋体" w:hAnsi="宋体" w:hint="eastAsia"/>
          <w:sz w:val="24"/>
        </w:rPr>
        <w:t>(</w:t>
      </w:r>
      <w:r>
        <w:rPr>
          <w:rFonts w:ascii="宋体" w:hAnsi="宋体" w:hint="eastAsia"/>
          <w:sz w:val="24"/>
        </w:rPr>
        <w:t>格栅</w:t>
      </w:r>
      <w:r>
        <w:rPr>
          <w:rFonts w:ascii="宋体" w:hAnsi="宋体" w:hint="eastAsia"/>
          <w:sz w:val="24"/>
        </w:rPr>
        <w:t>)</w:t>
      </w:r>
      <w:r>
        <w:rPr>
          <w:rFonts w:ascii="Times New Roman" w:eastAsia="Times New Roman" w:hAnsi="Times New Roman" w:hint="eastAsia"/>
          <w:sz w:val="24"/>
        </w:rPr>
        <w:t xml:space="preserve"> →</w:t>
      </w:r>
      <w:r>
        <w:rPr>
          <w:rFonts w:ascii="宋体" w:hAnsi="宋体" w:hint="eastAsia"/>
          <w:sz w:val="24"/>
        </w:rPr>
        <w:t>剪刀撑</w:t>
      </w:r>
      <w:r>
        <w:rPr>
          <w:rFonts w:ascii="Times New Roman" w:eastAsia="Times New Roman" w:hAnsi="Times New Roman" w:hint="eastAsia"/>
          <w:sz w:val="24"/>
        </w:rPr>
        <w:t>→</w:t>
      </w:r>
      <w:r>
        <w:rPr>
          <w:rFonts w:ascii="宋体" w:hAnsi="宋体" w:hint="eastAsia"/>
          <w:sz w:val="24"/>
        </w:rPr>
        <w:t>连墙件</w:t>
      </w:r>
      <w:r>
        <w:rPr>
          <w:rFonts w:ascii="Times New Roman" w:eastAsia="Times New Roman" w:hAnsi="Times New Roman" w:hint="eastAsia"/>
          <w:sz w:val="24"/>
        </w:rPr>
        <w:t>→</w:t>
      </w:r>
      <w:r>
        <w:rPr>
          <w:rFonts w:ascii="宋体" w:hAnsi="宋体" w:hint="eastAsia"/>
          <w:sz w:val="24"/>
        </w:rPr>
        <w:t>铺脚手板</w:t>
      </w:r>
      <w:r>
        <w:rPr>
          <w:rFonts w:ascii="Times New Roman" w:eastAsia="Times New Roman" w:hAnsi="Times New Roman" w:hint="eastAsia"/>
          <w:sz w:val="24"/>
        </w:rPr>
        <w:t>→</w:t>
      </w:r>
      <w:r>
        <w:rPr>
          <w:rFonts w:ascii="宋体" w:hAnsi="宋体" w:hint="eastAsia"/>
          <w:sz w:val="24"/>
        </w:rPr>
        <w:t>扎防护栏杆</w:t>
      </w:r>
      <w:r>
        <w:rPr>
          <w:rFonts w:ascii="Times New Roman" w:eastAsia="Times New Roman" w:hAnsi="Times New Roman" w:hint="eastAsia"/>
          <w:sz w:val="24"/>
        </w:rPr>
        <w:t>→</w:t>
      </w:r>
      <w:r>
        <w:rPr>
          <w:rFonts w:ascii="宋体" w:hAnsi="宋体" w:hint="eastAsia"/>
          <w:sz w:val="24"/>
        </w:rPr>
        <w:t>扎安全网</w:t>
      </w:r>
    </w:p>
    <w:p w:rsidR="006A67C6">
      <w:pPr>
        <w:pStyle w:val="Normal0"/>
        <w:numPr>
          <w:ilvl w:val="0"/>
          <w:numId w:val="3"/>
        </w:numPr>
        <w:spacing w:line="360" w:lineRule="auto"/>
        <w:jc w:val="left"/>
        <w:rPr>
          <w:rFonts w:ascii="宋体" w:hAnsi="宋体" w:cs="宋体"/>
          <w:b/>
          <w:color w:val="000000"/>
          <w:sz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cs="宋体" w:hint="eastAsia"/>
          <w:b/>
          <w:color w:val="000000"/>
          <w:sz w:val="28"/>
        </w:rPr>
        <w:t>施工方法</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地基基础</w:t>
      </w:r>
    </w:p>
    <w:p w:rsidR="006A67C6">
      <w:pPr>
        <w:pStyle w:val="Normal0"/>
        <w:ind w:firstLine="480"/>
        <w:rPr>
          <w:rFonts w:ascii="宋体" w:hAnsi="宋体"/>
          <w:sz w:val="24"/>
        </w:rPr>
      </w:pPr>
      <w:r>
        <w:rPr>
          <w:rFonts w:ascii="宋体" w:hAnsi="宋体" w:hint="eastAsia"/>
          <w:sz w:val="24"/>
        </w:rPr>
        <w:t>定距定位。根据构造要求在建筑物四角用尺量出内、外立杆离墙距离，并做好标记；用钢卷尺拉直，分出立杆位置，并用小竹片点出立杆标记；垫板、底座</w:t>
      </w:r>
      <w:r>
        <w:rPr>
          <w:rFonts w:ascii="宋体" w:hAnsi="宋体" w:hint="eastAsia"/>
          <w:sz w:val="24"/>
        </w:rPr>
        <w:t>应准确地放在定位线上，垫板必须铺放平整，不得悬空。</w:t>
      </w:r>
    </w:p>
    <w:p w:rsidR="006A67C6">
      <w:pPr>
        <w:pStyle w:val="Normal0"/>
        <w:ind w:firstLine="480"/>
        <w:rPr>
          <w:rFonts w:ascii="宋体" w:hAnsi="宋体"/>
          <w:sz w:val="24"/>
        </w:rPr>
      </w:pPr>
      <w:r>
        <w:rPr>
          <w:rFonts w:ascii="宋体" w:hAnsi="宋体" w:hint="eastAsia"/>
          <w:sz w:val="24"/>
        </w:rPr>
        <w:t>在搭设首层</w:t>
      </w:r>
      <w:r>
        <w:rPr>
          <w:rFonts w:ascii="Times New Roman" w:eastAsia="Times New Roman" w:hAnsi="Times New Roman" w:hint="eastAsia"/>
          <w:sz w:val="24"/>
        </w:rPr>
        <w:t xml:space="preserve"> </w:t>
      </w:r>
      <w:r>
        <w:rPr>
          <w:rFonts w:ascii="宋体" w:hAnsi="宋体" w:hint="eastAsia"/>
          <w:sz w:val="24"/>
        </w:rPr>
        <w:t>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6A67C6">
      <w:pPr>
        <w:pStyle w:val="Normal0"/>
        <w:ind w:firstLine="480"/>
        <w:jc w:val="left"/>
        <w:rPr>
          <w:rFonts w:ascii="宋体" w:hAnsi="宋体"/>
          <w:sz w:val="24"/>
        </w:rPr>
      </w:pPr>
      <w:r>
        <w:rPr>
          <w:rFonts w:ascii="宋体" w:hAnsi="宋体" w:hint="eastAsia"/>
          <w:sz w:val="24"/>
        </w:rPr>
        <w:t>本工程脚手架地基础部位应在回填土完后夯实，采用强度等级不低于</w:t>
      </w:r>
      <w:r>
        <w:rPr>
          <w:rFonts w:ascii="Times New Roman" w:eastAsia="Times New Roman" w:hAnsi="Times New Roman" w:hint="eastAsia"/>
          <w:sz w:val="24"/>
        </w:rPr>
        <w:t>C15</w:t>
      </w:r>
      <w:r>
        <w:rPr>
          <w:rFonts w:ascii="宋体" w:hAnsi="宋体" w:hint="eastAsia"/>
          <w:sz w:val="24"/>
        </w:rPr>
        <w:t>的混凝土进行硬化，混凝土硬化厚度不小于</w:t>
      </w:r>
      <w:r>
        <w:rPr>
          <w:rFonts w:ascii="Times New Roman" w:eastAsia="Times New Roman" w:hAnsi="Times New Roman" w:hint="eastAsia"/>
          <w:sz w:val="24"/>
        </w:rPr>
        <w:t>10cm</w:t>
      </w:r>
      <w:r>
        <w:rPr>
          <w:rFonts w:ascii="宋体" w:hAnsi="宋体" w:hint="eastAsia"/>
          <w:sz w:val="24"/>
        </w:rPr>
        <w:t>。地</w:t>
      </w:r>
      <w:r>
        <w:rPr>
          <w:rFonts w:ascii="宋体" w:hAnsi="宋体" w:hint="eastAsia"/>
          <w:sz w:val="24"/>
        </w:rPr>
        <w:t>基承载能力能够满足外脚手架的搭设要求（具体计算数据参阅脚手架计算书），立杆垫板或底座面标高高于自然地坪</w:t>
      </w:r>
      <w:r>
        <w:rPr>
          <w:rFonts w:ascii="宋体" w:hAnsi="宋体" w:hint="eastAsia"/>
          <w:sz w:val="24"/>
        </w:rPr>
        <w:t>50mm</w:t>
      </w:r>
      <w:r>
        <w:rPr>
          <w:rFonts w:ascii="Times New Roman" w:eastAsia="Times New Roman" w:hAnsi="Times New Roman" w:hint="eastAsia"/>
          <w:sz w:val="24"/>
        </w:rPr>
        <w:t>~</w:t>
      </w:r>
      <w:r>
        <w:rPr>
          <w:rFonts w:ascii="宋体" w:hAnsi="宋体" w:hint="eastAsia"/>
          <w:sz w:val="24"/>
        </w:rPr>
        <w:t>100mm</w:t>
      </w:r>
      <w:r>
        <w:rPr>
          <w:rFonts w:ascii="宋体" w:hAnsi="宋体" w:hint="eastAsia"/>
          <w:sz w:val="24"/>
        </w:rPr>
        <w:t>，两侧设置排水沟，排水通畅。</w:t>
      </w:r>
    </w:p>
    <w:p w:rsidR="006A67C6">
      <w:pPr>
        <w:pStyle w:val="Normal0"/>
        <w:ind w:firstLine="480"/>
        <w:jc w:val="left"/>
        <w:rPr>
          <w:rFonts w:ascii="宋体" w:hAnsi="宋体"/>
          <w:sz w:val="24"/>
        </w:rPr>
      </w:pPr>
      <w:r>
        <w:rPr>
          <w:rFonts w:ascii="宋体" w:hAnsi="宋体" w:hint="eastAsia"/>
          <w:sz w:val="24"/>
        </w:rPr>
        <w:t>垫板尺寸采用长度不少于</w:t>
      </w:r>
      <w:r>
        <w:rPr>
          <w:rFonts w:ascii="宋体" w:hAnsi="宋体" w:hint="eastAsia"/>
          <w:sz w:val="24"/>
        </w:rPr>
        <w:t>2</w:t>
      </w:r>
      <w:r>
        <w:rPr>
          <w:rFonts w:ascii="宋体" w:hAnsi="宋体" w:hint="eastAsia"/>
          <w:sz w:val="24"/>
        </w:rPr>
        <w:t>跨、厚度不小于</w:t>
      </w:r>
      <w:r>
        <w:rPr>
          <w:rFonts w:ascii="宋体" w:hAnsi="宋体" w:hint="eastAsia"/>
          <w:sz w:val="24"/>
        </w:rPr>
        <w:t>50mm</w:t>
      </w:r>
      <w:r>
        <w:rPr>
          <w:rFonts w:ascii="宋体" w:hAnsi="宋体" w:hint="eastAsia"/>
          <w:sz w:val="24"/>
        </w:rPr>
        <w:t>、宽度不小于</w:t>
      </w:r>
      <w:r>
        <w:rPr>
          <w:rFonts w:ascii="宋体" w:hAnsi="宋体" w:hint="eastAsia"/>
          <w:sz w:val="24"/>
        </w:rPr>
        <w:t>200mm</w:t>
      </w:r>
      <w:r>
        <w:rPr>
          <w:rFonts w:ascii="宋体" w:hAnsi="宋体" w:hint="eastAsia"/>
          <w:sz w:val="24"/>
        </w:rPr>
        <w:t>的木垫板或槽钢。</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 xml:space="preserve">【扣件式脚手架】 </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立杆设置</w:t>
      </w:r>
    </w:p>
    <w:p w:rsidR="006A67C6">
      <w:pPr>
        <w:pStyle w:val="Normal0"/>
        <w:rPr>
          <w:rFonts w:ascii="宋体" w:hAnsi="宋体"/>
          <w:sz w:val="24"/>
        </w:rPr>
      </w:pPr>
      <w:r>
        <w:rPr>
          <w:rFonts w:ascii="宋体" w:hAnsi="宋体" w:hint="eastAsia"/>
          <w:sz w:val="24"/>
        </w:rPr>
        <w:t>(1)</w:t>
      </w:r>
      <w:r>
        <w:rPr>
          <w:rFonts w:ascii="宋体" w:hAnsi="宋体" w:hint="eastAsia"/>
          <w:sz w:val="24"/>
        </w:rPr>
        <w:t>立杆采用对接接头连接，立杆与纵向水平杆采用直角扣件连接。接头位置交错布置，两个相邻立杆接头避免出现在同步同跨内，并在高度方向错开的距离不小于</w:t>
      </w:r>
      <w:r>
        <w:rPr>
          <w:rFonts w:ascii="Times New Roman" w:eastAsia="Times New Roman" w:hAnsi="Times New Roman" w:hint="eastAsia"/>
          <w:sz w:val="24"/>
        </w:rPr>
        <w:t>50cm</w:t>
      </w:r>
      <w:r>
        <w:rPr>
          <w:rFonts w:ascii="宋体" w:hAnsi="宋体" w:hint="eastAsia"/>
          <w:sz w:val="24"/>
        </w:rPr>
        <w:t>；各接头中心距主节点的距离不大于步距的</w:t>
      </w:r>
      <w:r>
        <w:rPr>
          <w:rFonts w:ascii="Times New Roman" w:eastAsia="Times New Roman" w:hAnsi="Times New Roman" w:hint="eastAsia"/>
          <w:sz w:val="24"/>
        </w:rPr>
        <w:t>1/3</w:t>
      </w:r>
      <w:r>
        <w:rPr>
          <w:rFonts w:ascii="宋体" w:hAnsi="宋体" w:hint="eastAsia"/>
          <w:sz w:val="24"/>
        </w:rPr>
        <w:t>。</w:t>
      </w:r>
    </w:p>
    <w:p w:rsidR="006A67C6">
      <w:pPr>
        <w:pStyle w:val="Normal0"/>
        <w:rPr>
          <w:rFonts w:ascii="宋体" w:hAnsi="宋体"/>
          <w:sz w:val="24"/>
        </w:rPr>
      </w:pPr>
      <w:r>
        <w:rPr>
          <w:rFonts w:ascii="宋体" w:hAnsi="宋体" w:hint="eastAsia"/>
          <w:sz w:val="24"/>
        </w:rPr>
        <w:t>(2)</w:t>
      </w:r>
      <w:r>
        <w:rPr>
          <w:rFonts w:ascii="宋体" w:hAnsi="宋体" w:hint="eastAsia"/>
          <w:sz w:val="24"/>
        </w:rPr>
        <w:t>上部单立杆与下部双立杆交接处，采用单立杆与双立杆之中的一根对接连接。主立杆与副立杆采用旋转扣件连接，扣件数量不应少于</w:t>
      </w:r>
      <w:r>
        <w:rPr>
          <w:rFonts w:ascii="Times New Roman" w:eastAsia="Times New Roman" w:hAnsi="Times New Roman" w:hint="eastAsia"/>
          <w:sz w:val="24"/>
        </w:rPr>
        <w:t>2</w:t>
      </w:r>
      <w:r>
        <w:rPr>
          <w:rFonts w:ascii="宋体" w:hAnsi="宋体" w:hint="eastAsia"/>
          <w:sz w:val="24"/>
        </w:rPr>
        <w:t>个。每根立杆底部应设置垫块，并且必须设置纵、横向扫地杆。纵向扫地杆应采用直角扣件固定在距底座上皮不大于</w:t>
      </w:r>
      <w:r>
        <w:rPr>
          <w:rFonts w:ascii="Times New Roman" w:eastAsia="Times New Roman" w:hAnsi="Times New Roman" w:hint="eastAsia"/>
          <w:sz w:val="24"/>
        </w:rPr>
        <w:t>200mm</w:t>
      </w:r>
      <w:r>
        <w:rPr>
          <w:rFonts w:ascii="宋体" w:hAnsi="宋体" w:hint="eastAsia"/>
          <w:sz w:val="24"/>
        </w:rPr>
        <w:t>处立杆上。横向扫地杆亦应采用直角扣件固定在紧靠纵向扫地杆下方立杆上。</w:t>
      </w:r>
    </w:p>
    <w:p w:rsidR="006A67C6">
      <w:pPr>
        <w:pStyle w:val="Normal0"/>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rPr>
        <w:t>当立杆基础不在同一高度上时，必须将高处的纵向扫地杆向低处延长两跨与立杆固定，高低差不应大于</w:t>
      </w:r>
      <w:r>
        <w:rPr>
          <w:rFonts w:ascii="Times New Roman" w:eastAsia="Times New Roman" w:hAnsi="Times New Roman" w:hint="eastAsia"/>
          <w:sz w:val="24"/>
        </w:rPr>
        <w:t>1m</w:t>
      </w:r>
      <w:r>
        <w:rPr>
          <w:rFonts w:ascii="宋体" w:hAnsi="宋体" w:hint="eastAsia"/>
          <w:sz w:val="24"/>
        </w:rPr>
        <w:t>。靠边坡上方的立杆轴线到边坡的距离不应小于</w:t>
      </w:r>
      <w:r>
        <w:rPr>
          <w:rFonts w:ascii="Times New Roman" w:eastAsia="Times New Roman" w:hAnsi="Times New Roman" w:hint="eastAsia"/>
          <w:sz w:val="24"/>
        </w:rPr>
        <w:t>500mm</w:t>
      </w:r>
      <w:r>
        <w:rPr>
          <w:rFonts w:ascii="宋体" w:hAnsi="宋体" w:hint="eastAsia"/>
          <w:sz w:val="24"/>
        </w:rPr>
        <w:t>。</w:t>
      </w:r>
    </w:p>
    <w:p w:rsidR="006A67C6">
      <w:pPr>
        <w:pStyle w:val="Normal0"/>
        <w:rPr>
          <w:rFonts w:ascii="宋体" w:hAnsi="宋体"/>
          <w:sz w:val="24"/>
        </w:rPr>
      </w:pPr>
      <w:r>
        <w:rPr>
          <w:rFonts w:ascii="宋体" w:hAnsi="宋体" w:hint="eastAsia"/>
          <w:sz w:val="24"/>
        </w:rPr>
        <w:t>(4)</w:t>
      </w:r>
      <w:r>
        <w:rPr>
          <w:rFonts w:ascii="宋体" w:hAnsi="宋体" w:hint="eastAsia"/>
          <w:sz w:val="24"/>
        </w:rPr>
        <w:t>立杆的垂直偏差应控制在不大于架高的</w:t>
      </w:r>
      <w:r>
        <w:rPr>
          <w:rFonts w:ascii="Times New Roman" w:eastAsia="Times New Roman" w:hAnsi="Times New Roman" w:hint="eastAsia"/>
          <w:sz w:val="24"/>
        </w:rPr>
        <w:t>1/400</w:t>
      </w:r>
      <w:r>
        <w:rPr>
          <w:rFonts w:ascii="宋体" w:hAnsi="宋体" w:hint="eastAsia"/>
          <w:sz w:val="24"/>
        </w:rPr>
        <w:t>。</w:t>
      </w:r>
    </w:p>
    <w:p w:rsidR="006A67C6">
      <w:pPr>
        <w:pStyle w:val="Normal0"/>
        <w:rPr>
          <w:rFonts w:ascii="宋体" w:hAnsi="宋体"/>
          <w:sz w:val="24"/>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4"/>
        </w:rPr>
        <w:t>(5)</w:t>
      </w:r>
      <w:r>
        <w:rPr>
          <w:rFonts w:ascii="宋体" w:hAnsi="宋体" w:hint="eastAsia"/>
          <w:sz w:val="24"/>
        </w:rPr>
        <w:t>开始搭设立杆时，每隔</w:t>
      </w:r>
      <w:r>
        <w:rPr>
          <w:rFonts w:ascii="宋体" w:hAnsi="宋体" w:hint="eastAsia"/>
          <w:sz w:val="24"/>
        </w:rPr>
        <w:t>6</w:t>
      </w:r>
    </w:p>
    <w:p w:rsidR="006A67C6">
      <w:pPr>
        <w:pStyle w:val="Normal0"/>
        <w:rPr>
          <w:rFonts w:ascii="宋体" w:hAnsi="宋体"/>
          <w:sz w:val="24"/>
        </w:rPr>
      </w:pPr>
      <w:r>
        <w:rPr>
          <w:rFonts w:ascii="宋体" w:hAnsi="宋体" w:hint="eastAsia"/>
          <w:sz w:val="24"/>
        </w:rPr>
        <w:t>跨设置一根抛撑，直至连墙件安装稳定后，方可根据情况拆除。</w:t>
      </w:r>
    </w:p>
    <w:p w:rsidR="006A67C6">
      <w:pPr>
        <w:pStyle w:val="Normal0"/>
        <w:rPr>
          <w:rFonts w:ascii="宋体" w:hAnsi="宋体"/>
          <w:sz w:val="24"/>
        </w:rPr>
      </w:pPr>
      <w:r>
        <w:rPr>
          <w:rFonts w:ascii="宋体" w:hAnsi="宋体" w:hint="eastAsia"/>
          <w:sz w:val="24"/>
        </w:rPr>
        <w:t>(6)</w:t>
      </w:r>
      <w:r>
        <w:rPr>
          <w:rFonts w:ascii="宋体" w:hAnsi="宋体" w:hint="eastAsia"/>
          <w:sz w:val="24"/>
        </w:rPr>
        <w:t>立杆及纵横向水平杆构造要求见下图。</w:t>
      </w:r>
    </w:p>
    <w:p w:rsidR="006A67C6">
      <w:pPr>
        <w:pStyle w:val="Normal0"/>
        <w:rPr>
          <w:rFonts w:ascii="宋体" w:hAnsi="宋体"/>
          <w:sz w:val="24"/>
        </w:rPr>
      </w:pPr>
      <w:r>
        <w:rPr>
          <w:rFonts w:ascii="宋体" w:hAnsi="宋体"/>
          <w:sz w:val="24"/>
        </w:rPr>
        <w:pict>
          <v:shape id="图片 4" o:spid="_x0000_i1026" type="#_x0000_t75" style="width:366.75pt;height:192pt;mso-wrap-distance-bottom:0;mso-wrap-distance-left:9pt;mso-wrap-distance-right:9pt;mso-wrap-distance-top:0">
            <v:imagedata r:id="rId6" o:title=""/>
          </v:shape>
        </w:pict>
      </w:r>
    </w:p>
    <w:p w:rsidR="006A67C6">
      <w:pPr>
        <w:pStyle w:val="Normal0"/>
        <w:rPr>
          <w:rFonts w:ascii="宋体" w:hAnsi="宋体"/>
          <w:sz w:val="24"/>
        </w:rPr>
      </w:pPr>
      <w:r>
        <w:rPr>
          <w:rFonts w:ascii="宋体" w:hAnsi="宋体"/>
          <w:sz w:val="24"/>
        </w:rPr>
        <w:pict>
          <v:shape id="图片 5" o:spid="_x0000_i1027" type="#_x0000_t75" style="width:388.5pt;height:165.75pt;mso-wrap-distance-bottom:0;mso-wrap-distance-left:9pt;mso-wrap-distance-right:9pt;mso-wrap-distance-top:0">
            <v:imagedata r:id="rId7" o:title=""/>
          </v:shape>
        </w:pict>
      </w:r>
    </w:p>
    <w:p w:rsidR="006A67C6">
      <w:pPr>
        <w:pStyle w:val="Normal0"/>
        <w:jc w:val="center"/>
        <w:rPr>
          <w:rFonts w:ascii="宋体" w:hAnsi="宋体"/>
          <w:sz w:val="18"/>
        </w:rPr>
      </w:pPr>
      <w:r>
        <w:rPr>
          <w:rFonts w:ascii="宋体" w:hAnsi="宋体" w:hint="eastAsia"/>
          <w:sz w:val="18"/>
        </w:rPr>
        <w:t>立杆对接接头布置</w:t>
      </w:r>
    </w:p>
    <w:p w:rsidR="006A67C6">
      <w:pPr>
        <w:pStyle w:val="Normal0"/>
        <w:rPr>
          <w:rFonts w:ascii="Times New Roman" w:eastAsia="Times New Roman" w:hAnsi="Times New Roman"/>
          <w:sz w:val="24"/>
        </w:rPr>
      </w:pPr>
    </w:p>
    <w:p w:rsidR="006A67C6">
      <w:pPr>
        <w:pStyle w:val="Normal0"/>
        <w:rPr>
          <w:rFonts w:ascii="Times New Roman" w:eastAsia="Times New Roman" w:hAnsi="Times New Roman"/>
          <w:sz w:val="24"/>
        </w:rPr>
        <w:sectPr>
          <w:type w:val="nextPage"/>
          <w:pgSz w:w="11906" w:h="16838"/>
          <w:pgMar w:top="1440" w:right="1800" w:bottom="1440" w:left="1800" w:header="851" w:footer="992" w:gutter="0"/>
          <w:pgNumType w:start="12"/>
          <w:cols w:space="425"/>
          <w:titlePg w:val="0"/>
          <w:docGrid w:type="lines" w:linePitch="312"/>
        </w:sectPr>
      </w:pPr>
      <w:r>
        <w:rPr>
          <w:rFonts w:ascii="Times New Roman" w:eastAsia="Times New Roman" w:hAnsi="Times New Roman"/>
          <w:sz w:val="24"/>
        </w:rPr>
        <w:pict>
          <v:shape id="图片 6" o:spid="_x0000_i1028" type="#_x0000_t75" style="width:341.25pt;height:170.25pt;mso-wrap-distance-bottom:0;mso-wrap-distance-left:9pt;mso-wrap-distance-right:9pt;mso-wrap-distance-top:0">
            <v:imagedata r:id="rId8" o:title=""/>
          </v:shape>
        </w:pict>
      </w:r>
    </w:p>
    <w:p w:rsidR="006A67C6">
      <w:pPr>
        <w:pStyle w:val="Normal0"/>
        <w:jc w:val="center"/>
        <w:rPr>
          <w:rFonts w:ascii="宋体" w:hAnsi="宋体"/>
          <w:sz w:val="18"/>
        </w:rPr>
      </w:pPr>
      <w:r>
        <w:rPr>
          <w:rFonts w:ascii="宋体" w:hAnsi="宋体" w:hint="eastAsia"/>
          <w:sz w:val="18"/>
        </w:rPr>
        <w:t>纵、横向扫地杆构造</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2、</w:t>
      </w:r>
      <w:r>
        <w:rPr>
          <w:rFonts w:ascii="宋体" w:hAnsi="宋体" w:hint="eastAsia"/>
          <w:sz w:val="24"/>
        </w:rPr>
        <w:t>纵、横向水平杆</w:t>
      </w:r>
    </w:p>
    <w:p w:rsidR="006A67C6">
      <w:pPr>
        <w:pStyle w:val="Normal0"/>
        <w:numPr>
          <w:ilvl w:val="0"/>
          <w:numId w:val="4"/>
        </w:numPr>
        <w:rPr>
          <w:rFonts w:ascii="宋体" w:hAnsi="宋体"/>
          <w:sz w:val="24"/>
        </w:rPr>
      </w:pPr>
      <w:r>
        <w:rPr>
          <w:rFonts w:ascii="宋体" w:hAnsi="宋体" w:hint="eastAsia"/>
          <w:sz w:val="24"/>
        </w:rPr>
        <w:t>纵向水平杆设置在立杆内侧，其长度不小于</w:t>
      </w:r>
      <w:r>
        <w:rPr>
          <w:rFonts w:ascii="Times New Roman" w:eastAsia="Times New Roman" w:hAnsi="Times New Roman" w:hint="eastAsia"/>
          <w:sz w:val="24"/>
        </w:rPr>
        <w:t>3</w:t>
      </w:r>
      <w:r>
        <w:rPr>
          <w:rFonts w:ascii="宋体" w:hAnsi="宋体" w:hint="eastAsia"/>
          <w:sz w:val="24"/>
        </w:rPr>
        <w:t>跨。纵向水平杆接长宜采用对接扣件连接，也可采用搭接。要求如下：</w:t>
      </w:r>
    </w:p>
    <w:p w:rsidR="006A67C6">
      <w:pPr>
        <w:pStyle w:val="Normal0"/>
        <w:ind w:firstLine="480"/>
        <w:rPr>
          <w:rFonts w:ascii="宋体" w:hAnsi="宋体"/>
          <w:sz w:val="24"/>
        </w:rPr>
      </w:pPr>
      <w:r>
        <w:rPr>
          <w:rFonts w:ascii="宋体" w:hAnsi="宋体" w:hint="eastAsia"/>
          <w:sz w:val="24"/>
        </w:rPr>
        <w:t>当采用对接时，对接扣件应该交错布置，两根相邻纵向水平杆接头不宜设置在同步或同跨；不同步或不同跨两相邻接头在水平方向错开距离不应小于</w:t>
      </w:r>
      <w:r>
        <w:rPr>
          <w:rFonts w:ascii="Times New Roman" w:eastAsia="Times New Roman" w:hAnsi="Times New Roman" w:hint="eastAsia"/>
          <w:sz w:val="24"/>
        </w:rPr>
        <w:t>500mm</w:t>
      </w:r>
      <w:r>
        <w:rPr>
          <w:rFonts w:ascii="宋体" w:hAnsi="宋体" w:hint="eastAsia"/>
          <w:sz w:val="24"/>
        </w:rPr>
        <w:t>；各接头中心至最近主节点的距离不宜大于纵距的</w:t>
      </w:r>
      <w:r>
        <w:rPr>
          <w:rFonts w:ascii="Times New Roman" w:eastAsia="Times New Roman" w:hAnsi="Times New Roman" w:hint="eastAsia"/>
          <w:sz w:val="24"/>
        </w:rPr>
        <w:t>1/3</w:t>
      </w:r>
      <w:r>
        <w:rPr>
          <w:rFonts w:ascii="宋体" w:hAnsi="宋体" w:hint="eastAsia"/>
          <w:sz w:val="24"/>
        </w:rPr>
        <w:t>。</w:t>
      </w:r>
    </w:p>
    <w:p w:rsidR="006A67C6">
      <w:pPr>
        <w:pStyle w:val="Normal0"/>
        <w:ind w:firstLine="480"/>
        <w:rPr>
          <w:rFonts w:ascii="宋体" w:hAnsi="宋体"/>
          <w:sz w:val="24"/>
        </w:rPr>
      </w:pPr>
      <w:r>
        <w:rPr>
          <w:rFonts w:ascii="宋体" w:hAnsi="宋体" w:hint="eastAsia"/>
          <w:sz w:val="24"/>
        </w:rPr>
        <w:t>当采用搭接时，搭接长度不应小于</w:t>
      </w:r>
      <w:r>
        <w:rPr>
          <w:rFonts w:ascii="Times New Roman" w:eastAsia="Times New Roman" w:hAnsi="Times New Roman" w:hint="eastAsia"/>
          <w:sz w:val="24"/>
        </w:rPr>
        <w:t>1m</w:t>
      </w:r>
      <w:r>
        <w:rPr>
          <w:rFonts w:ascii="宋体" w:hAnsi="宋体" w:hint="eastAsia"/>
          <w:sz w:val="24"/>
        </w:rPr>
        <w:t>，应等间距设置</w:t>
      </w:r>
      <w:r>
        <w:rPr>
          <w:rFonts w:ascii="Times New Roman" w:eastAsia="Times New Roman" w:hAnsi="Times New Roman" w:hint="eastAsia"/>
          <w:sz w:val="24"/>
        </w:rPr>
        <w:t>3</w:t>
      </w:r>
      <w:r>
        <w:rPr>
          <w:rFonts w:ascii="宋体" w:hAnsi="宋体" w:hint="eastAsia"/>
          <w:sz w:val="24"/>
        </w:rPr>
        <w:t>个旋转扣件固定，端部扣件盖板边缘至搭接纵向水平杆杆端的距离不应小于</w:t>
      </w:r>
      <w:r>
        <w:rPr>
          <w:rFonts w:ascii="Times New Roman" w:eastAsia="Times New Roman" w:hAnsi="Times New Roman" w:hint="eastAsia"/>
          <w:sz w:val="24"/>
        </w:rPr>
        <w:t>100mm</w:t>
      </w:r>
      <w:r>
        <w:rPr>
          <w:rFonts w:ascii="宋体" w:hAnsi="宋体" w:hint="eastAsia"/>
          <w:sz w:val="24"/>
        </w:rPr>
        <w:t>。</w:t>
      </w:r>
    </w:p>
    <w:p w:rsidR="006A67C6">
      <w:pPr>
        <w:pStyle w:val="Normal0"/>
        <w:numPr>
          <w:ilvl w:val="0"/>
          <w:numId w:val="4"/>
        </w:numPr>
        <w:rPr>
          <w:rFonts w:ascii="宋体" w:hAnsi="宋体"/>
          <w:sz w:val="24"/>
        </w:rPr>
      </w:pPr>
      <w:r>
        <w:rPr>
          <w:rFonts w:ascii="宋体" w:hAnsi="宋体" w:hint="eastAsia"/>
          <w:sz w:val="24"/>
        </w:rPr>
        <w:t>立杆与纵向水平杆交点处设置横向水平杆，两端固定在立杆上，以形成空间结构整体受力。</w:t>
      </w:r>
    </w:p>
    <w:p w:rsidR="006A67C6">
      <w:pPr>
        <w:pStyle w:val="Normal0"/>
        <w:jc w:val="center"/>
        <w:rPr>
          <w:sz w:val="24"/>
        </w:rPr>
      </w:pPr>
      <w:r>
        <w:rPr>
          <w:sz w:val="24"/>
        </w:rPr>
        <w:pict>
          <v:shape id="图片 7" o:spid="_x0000_i1029" type="#_x0000_t75" style="width:366.75pt;height:189.75pt;mso-wrap-distance-bottom:0;mso-wrap-distance-left:9pt;mso-wrap-distance-right:9pt;mso-wrap-distance-top:0">
            <v:imagedata r:id="rId9" o:title=""/>
          </v:shape>
        </w:pict>
      </w:r>
    </w:p>
    <w:p w:rsidR="006A67C6">
      <w:pPr>
        <w:pStyle w:val="Normal0"/>
        <w:jc w:val="center"/>
        <w:rPr>
          <w:rFonts w:ascii="宋体" w:hAnsi="宋体"/>
          <w:sz w:val="18"/>
        </w:rPr>
      </w:pPr>
      <w:r>
        <w:rPr>
          <w:rFonts w:ascii="宋体" w:hAnsi="宋体" w:hint="eastAsia"/>
          <w:sz w:val="18"/>
        </w:rPr>
        <w:t>纵向水平杆对接接头布置</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3、</w:t>
      </w:r>
      <w:r>
        <w:rPr>
          <w:rFonts w:ascii="宋体" w:hAnsi="宋体" w:hint="eastAsia"/>
          <w:sz w:val="24"/>
        </w:rPr>
        <w:t>剪刀撑设置</w:t>
      </w:r>
    </w:p>
    <w:p w:rsidR="006A67C6">
      <w:pPr>
        <w:pStyle w:val="Normal0"/>
        <w:rPr>
          <w:rFonts w:ascii="宋体" w:hAnsi="宋体"/>
          <w:sz w:val="24"/>
        </w:rPr>
      </w:pPr>
      <w:r>
        <w:rPr>
          <w:rFonts w:ascii="Times New Roman" w:eastAsia="Times New Roman" w:hAnsi="Times New Roman" w:hint="eastAsia"/>
          <w:sz w:val="24"/>
        </w:rPr>
        <w:t>(1)</w:t>
      </w:r>
      <w:r>
        <w:rPr>
          <w:rFonts w:ascii="宋体" w:hAnsi="宋体" w:hint="eastAsia"/>
          <w:sz w:val="24"/>
        </w:rPr>
        <w:t>脚手架外侧立面整个长度和高度上连续设置剪刀撑；</w:t>
      </w:r>
    </w:p>
    <w:p w:rsidR="006A67C6">
      <w:pPr>
        <w:pStyle w:val="Normal0"/>
        <w:rPr>
          <w:rFonts w:ascii="宋体" w:hAnsi="宋体"/>
          <w:sz w:val="24"/>
        </w:rPr>
      </w:pPr>
      <w:r>
        <w:rPr>
          <w:rFonts w:ascii="宋体" w:hAnsi="宋体" w:hint="eastAsia"/>
          <w:sz w:val="24"/>
        </w:rPr>
        <w:t>(2)</w:t>
      </w:r>
      <w:r>
        <w:rPr>
          <w:rFonts w:ascii="宋体" w:hAnsi="宋体" w:hint="eastAsia"/>
          <w:sz w:val="24"/>
        </w:rPr>
        <w:t>每道剪刀撑宽度不应小于</w:t>
      </w:r>
      <w:r>
        <w:rPr>
          <w:rFonts w:ascii="宋体" w:hAnsi="宋体" w:hint="eastAsia"/>
          <w:sz w:val="24"/>
        </w:rPr>
        <w:t>4</w:t>
      </w:r>
      <w:r>
        <w:rPr>
          <w:rFonts w:ascii="宋体" w:hAnsi="宋体" w:hint="eastAsia"/>
          <w:sz w:val="24"/>
        </w:rPr>
        <w:t>跨，且不应小于</w:t>
      </w:r>
      <w:r>
        <w:rPr>
          <w:rFonts w:ascii="宋体" w:hAnsi="宋体" w:hint="eastAsia"/>
          <w:sz w:val="24"/>
        </w:rPr>
        <w:t>6m</w:t>
      </w:r>
      <w:r>
        <w:rPr>
          <w:rFonts w:ascii="宋体" w:hAnsi="宋体" w:hint="eastAsia"/>
          <w:sz w:val="24"/>
        </w:rPr>
        <w:t>，斜杆与地面的倾角宜在</w:t>
      </w:r>
      <w:r>
        <w:rPr>
          <w:rFonts w:ascii="Times New Roman" w:eastAsia="Times New Roman" w:hAnsi="Times New Roman" w:hint="eastAsia"/>
          <w:sz w:val="24"/>
        </w:rPr>
        <w:t>45°~60°</w:t>
      </w:r>
      <w:r>
        <w:rPr>
          <w:rFonts w:ascii="宋体" w:hAnsi="宋体" w:hint="eastAsia"/>
          <w:sz w:val="24"/>
        </w:rPr>
        <w:t>之间。</w:t>
      </w:r>
    </w:p>
    <w:p w:rsidR="006A67C6">
      <w:pPr>
        <w:pStyle w:val="Normal0"/>
        <w:rPr>
          <w:rFonts w:ascii="宋体" w:hAnsi="宋体"/>
          <w:sz w:val="24"/>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4"/>
        </w:rPr>
        <w:t>(3)</w:t>
      </w:r>
      <w:r>
        <w:rPr>
          <w:rFonts w:ascii="宋体" w:hAnsi="宋体" w:hint="eastAsia"/>
          <w:sz w:val="24"/>
        </w:rPr>
        <w:t>剪刀撑斜杆的接长应采用搭接或对接，采用搭接连接时，搭接长度不小于</w:t>
      </w:r>
      <w:r>
        <w:rPr>
          <w:rFonts w:ascii="Times New Roman" w:eastAsia="Times New Roman" w:hAnsi="Times New Roman" w:hint="eastAsia"/>
          <w:sz w:val="24"/>
        </w:rPr>
        <w:t>1m</w:t>
      </w:r>
      <w:r>
        <w:rPr>
          <w:rFonts w:ascii="宋体" w:hAnsi="宋体" w:hint="eastAsia"/>
          <w:sz w:val="24"/>
        </w:rPr>
        <w:t>，应采用不少于</w:t>
      </w:r>
      <w:r>
        <w:rPr>
          <w:rFonts w:ascii="Times New Roman" w:eastAsia="Times New Roman" w:hAnsi="Times New Roman" w:hint="eastAsia"/>
          <w:sz w:val="24"/>
        </w:rPr>
        <w:t>2</w:t>
      </w:r>
      <w:r>
        <w:rPr>
          <w:rFonts w:ascii="宋体" w:hAnsi="宋体" w:hint="eastAsia"/>
          <w:sz w:val="24"/>
        </w:rPr>
        <w:t>个旋转扣件固定，端部扣件盖板的边缘至杆端距离不小于</w:t>
      </w:r>
      <w:r>
        <w:rPr>
          <w:rFonts w:ascii="宋体" w:hAnsi="宋体" w:hint="eastAsia"/>
          <w:sz w:val="24"/>
        </w:rPr>
        <w:t>100mm</w:t>
      </w:r>
      <w:r>
        <w:rPr>
          <w:rFonts w:ascii="宋体" w:hAnsi="宋体" w:hint="eastAsia"/>
          <w:sz w:val="24"/>
        </w:rPr>
        <w:t>。</w:t>
      </w:r>
    </w:p>
    <w:p w:rsidR="006A67C6">
      <w:pPr>
        <w:pStyle w:val="Normal0"/>
        <w:jc w:val="center"/>
        <w:rPr>
          <w:rFonts w:ascii="宋体" w:hAnsi="宋体"/>
          <w:sz w:val="24"/>
        </w:rPr>
      </w:pPr>
      <w:r>
        <w:rPr>
          <w:rFonts w:ascii="宋体" w:hAnsi="宋体"/>
          <w:sz w:val="24"/>
        </w:rPr>
        <w:pict>
          <v:shape id="图片 8" o:spid="_x0000_i1030" type="#_x0000_t75" style="width:341.25pt;height:111.75pt;mso-wrap-distance-bottom:0;mso-wrap-distance-left:9pt;mso-wrap-distance-right:9pt;mso-wrap-distance-top:0">
            <v:imagedata r:id="rId10" o:title=""/>
          </v:shape>
        </w:pict>
      </w:r>
    </w:p>
    <w:p w:rsidR="006A67C6">
      <w:pPr>
        <w:pStyle w:val="Normal0"/>
        <w:jc w:val="center"/>
        <w:rPr>
          <w:rFonts w:ascii="宋体" w:hAnsi="宋体"/>
          <w:sz w:val="18"/>
        </w:rPr>
      </w:pPr>
      <w:r>
        <w:rPr>
          <w:rFonts w:ascii="宋体" w:hAnsi="宋体" w:hint="eastAsia"/>
          <w:sz w:val="18"/>
        </w:rPr>
        <w:t>剪刀撑（立杆）搭接构造</w:t>
      </w:r>
    </w:p>
    <w:p w:rsidR="006A67C6">
      <w:pPr>
        <w:pStyle w:val="Normal0"/>
        <w:rPr>
          <w:rFonts w:ascii="宋体" w:hAnsi="宋体"/>
          <w:sz w:val="24"/>
        </w:rPr>
      </w:pPr>
      <w:r>
        <w:rPr>
          <w:rFonts w:ascii="宋体" w:hAnsi="宋体" w:hint="eastAsia"/>
          <w:sz w:val="24"/>
        </w:rPr>
        <w:t>(4)</w:t>
      </w:r>
      <w:r>
        <w:rPr>
          <w:rFonts w:ascii="宋体" w:hAnsi="宋体" w:hint="eastAsia"/>
          <w:sz w:val="24"/>
        </w:rPr>
        <w:t>剪刀撑斜杆应用旋转扣件固定在与之相交的横向水平杆的伸出端或立杆上，旋转扣件中心线离主节点的距离不宜大于</w:t>
      </w:r>
      <w:r>
        <w:rPr>
          <w:rFonts w:ascii="Times New Roman" w:eastAsia="Times New Roman" w:hAnsi="Times New Roman" w:hint="eastAsia"/>
          <w:sz w:val="24"/>
        </w:rPr>
        <w:t>150mm</w:t>
      </w:r>
      <w:r>
        <w:rPr>
          <w:rFonts w:ascii="宋体" w:hAnsi="宋体" w:hint="eastAsia"/>
          <w:sz w:val="24"/>
        </w:rPr>
        <w:t>。</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4、</w:t>
      </w:r>
      <w:r>
        <w:rPr>
          <w:rFonts w:ascii="宋体" w:hAnsi="宋体" w:hint="eastAsia"/>
          <w:sz w:val="24"/>
        </w:rPr>
        <w:t>脚手板、脚手片的铺设要求</w:t>
      </w:r>
    </w:p>
    <w:p w:rsidR="006A67C6">
      <w:pPr>
        <w:pStyle w:val="Normal0"/>
        <w:rPr>
          <w:rFonts w:ascii="宋体" w:hAnsi="宋体"/>
          <w:sz w:val="24"/>
        </w:rPr>
      </w:pPr>
      <w:r>
        <w:rPr>
          <w:rFonts w:ascii="Times New Roman" w:eastAsia="Times New Roman" w:hAnsi="Times New Roman" w:hint="eastAsia"/>
          <w:sz w:val="24"/>
        </w:rPr>
        <w:t xml:space="preserve">(1) </w:t>
      </w:r>
      <w:r>
        <w:rPr>
          <w:rFonts w:ascii="宋体" w:hAnsi="宋体" w:hint="eastAsia"/>
          <w:sz w:val="24"/>
        </w:rPr>
        <w:t>脚手架里排立杆与结构层之间均应铺设脚手板，内外立杆间应满铺脚手板，无探头板。将脚手板两端与水平杆可靠固定，严防倾翻。</w:t>
      </w:r>
    </w:p>
    <w:p w:rsidR="006A67C6">
      <w:pPr>
        <w:pStyle w:val="Normal0"/>
        <w:rPr>
          <w:rFonts w:ascii="宋体" w:hAnsi="宋体"/>
          <w:sz w:val="24"/>
        </w:rPr>
      </w:pPr>
      <w:r>
        <w:rPr>
          <w:rFonts w:ascii="Times New Roman" w:eastAsia="Times New Roman" w:hAnsi="Times New Roman" w:hint="eastAsia"/>
          <w:sz w:val="24"/>
        </w:rPr>
        <w:t xml:space="preserve">(2) </w:t>
      </w:r>
      <w:r>
        <w:rPr>
          <w:rFonts w:ascii="宋体" w:hAnsi="宋体" w:hint="eastAsia"/>
          <w:sz w:val="24"/>
        </w:rPr>
        <w:t>满铺层脚手片必须垂直墙面横向铺设，满铺到位，不留空位，不能满铺处必须采取有效的防护措施。</w:t>
      </w:r>
    </w:p>
    <w:p w:rsidR="006A67C6">
      <w:pPr>
        <w:pStyle w:val="Normal0"/>
        <w:rPr>
          <w:rFonts w:ascii="宋体" w:hAnsi="宋体"/>
          <w:sz w:val="24"/>
        </w:rPr>
      </w:pPr>
      <w:r>
        <w:rPr>
          <w:rFonts w:ascii="Times New Roman" w:eastAsia="Times New Roman" w:hAnsi="Times New Roman" w:hint="eastAsia"/>
          <w:sz w:val="24"/>
        </w:rPr>
        <w:t xml:space="preserve">(3) </w:t>
      </w:r>
      <w:r>
        <w:rPr>
          <w:rFonts w:ascii="宋体" w:hAnsi="宋体" w:hint="eastAsia"/>
          <w:sz w:val="24"/>
        </w:rPr>
        <w:t>脚手片须用</w:t>
      </w:r>
      <w:r>
        <w:rPr>
          <w:rFonts w:ascii="Times New Roman" w:eastAsia="Times New Roman" w:hAnsi="Times New Roman" w:hint="eastAsia"/>
          <w:sz w:val="24"/>
        </w:rPr>
        <w:t>12-14#</w:t>
      </w:r>
      <w:r>
        <w:rPr>
          <w:rFonts w:ascii="宋体" w:hAnsi="宋体" w:hint="eastAsia"/>
          <w:sz w:val="24"/>
        </w:rPr>
        <w:t>铅丝双股并联绑扎，不少于</w:t>
      </w:r>
      <w:r>
        <w:rPr>
          <w:rFonts w:ascii="Times New Roman" w:eastAsia="Times New Roman" w:hAnsi="Times New Roman" w:hint="eastAsia"/>
          <w:sz w:val="24"/>
        </w:rPr>
        <w:t>4</w:t>
      </w:r>
      <w:r>
        <w:rPr>
          <w:rFonts w:ascii="宋体" w:hAnsi="宋体" w:hint="eastAsia"/>
          <w:sz w:val="24"/>
        </w:rPr>
        <w:t>点，要求绑扎牢固，交接处平整，铺设时要选用完好无损的脚手片，发现有破损的要及时</w:t>
      </w:r>
      <w:r>
        <w:rPr>
          <w:rFonts w:ascii="宋体" w:hAnsi="宋体" w:hint="eastAsia"/>
          <w:sz w:val="24"/>
        </w:rPr>
        <w:t>更换。</w:t>
      </w:r>
    </w:p>
    <w:p w:rsidR="006A67C6">
      <w:pPr>
        <w:pStyle w:val="Normal0"/>
        <w:jc w:val="center"/>
        <w:rPr>
          <w:rFonts w:ascii="宋体" w:hAnsi="宋体"/>
          <w:sz w:val="24"/>
        </w:rPr>
      </w:pPr>
      <w:r>
        <w:rPr>
          <w:rFonts w:ascii="宋体" w:hAnsi="宋体"/>
          <w:sz w:val="24"/>
        </w:rPr>
        <w:pict>
          <v:shape id="图片 9" o:spid="_x0000_i1031" type="#_x0000_t75" style="width:349.5pt;height:90.75pt;mso-wrap-distance-bottom:0;mso-wrap-distance-left:9pt;mso-wrap-distance-right:9pt;mso-wrap-distance-top:0">
            <v:imagedata r:id="rId11" o:title=""/>
          </v:shape>
        </w:pict>
      </w:r>
    </w:p>
    <w:p w:rsidR="006A67C6">
      <w:pPr>
        <w:pStyle w:val="Normal0"/>
        <w:jc w:val="center"/>
        <w:rPr>
          <w:rFonts w:ascii="宋体" w:hAnsi="宋体"/>
          <w:sz w:val="18"/>
        </w:rPr>
      </w:pPr>
      <w:r>
        <w:rPr>
          <w:rFonts w:ascii="宋体" w:hAnsi="宋体" w:hint="eastAsia"/>
          <w:sz w:val="18"/>
        </w:rPr>
        <w:t xml:space="preserve"> </w:t>
      </w:r>
      <w:r>
        <w:rPr>
          <w:rFonts w:ascii="宋体" w:hAnsi="宋体" w:hint="eastAsia"/>
          <w:sz w:val="18"/>
        </w:rPr>
        <w:t>脚手板对接</w:t>
      </w:r>
      <w:r>
        <w:rPr>
          <w:rFonts w:ascii="宋体" w:hAnsi="宋体" w:hint="eastAsia"/>
          <w:sz w:val="24"/>
        </w:rPr>
        <w:t xml:space="preserve">                           </w:t>
      </w:r>
      <w:r>
        <w:rPr>
          <w:rFonts w:ascii="宋体" w:hAnsi="宋体" w:hint="eastAsia"/>
          <w:sz w:val="18"/>
        </w:rPr>
        <w:t>脚手板搭接</w:t>
      </w:r>
    </w:p>
    <w:p w:rsidR="006A67C6">
      <w:pPr>
        <w:pStyle w:val="Normal0"/>
        <w:jc w:val="center"/>
        <w:rPr>
          <w:rFonts w:ascii="宋体" w:hAnsi="宋体"/>
          <w:sz w:val="18"/>
        </w:rPr>
      </w:pPr>
      <w:r>
        <w:rPr>
          <w:rFonts w:ascii="宋体" w:hAnsi="宋体" w:hint="eastAsia"/>
          <w:sz w:val="18"/>
        </w:rPr>
        <w:t>脚手板对接、搭接构造</w:t>
      </w:r>
    </w:p>
    <w:p w:rsidR="006A67C6">
      <w:pPr>
        <w:pStyle w:val="Normal0"/>
        <w:rPr>
          <w:rFonts w:ascii="宋体" w:hAnsi="宋体"/>
          <w:sz w:val="24"/>
        </w:rPr>
      </w:pPr>
      <w:r>
        <w:rPr>
          <w:rFonts w:ascii="Times New Roman" w:eastAsia="Times New Roman" w:hAnsi="Times New Roman" w:hint="eastAsia"/>
          <w:sz w:val="24"/>
        </w:rPr>
        <w:t>(4)</w:t>
      </w:r>
      <w:r>
        <w:rPr>
          <w:rFonts w:ascii="宋体" w:hAnsi="宋体" w:hint="eastAsia"/>
          <w:sz w:val="24"/>
        </w:rPr>
        <w:t>在拐角、斜道平台口处的脚手板，应与横向水平杆可靠连接，防止滑动；</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5、</w:t>
      </w:r>
      <w:r>
        <w:rPr>
          <w:rFonts w:ascii="宋体" w:hAnsi="宋体" w:hint="eastAsia"/>
          <w:sz w:val="24"/>
        </w:rPr>
        <w:t>防护栏杆</w:t>
      </w:r>
    </w:p>
    <w:p w:rsidR="006A67C6">
      <w:pPr>
        <w:pStyle w:val="Normal0"/>
        <w:numPr>
          <w:ilvl w:val="0"/>
          <w:numId w:val="5"/>
        </w:numPr>
        <w:rPr>
          <w:rFonts w:ascii="宋体" w:hAnsi="宋体"/>
          <w:sz w:val="24"/>
        </w:rPr>
      </w:pPr>
      <w:r>
        <w:rPr>
          <w:rFonts w:ascii="宋体" w:hAnsi="宋体" w:hint="eastAsia"/>
          <w:sz w:val="24"/>
        </w:rPr>
        <w:t>脚手架外侧使用建设主管部门认证的合格绿色密目式安全网封闭，且将安全网固定在脚手架外立杆内侧。</w:t>
      </w:r>
    </w:p>
    <w:p w:rsidR="006A67C6">
      <w:pPr>
        <w:pStyle w:val="Normal0"/>
        <w:numPr>
          <w:ilvl w:val="0"/>
          <w:numId w:val="5"/>
        </w:numPr>
        <w:rPr>
          <w:rFonts w:ascii="宋体" w:hAnsi="宋体"/>
          <w:sz w:val="24"/>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4"/>
        </w:rPr>
        <w:t>选用</w:t>
      </w:r>
      <w:r>
        <w:rPr>
          <w:rFonts w:ascii="Times New Roman" w:eastAsia="Times New Roman" w:hAnsi="Times New Roman" w:hint="eastAsia"/>
          <w:sz w:val="24"/>
        </w:rPr>
        <w:t>18#</w:t>
      </w:r>
      <w:r>
        <w:rPr>
          <w:rFonts w:ascii="宋体" w:hAnsi="宋体" w:hint="eastAsia"/>
          <w:sz w:val="24"/>
        </w:rPr>
        <w:t>铅丝张挂安全网，要求严密、平整。</w:t>
      </w:r>
    </w:p>
    <w:p w:rsidR="006A67C6">
      <w:pPr>
        <w:pStyle w:val="Normal0"/>
        <w:numPr>
          <w:ilvl w:val="0"/>
          <w:numId w:val="5"/>
        </w:numPr>
        <w:rPr>
          <w:rFonts w:ascii="宋体" w:hAnsi="宋体"/>
          <w:sz w:val="24"/>
        </w:rPr>
      </w:pPr>
      <w:r>
        <w:rPr>
          <w:rFonts w:ascii="宋体" w:hAnsi="宋体" w:hint="eastAsia"/>
          <w:sz w:val="24"/>
        </w:rPr>
        <w:t>脚手架外侧施工作业层必须在</w:t>
      </w:r>
      <w:r>
        <w:rPr>
          <w:rFonts w:ascii="宋体" w:hAnsi="宋体" w:hint="eastAsia"/>
          <w:sz w:val="24"/>
        </w:rPr>
        <w:t>0.6m</w:t>
      </w:r>
      <w:r>
        <w:rPr>
          <w:rFonts w:ascii="宋体" w:hAnsi="宋体" w:hint="eastAsia"/>
          <w:sz w:val="24"/>
        </w:rPr>
        <w:t>、</w:t>
      </w:r>
      <w:r>
        <w:rPr>
          <w:rFonts w:ascii="Times New Roman" w:eastAsia="Times New Roman" w:hAnsi="Times New Roman" w:hint="eastAsia"/>
          <w:sz w:val="24"/>
        </w:rPr>
        <w:t>1.2m</w:t>
      </w:r>
      <w:r>
        <w:rPr>
          <w:rFonts w:ascii="宋体" w:hAnsi="宋体" w:hint="eastAsia"/>
          <w:sz w:val="24"/>
        </w:rPr>
        <w:t>高位置设置</w:t>
      </w:r>
      <w:r>
        <w:rPr>
          <w:rFonts w:ascii="宋体" w:hAnsi="宋体" w:hint="eastAsia"/>
          <w:sz w:val="24"/>
        </w:rPr>
        <w:t>2</w:t>
      </w:r>
      <w:r>
        <w:rPr>
          <w:rFonts w:ascii="宋体" w:hAnsi="宋体" w:hint="eastAsia"/>
          <w:sz w:val="24"/>
        </w:rPr>
        <w:t>道防护栏杆和</w:t>
      </w:r>
      <w:r>
        <w:rPr>
          <w:rFonts w:ascii="Times New Roman" w:eastAsia="Times New Roman" w:hAnsi="Times New Roman" w:hint="eastAsia"/>
          <w:sz w:val="24"/>
        </w:rPr>
        <w:t>18cm</w:t>
      </w:r>
      <w:r>
        <w:rPr>
          <w:rFonts w:ascii="宋体" w:hAnsi="宋体" w:hint="eastAsia"/>
          <w:sz w:val="24"/>
        </w:rPr>
        <w:t>高挡脚板，栏杆和挡脚板均应搭设在外立杆的内侧。</w:t>
      </w:r>
      <w:r>
        <w:rPr>
          <w:rFonts w:ascii="宋体" w:hAnsi="宋体" w:hint="eastAsia"/>
          <w:sz w:val="24"/>
        </w:rPr>
        <w:t xml:space="preserve"> </w:t>
      </w:r>
    </w:p>
    <w:p w:rsidR="006A67C6">
      <w:pPr>
        <w:pStyle w:val="Normal0"/>
        <w:numPr>
          <w:ilvl w:val="0"/>
          <w:numId w:val="5"/>
        </w:numPr>
        <w:rPr>
          <w:rFonts w:ascii="宋体" w:hAnsi="宋体"/>
          <w:sz w:val="24"/>
        </w:rPr>
      </w:pPr>
      <w:r>
        <w:rPr>
          <w:rFonts w:ascii="宋体" w:hAnsi="宋体" w:hint="eastAsia"/>
          <w:sz w:val="24"/>
        </w:rPr>
        <w:t>脚手架内侧形成临边的</w:t>
      </w:r>
      <w:r>
        <w:rPr>
          <w:rFonts w:ascii="Times New Roman" w:eastAsia="Times New Roman" w:hAnsi="Times New Roman" w:hint="eastAsia"/>
          <w:sz w:val="24"/>
        </w:rPr>
        <w:t>(</w:t>
      </w:r>
      <w:r>
        <w:rPr>
          <w:rFonts w:ascii="宋体" w:hAnsi="宋体" w:hint="eastAsia"/>
          <w:sz w:val="24"/>
        </w:rPr>
        <w:t>如遇大开间门窗洞等</w:t>
      </w:r>
      <w:r>
        <w:rPr>
          <w:rFonts w:ascii="Times New Roman" w:eastAsia="Times New Roman" w:hAnsi="Times New Roman" w:hint="eastAsia"/>
          <w:sz w:val="24"/>
        </w:rPr>
        <w:t>)</w:t>
      </w:r>
      <w:r>
        <w:rPr>
          <w:rFonts w:ascii="宋体" w:hAnsi="宋体" w:hint="eastAsia"/>
          <w:sz w:val="24"/>
        </w:rPr>
        <w:t>，在脚手架内侧在</w:t>
      </w:r>
      <w:r>
        <w:rPr>
          <w:rFonts w:ascii="宋体" w:hAnsi="宋体" w:hint="eastAsia"/>
          <w:sz w:val="24"/>
        </w:rPr>
        <w:t>0.6m</w:t>
      </w:r>
      <w:r>
        <w:rPr>
          <w:rFonts w:ascii="宋体" w:hAnsi="宋体" w:hint="eastAsia"/>
          <w:sz w:val="24"/>
        </w:rPr>
        <w:t>、</w:t>
      </w:r>
      <w:r>
        <w:rPr>
          <w:rFonts w:ascii="Times New Roman" w:eastAsia="Times New Roman" w:hAnsi="Times New Roman" w:hint="eastAsia"/>
          <w:sz w:val="24"/>
        </w:rPr>
        <w:t>1.2m</w:t>
      </w:r>
      <w:r>
        <w:rPr>
          <w:rFonts w:ascii="宋体" w:hAnsi="宋体" w:hint="eastAsia"/>
          <w:sz w:val="24"/>
        </w:rPr>
        <w:t>高位置设置</w:t>
      </w:r>
      <w:r>
        <w:rPr>
          <w:rFonts w:ascii="宋体" w:hAnsi="宋体" w:hint="eastAsia"/>
          <w:sz w:val="24"/>
        </w:rPr>
        <w:t>2</w:t>
      </w:r>
      <w:r>
        <w:rPr>
          <w:rFonts w:ascii="宋体" w:hAnsi="宋体" w:hint="eastAsia"/>
          <w:sz w:val="24"/>
        </w:rPr>
        <w:t>道防护栏杆和</w:t>
      </w:r>
      <w:r>
        <w:rPr>
          <w:rFonts w:ascii="Times New Roman" w:eastAsia="Times New Roman" w:hAnsi="Times New Roman" w:hint="eastAsia"/>
          <w:sz w:val="24"/>
        </w:rPr>
        <w:t>18cm</w:t>
      </w:r>
      <w:r>
        <w:rPr>
          <w:rFonts w:ascii="宋体" w:hAnsi="宋体" w:hint="eastAsia"/>
          <w:sz w:val="24"/>
        </w:rPr>
        <w:t>高挡脚板。</w:t>
      </w:r>
    </w:p>
    <w:p w:rsidR="006A67C6">
      <w:pPr>
        <w:pStyle w:val="Normal0"/>
        <w:rPr>
          <w:rFonts w:ascii="宋体" w:hAnsi="宋体"/>
          <w:sz w:val="24"/>
        </w:rPr>
      </w:pPr>
      <w:r>
        <w:rPr>
          <w:rFonts w:ascii="Times New Roman" w:eastAsia="Times New Roman" w:hAnsi="Times New Roman" w:hint="eastAsia"/>
          <w:sz w:val="24"/>
        </w:rPr>
        <w:t xml:space="preserve">(5) </w:t>
      </w:r>
      <w:r>
        <w:rPr>
          <w:rFonts w:ascii="宋体" w:hAnsi="宋体" w:hint="eastAsia"/>
          <w:sz w:val="24"/>
        </w:rPr>
        <w:t>脚手架上门洞、出入口构造示意图：</w:t>
      </w:r>
    </w:p>
    <w:p w:rsidR="006A67C6">
      <w:pPr>
        <w:pStyle w:val="Normal0"/>
        <w:jc w:val="center"/>
        <w:rPr>
          <w:rFonts w:ascii="宋体" w:hAnsi="宋体"/>
          <w:sz w:val="24"/>
        </w:rPr>
      </w:pPr>
      <w:r>
        <w:rPr>
          <w:rFonts w:ascii="宋体" w:hAnsi="宋体"/>
          <w:sz w:val="24"/>
        </w:rPr>
        <w:pict>
          <v:shape id="图片 10" o:spid="_x0000_i1032" type="#_x0000_t75" style="width:375pt;height:295.5pt;mso-wrap-distance-bottom:0;mso-wrap-distance-left:9pt;mso-wrap-distance-right:9pt;mso-wrap-distance-top:0">
            <v:imagedata r:id="rId12" o:title=""/>
          </v:shape>
        </w:pict>
      </w:r>
    </w:p>
    <w:p w:rsidR="006A67C6">
      <w:pPr>
        <w:pStyle w:val="Normal0"/>
        <w:rPr>
          <w:rFonts w:ascii="宋体" w:hAnsi="宋体"/>
          <w:sz w:val="24"/>
        </w:rPr>
      </w:pP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6、</w:t>
      </w:r>
      <w:r>
        <w:rPr>
          <w:rFonts w:ascii="宋体" w:hAnsi="宋体" w:hint="eastAsia"/>
          <w:sz w:val="24"/>
        </w:rPr>
        <w:t>连墙件</w:t>
      </w:r>
    </w:p>
    <w:p w:rsidR="006A67C6">
      <w:pPr>
        <w:pStyle w:val="Normal0"/>
        <w:rPr>
          <w:rFonts w:ascii="宋体" w:hAnsi="宋体"/>
          <w:sz w:val="24"/>
        </w:rPr>
      </w:pPr>
      <w:r>
        <w:rPr>
          <w:rFonts w:ascii="Times New Roman" w:eastAsia="Times New Roman" w:hAnsi="Times New Roman" w:hint="eastAsia"/>
          <w:sz w:val="24"/>
        </w:rPr>
        <w:t xml:space="preserve">(1) </w:t>
      </w:r>
      <w:r>
        <w:rPr>
          <w:rFonts w:ascii="宋体" w:hAnsi="宋体" w:hint="eastAsia"/>
          <w:sz w:val="24"/>
        </w:rPr>
        <w:t>脚手架与建筑物按计算书中连墙件布置要求设拉结点。拉结点在转角范围内和顶部处加密。</w:t>
      </w:r>
    </w:p>
    <w:p w:rsidR="006A67C6">
      <w:pPr>
        <w:pStyle w:val="Normal0"/>
        <w:rPr>
          <w:rFonts w:ascii="宋体" w:hAnsi="宋体"/>
          <w:sz w:val="24"/>
        </w:rPr>
      </w:pPr>
      <w:r>
        <w:rPr>
          <w:rFonts w:ascii="宋体" w:hAnsi="宋体" w:hint="eastAsia"/>
          <w:sz w:val="24"/>
        </w:rPr>
        <w:t>(2)</w:t>
      </w:r>
      <w:r>
        <w:rPr>
          <w:rFonts w:ascii="宋体" w:hAnsi="宋体" w:hint="eastAsia"/>
          <w:sz w:val="24"/>
        </w:rPr>
        <w:t>连墙件中的连墙杆应呈水平设置，当不能水平设置时，应向脚手架一端下斜连接；</w:t>
      </w:r>
    </w:p>
    <w:p w:rsidR="006A67C6">
      <w:pPr>
        <w:pStyle w:val="Normal0"/>
        <w:rPr>
          <w:rFonts w:ascii="宋体" w:hAnsi="宋体"/>
          <w:sz w:val="24"/>
        </w:rPr>
      </w:pPr>
      <w:r>
        <w:rPr>
          <w:rFonts w:ascii="宋体" w:hAnsi="宋体" w:hint="eastAsia"/>
          <w:sz w:val="24"/>
        </w:rPr>
        <w:t>(3)</w:t>
      </w:r>
      <w:r>
        <w:rPr>
          <w:rFonts w:ascii="宋体" w:hAnsi="宋体" w:hint="eastAsia"/>
          <w:sz w:val="24"/>
        </w:rPr>
        <w:t>连墙件应从底层第一步纵向水平杆处开始设置，当该处设置有困难时，应采用其它可靠措施固定；</w:t>
      </w:r>
    </w:p>
    <w:p w:rsidR="006A67C6">
      <w:pPr>
        <w:pStyle w:val="Normal0"/>
        <w:rPr>
          <w:rFonts w:ascii="宋体" w:hAnsi="宋体"/>
          <w:sz w:val="24"/>
        </w:rPr>
      </w:pPr>
      <w:r>
        <w:rPr>
          <w:rFonts w:ascii="Times New Roman" w:eastAsia="Times New Roman" w:hAnsi="Times New Roman" w:hint="eastAsia"/>
          <w:sz w:val="24"/>
        </w:rPr>
        <w:t>(4)</w:t>
      </w:r>
      <w:r>
        <w:rPr>
          <w:rFonts w:ascii="宋体" w:hAnsi="宋体" w:hint="eastAsia"/>
          <w:sz w:val="24"/>
        </w:rPr>
        <w:t>拉结点应保证牢固，防止其移动变形，且尽量设置在外架纵横向水平杆接点处。宜靠近主节点设</w:t>
      </w:r>
      <w:r>
        <w:rPr>
          <w:rFonts w:ascii="宋体" w:hAnsi="宋体" w:hint="eastAsia"/>
          <w:sz w:val="24"/>
        </w:rPr>
        <w:t>置，偏离主节点的距离不应大于</w:t>
      </w:r>
      <w:r>
        <w:rPr>
          <w:rFonts w:ascii="宋体" w:hAnsi="宋体" w:hint="eastAsia"/>
          <w:sz w:val="24"/>
        </w:rPr>
        <w:t>300mm</w:t>
      </w:r>
      <w:r>
        <w:rPr>
          <w:rFonts w:ascii="宋体" w:hAnsi="宋体" w:hint="eastAsia"/>
          <w:sz w:val="24"/>
        </w:rPr>
        <w:t>；</w:t>
      </w:r>
    </w:p>
    <w:p w:rsidR="006A67C6">
      <w:pPr>
        <w:pStyle w:val="Normal0"/>
        <w:rPr>
          <w:rFonts w:ascii="宋体" w:hAnsi="宋体"/>
          <w:sz w:val="24"/>
        </w:rPr>
        <w:sectPr>
          <w:type w:val="nextPage"/>
          <w:pgSz w:w="11906" w:h="16838"/>
          <w:pgMar w:top="1440" w:right="1800" w:bottom="1440" w:left="1800" w:header="851" w:footer="992" w:gutter="0"/>
          <w:pgNumType w:start="15"/>
          <w:cols w:space="425"/>
          <w:titlePg w:val="0"/>
          <w:docGrid w:type="lines" w:linePitch="312"/>
        </w:sectPr>
      </w:pPr>
      <w:r>
        <w:rPr>
          <w:rFonts w:ascii="Times New Roman" w:eastAsia="Times New Roman" w:hAnsi="Times New Roman" w:hint="eastAsia"/>
          <w:sz w:val="24"/>
        </w:rPr>
        <w:t>(5)</w:t>
      </w:r>
      <w:r>
        <w:rPr>
          <w:rFonts w:ascii="宋体" w:hAnsi="宋体" w:hint="eastAsia"/>
          <w:sz w:val="24"/>
        </w:rPr>
        <w:t>外墙装饰阶段拉结点，也须满足上述要求，确因施工需要除去原拉结点时，</w:t>
      </w:r>
    </w:p>
    <w:p w:rsidR="006A67C6">
      <w:pPr>
        <w:pStyle w:val="Normal0"/>
        <w:rPr>
          <w:rFonts w:ascii="宋体" w:hAnsi="宋体"/>
          <w:sz w:val="24"/>
        </w:rPr>
      </w:pPr>
      <w:r>
        <w:rPr>
          <w:rFonts w:ascii="宋体" w:hAnsi="宋体" w:hint="eastAsia"/>
          <w:sz w:val="24"/>
        </w:rPr>
        <w:t>必须重新补设可靠，有效的临时拉结点，以确保外架安全可靠；</w:t>
      </w:r>
    </w:p>
    <w:p w:rsidR="006A67C6">
      <w:pPr>
        <w:pStyle w:val="Normal0"/>
        <w:rPr>
          <w:rFonts w:ascii="宋体" w:hAnsi="宋体"/>
          <w:sz w:val="24"/>
        </w:rPr>
      </w:pPr>
      <w:r>
        <w:rPr>
          <w:rFonts w:ascii="Times New Roman" w:eastAsia="Times New Roman" w:hAnsi="Times New Roman" w:hint="eastAsia"/>
          <w:sz w:val="24"/>
        </w:rPr>
        <w:t>(6)</w:t>
      </w:r>
      <w:r>
        <w:rPr>
          <w:rFonts w:ascii="宋体" w:hAnsi="宋体" w:hint="eastAsia"/>
          <w:sz w:val="24"/>
        </w:rPr>
        <w:t>当脚手架下部暂不能设连墙件时应采取防倾覆措施。当搭设抛撑时，抛撑应采用通长杆件并用旋转扣件固定在脚脚手架上，与地面的倾角应在</w:t>
      </w:r>
      <w:r>
        <w:rPr>
          <w:rFonts w:ascii="宋体" w:hAnsi="宋体" w:hint="eastAsia"/>
          <w:sz w:val="24"/>
        </w:rPr>
        <w:t>45</w:t>
      </w:r>
      <w:r>
        <w:rPr>
          <w:rFonts w:ascii="宋体" w:hAnsi="宋体" w:hint="eastAsia"/>
          <w:sz w:val="24"/>
        </w:rPr>
        <w:t>°</w:t>
      </w:r>
      <w:r>
        <w:rPr>
          <w:rFonts w:ascii="Times New Roman" w:eastAsia="Times New Roman" w:hAnsi="Times New Roman" w:hint="eastAsia"/>
          <w:sz w:val="24"/>
        </w:rPr>
        <w:t>~</w:t>
      </w:r>
      <w:r>
        <w:rPr>
          <w:rFonts w:ascii="宋体" w:hAnsi="宋体" w:hint="eastAsia"/>
          <w:sz w:val="24"/>
        </w:rPr>
        <w:t>60</w:t>
      </w:r>
      <w:r>
        <w:rPr>
          <w:rFonts w:ascii="宋体" w:hAnsi="宋体" w:hint="eastAsia"/>
          <w:sz w:val="24"/>
        </w:rPr>
        <w:t>°之间；连接点中心至主节点的距离不应大于</w:t>
      </w:r>
      <w:r>
        <w:rPr>
          <w:rFonts w:ascii="宋体" w:hAnsi="宋体" w:hint="eastAsia"/>
          <w:sz w:val="24"/>
        </w:rPr>
        <w:t>300mm</w:t>
      </w:r>
      <w:r>
        <w:rPr>
          <w:rFonts w:ascii="宋体" w:hAnsi="宋体" w:hint="eastAsia"/>
          <w:sz w:val="24"/>
        </w:rPr>
        <w:t>。抛撑应在连墙件搭设后方可拆除。</w:t>
      </w:r>
    </w:p>
    <w:p w:rsidR="006A67C6">
      <w:pPr>
        <w:pStyle w:val="Normal0"/>
        <w:rPr>
          <w:rFonts w:ascii="宋体" w:hAnsi="宋体"/>
          <w:sz w:val="24"/>
        </w:rPr>
      </w:pPr>
      <w:r>
        <w:rPr>
          <w:rFonts w:ascii="Times New Roman" w:eastAsia="Times New Roman" w:hAnsi="Times New Roman" w:hint="eastAsia"/>
          <w:sz w:val="24"/>
        </w:rPr>
        <w:t xml:space="preserve">(7) </w:t>
      </w:r>
      <w:r>
        <w:rPr>
          <w:rFonts w:ascii="宋体" w:hAnsi="宋体" w:hint="eastAsia"/>
          <w:sz w:val="24"/>
        </w:rPr>
        <w:t>连墙件构造示意图：</w:t>
      </w:r>
    </w:p>
    <w:p w:rsidR="006A67C6">
      <w:pPr>
        <w:pStyle w:val="Normal0"/>
        <w:ind w:firstLine="480"/>
        <w:jc w:val="center"/>
        <w:rPr>
          <w:rFonts w:ascii="Times New Roman" w:eastAsia="Times New Roman" w:hAnsi="Times New Roman"/>
          <w:sz w:val="24"/>
        </w:rPr>
      </w:pPr>
      <w:r>
        <w:rPr>
          <w:rFonts w:ascii="宋体" w:hAnsi="宋体"/>
          <w:sz w:val="24"/>
        </w:rPr>
        <w:pict>
          <v:shape id="图片 11" o:spid="_x0000_i1033" type="#_x0000_t75" style="width:375pt;height:359.25pt;mso-wrap-distance-bottom:0;mso-wrap-distance-left:9pt;mso-wrap-distance-right:9pt;mso-wrap-distance-top:0">
            <v:imagedata r:id="rId13" o:title=""/>
          </v:shape>
        </w:pict>
      </w:r>
      <w:r>
        <w:rPr>
          <w:rFonts w:ascii="Times New Roman" w:eastAsia="Times New Roman" w:hAnsi="Times New Roman" w:hint="eastAsia"/>
          <w:sz w:val="24"/>
        </w:rPr>
        <w:tab/>
      </w:r>
    </w:p>
    <w:p w:rsidR="006A67C6">
      <w:pPr>
        <w:pStyle w:val="Normal0"/>
        <w:jc w:val="center"/>
        <w:rPr>
          <w:rFonts w:ascii="宋体" w:hAnsi="宋体"/>
          <w:sz w:val="18"/>
        </w:rPr>
      </w:pPr>
      <w:r>
        <w:rPr>
          <w:rFonts w:ascii="Times New Roman" w:eastAsia="Times New Roman" w:hAnsi="Times New Roman" w:hint="eastAsia"/>
          <w:sz w:val="18"/>
        </w:rPr>
        <w:t>1-</w:t>
      </w:r>
      <w:r>
        <w:rPr>
          <w:rFonts w:ascii="宋体" w:hAnsi="宋体" w:hint="eastAsia"/>
          <w:sz w:val="18"/>
        </w:rPr>
        <w:t>垫木；</w:t>
      </w:r>
      <w:r>
        <w:rPr>
          <w:rFonts w:ascii="Times New Roman" w:eastAsia="Times New Roman" w:hAnsi="Times New Roman" w:hint="eastAsia"/>
          <w:sz w:val="18"/>
        </w:rPr>
        <w:t>2-</w:t>
      </w:r>
      <w:r>
        <w:rPr>
          <w:rFonts w:ascii="宋体" w:hAnsi="宋体" w:hint="eastAsia"/>
          <w:sz w:val="18"/>
        </w:rPr>
        <w:t>短钢管；</w:t>
      </w:r>
      <w:r>
        <w:rPr>
          <w:rFonts w:ascii="Times New Roman" w:eastAsia="Times New Roman" w:hAnsi="Times New Roman" w:hint="eastAsia"/>
          <w:sz w:val="18"/>
        </w:rPr>
        <w:t>3-</w:t>
      </w:r>
      <w:r>
        <w:rPr>
          <w:rFonts w:ascii="宋体" w:hAnsi="宋体" w:hint="eastAsia"/>
          <w:sz w:val="18"/>
        </w:rPr>
        <w:t>直角扣件；</w:t>
      </w:r>
      <w:r>
        <w:rPr>
          <w:rFonts w:ascii="Times New Roman" w:eastAsia="Times New Roman" w:hAnsi="Times New Roman" w:hint="eastAsia"/>
          <w:sz w:val="18"/>
        </w:rPr>
        <w:t>4-</w:t>
      </w:r>
      <w:r>
        <w:rPr>
          <w:rFonts w:ascii="宋体" w:hAnsi="宋体" w:hint="eastAsia"/>
          <w:sz w:val="18"/>
        </w:rPr>
        <w:t>横向水平杆；</w:t>
      </w:r>
      <w:r>
        <w:rPr>
          <w:rFonts w:ascii="Times New Roman" w:eastAsia="Times New Roman" w:hAnsi="Times New Roman" w:hint="eastAsia"/>
          <w:sz w:val="18"/>
        </w:rPr>
        <w:t>5-</w:t>
      </w:r>
      <w:r>
        <w:rPr>
          <w:rFonts w:ascii="宋体" w:hAnsi="宋体" w:hint="eastAsia"/>
          <w:sz w:val="18"/>
        </w:rPr>
        <w:t>附加钢管</w:t>
      </w:r>
    </w:p>
    <w:p w:rsidR="006A67C6">
      <w:pPr>
        <w:pStyle w:val="Normal0"/>
        <w:jc w:val="center"/>
        <w:rPr>
          <w:rFonts w:ascii="宋体" w:hAnsi="宋体"/>
          <w:sz w:val="18"/>
        </w:rPr>
      </w:pPr>
      <w:r>
        <w:rPr>
          <w:rFonts w:ascii="宋体" w:hAnsi="宋体" w:hint="eastAsia"/>
          <w:sz w:val="18"/>
        </w:rPr>
        <w:t>脚手架刚性连墙件构造示意图</w:t>
      </w:r>
    </w:p>
    <w:p w:rsidR="006A67C6">
      <w:pPr>
        <w:pStyle w:val="Normal0"/>
        <w:jc w:val="center"/>
        <w:rPr>
          <w:rFonts w:ascii="宋体" w:hAnsi="宋体"/>
          <w:sz w:val="18"/>
        </w:rPr>
      </w:pP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7、</w:t>
      </w:r>
      <w:r>
        <w:rPr>
          <w:rFonts w:ascii="宋体" w:hAnsi="宋体" w:hint="eastAsia"/>
          <w:sz w:val="24"/>
        </w:rPr>
        <w:t>架体内封闭</w:t>
      </w:r>
    </w:p>
    <w:p w:rsidR="006A67C6">
      <w:pPr>
        <w:pStyle w:val="Normal0"/>
        <w:rPr>
          <w:rFonts w:ascii="宋体" w:hAnsi="宋体"/>
          <w:sz w:val="24"/>
        </w:rPr>
        <w:sectPr>
          <w:type w:val="nextPage"/>
          <w:pgSz w:w="11906" w:h="16838"/>
          <w:pgMar w:top="1440" w:right="1800" w:bottom="1440" w:left="1800" w:header="851" w:footer="992" w:gutter="0"/>
          <w:pgNumType w:start="16"/>
          <w:cols w:space="425"/>
          <w:titlePg w:val="0"/>
          <w:docGrid w:type="lines" w:linePitch="312"/>
        </w:sectPr>
      </w:pPr>
      <w:r>
        <w:rPr>
          <w:rFonts w:ascii="Times New Roman" w:eastAsia="Times New Roman" w:hAnsi="Times New Roman" w:hint="eastAsia"/>
          <w:sz w:val="24"/>
        </w:rPr>
        <w:t>(1)</w:t>
      </w:r>
      <w:r>
        <w:rPr>
          <w:rFonts w:ascii="宋体" w:hAnsi="宋体" w:hint="eastAsia"/>
          <w:sz w:val="24"/>
        </w:rPr>
        <w:t>脚手架的架体内立杆距墙体净距最多为</w:t>
      </w:r>
      <w:r>
        <w:rPr>
          <w:rFonts w:ascii="Times New Roman" w:eastAsia="Times New Roman" w:hAnsi="Times New Roman" w:hint="eastAsia"/>
          <w:sz w:val="24"/>
        </w:rPr>
        <w:t>200mm</w:t>
      </w:r>
      <w:r>
        <w:rPr>
          <w:rFonts w:ascii="宋体" w:hAnsi="宋体" w:hint="eastAsia"/>
          <w:sz w:val="24"/>
        </w:rPr>
        <w:t>，如因结构设计的限制大于</w:t>
      </w:r>
      <w:r>
        <w:rPr>
          <w:rFonts w:ascii="Times New Roman" w:eastAsia="Times New Roman" w:hAnsi="Times New Roman" w:hint="eastAsia"/>
          <w:sz w:val="24"/>
        </w:rPr>
        <w:t>200mm</w:t>
      </w:r>
      <w:r>
        <w:rPr>
          <w:rFonts w:ascii="宋体" w:hAnsi="宋体" w:hint="eastAsia"/>
          <w:sz w:val="24"/>
        </w:rPr>
        <w:t>的必须铺设站人板，站人板设置平整牢固。</w:t>
      </w:r>
    </w:p>
    <w:p w:rsidR="006A67C6">
      <w:pPr>
        <w:pStyle w:val="Normal0"/>
        <w:rPr>
          <w:rFonts w:ascii="宋体" w:hAnsi="宋体"/>
          <w:sz w:val="24"/>
        </w:rPr>
      </w:pPr>
      <w:r>
        <w:rPr>
          <w:rFonts w:ascii="Times New Roman" w:eastAsia="Times New Roman" w:hAnsi="Times New Roman" w:hint="eastAsia"/>
          <w:sz w:val="24"/>
        </w:rPr>
        <w:t>(2)</w:t>
      </w:r>
      <w:r>
        <w:rPr>
          <w:rFonts w:ascii="宋体" w:hAnsi="宋体" w:hint="eastAsia"/>
          <w:sz w:val="24"/>
        </w:rPr>
        <w:t>脚手架施工层内立杆与建筑物之间应采用脚手片或木板进行封闭。</w:t>
      </w:r>
    </w:p>
    <w:p w:rsidR="006A67C6">
      <w:pPr>
        <w:pStyle w:val="Normal0"/>
        <w:rPr>
          <w:rFonts w:ascii="宋体" w:hAnsi="宋体"/>
          <w:sz w:val="24"/>
        </w:rPr>
      </w:pPr>
      <w:r>
        <w:rPr>
          <w:rFonts w:ascii="Times New Roman" w:eastAsia="Times New Roman" w:hAnsi="Times New Roman" w:hint="eastAsia"/>
          <w:sz w:val="24"/>
        </w:rPr>
        <w:t>(3)</w:t>
      </w:r>
      <w:r>
        <w:rPr>
          <w:rFonts w:ascii="宋体" w:hAnsi="宋体" w:hint="eastAsia"/>
          <w:sz w:val="24"/>
        </w:rPr>
        <w:t>施工层以下脚手架每隔</w:t>
      </w:r>
      <w:r>
        <w:rPr>
          <w:rFonts w:ascii="Times New Roman" w:eastAsia="Times New Roman" w:hAnsi="Times New Roman" w:hint="eastAsia"/>
          <w:sz w:val="24"/>
        </w:rPr>
        <w:t>10m</w:t>
      </w:r>
      <w:r>
        <w:rPr>
          <w:rFonts w:ascii="宋体" w:hAnsi="宋体" w:hint="eastAsia"/>
          <w:sz w:val="24"/>
        </w:rPr>
        <w:t>以及底部用双层网兜进行封闭。</w:t>
      </w:r>
    </w:p>
    <w:p w:rsidR="006A67C6">
      <w:pPr>
        <w:pStyle w:val="Normal0"/>
        <w:rPr>
          <w:rFonts w:ascii="宋体" w:hAnsi="宋体" w:cs="宋体"/>
          <w:b/>
          <w:color w:val="000000"/>
          <w:sz w:val="28"/>
        </w:rPr>
      </w:pPr>
      <w:r>
        <w:rPr>
          <w:rFonts w:ascii="宋体" w:hAnsi="宋体" w:cs="宋体" w:hint="eastAsia"/>
          <w:b/>
          <w:color w:val="000000"/>
          <w:sz w:val="28"/>
        </w:rPr>
        <w:t>四、检查验收</w:t>
      </w:r>
    </w:p>
    <w:p w:rsidR="006A67C6">
      <w:pPr>
        <w:pStyle w:val="Normal0"/>
        <w:rPr>
          <w:rFonts w:ascii="宋体" w:hAnsi="宋体"/>
          <w:sz w:val="24"/>
        </w:rPr>
      </w:pPr>
      <w:r>
        <w:rPr>
          <w:rFonts w:ascii="宋体" w:hAnsi="宋体" w:hint="eastAsia"/>
          <w:sz w:val="24"/>
        </w:rPr>
        <w:t>1</w:t>
      </w:r>
      <w:r>
        <w:rPr>
          <w:rFonts w:ascii="宋体" w:hAnsi="宋体" w:hint="eastAsia"/>
          <w:sz w:val="24"/>
        </w:rPr>
        <w:t>、脚手架搭设前，对进入现场的各种构配件应按下列规定进行检查验收，不合格的应及时清除出场</w:t>
      </w:r>
    </w:p>
    <w:p w:rsidR="006A67C6">
      <w:pPr>
        <w:pStyle w:val="Normal0"/>
        <w:numPr>
          <w:ilvl w:val="0"/>
          <w:numId w:val="6"/>
        </w:numPr>
        <w:rPr>
          <w:rFonts w:ascii="宋体" w:hAnsi="宋体"/>
          <w:sz w:val="24"/>
        </w:rPr>
      </w:pPr>
      <w:r>
        <w:rPr>
          <w:rFonts w:ascii="宋体" w:hAnsi="宋体" w:hint="eastAsia"/>
          <w:sz w:val="24"/>
        </w:rPr>
        <w:t>构配件应有相应的产品标识及产品质量合格证；</w:t>
      </w:r>
    </w:p>
    <w:p w:rsidR="006A67C6">
      <w:pPr>
        <w:pStyle w:val="Normal0"/>
        <w:numPr>
          <w:ilvl w:val="0"/>
          <w:numId w:val="6"/>
        </w:numPr>
        <w:rPr>
          <w:rFonts w:ascii="宋体" w:hAnsi="宋体"/>
          <w:sz w:val="24"/>
        </w:rPr>
      </w:pPr>
      <w:r>
        <w:rPr>
          <w:rFonts w:ascii="宋体" w:hAnsi="宋体" w:hint="eastAsia"/>
          <w:sz w:val="24"/>
        </w:rPr>
        <w:t>构配件应有相应的产品主要技术参数及产品使用说明书；</w:t>
      </w:r>
    </w:p>
    <w:p w:rsidR="006A67C6">
      <w:pPr>
        <w:pStyle w:val="Normal0"/>
        <w:numPr>
          <w:ilvl w:val="0"/>
          <w:numId w:val="6"/>
        </w:numPr>
        <w:rPr>
          <w:rFonts w:ascii="宋体" w:hAnsi="宋体"/>
          <w:sz w:val="24"/>
        </w:rPr>
      </w:pPr>
      <w:r>
        <w:rPr>
          <w:rFonts w:ascii="宋体" w:hAnsi="宋体" w:hint="eastAsia"/>
          <w:sz w:val="24"/>
        </w:rPr>
        <w:t>当对构配件质量</w:t>
      </w:r>
      <w:r>
        <w:rPr>
          <w:rFonts w:ascii="宋体" w:hAnsi="宋体" w:hint="eastAsia"/>
          <w:sz w:val="24"/>
        </w:rPr>
        <w:t>有疑问时，应进行质量抽检和实验。</w:t>
      </w:r>
    </w:p>
    <w:p w:rsidR="006A67C6">
      <w:pPr>
        <w:pStyle w:val="Normal0"/>
        <w:rPr>
          <w:rFonts w:ascii="宋体" w:hAnsi="宋体"/>
          <w:sz w:val="24"/>
        </w:rPr>
      </w:pPr>
      <w:r>
        <w:rPr>
          <w:rFonts w:ascii="宋体" w:hAnsi="宋体" w:hint="eastAsia"/>
          <w:sz w:val="24"/>
        </w:rPr>
        <w:t>2</w:t>
      </w:r>
      <w:r>
        <w:rPr>
          <w:rFonts w:ascii="宋体" w:hAnsi="宋体" w:hint="eastAsia"/>
          <w:sz w:val="24"/>
        </w:rPr>
        <w:t>、脚手架下列阶段进行检查与验收，应按规定对脚手架工程的质量进行检查，经检查合格后方可交付使用</w:t>
      </w:r>
      <w:r>
        <w:rPr>
          <w:rFonts w:ascii="宋体" w:hAnsi="宋体" w:hint="eastAsia"/>
          <w:sz w:val="24"/>
        </w:rPr>
        <w:t>:</w:t>
      </w:r>
    </w:p>
    <w:p w:rsidR="006A67C6">
      <w:pPr>
        <w:pStyle w:val="Normal0"/>
        <w:numPr>
          <w:ilvl w:val="0"/>
          <w:numId w:val="7"/>
        </w:numPr>
        <w:jc w:val="left"/>
        <w:rPr>
          <w:rFonts w:ascii="宋体" w:hAnsi="宋体"/>
          <w:sz w:val="24"/>
        </w:rPr>
      </w:pPr>
      <w:r>
        <w:rPr>
          <w:rFonts w:ascii="宋体" w:hAnsi="宋体" w:hint="eastAsia"/>
          <w:sz w:val="24"/>
        </w:rPr>
        <w:t>基础完工后及脚手架搭设前；</w:t>
      </w:r>
    </w:p>
    <w:p w:rsidR="006A67C6">
      <w:pPr>
        <w:pStyle w:val="Normal0"/>
        <w:numPr>
          <w:ilvl w:val="0"/>
          <w:numId w:val="7"/>
        </w:numPr>
        <w:jc w:val="left"/>
        <w:rPr>
          <w:rFonts w:ascii="宋体" w:hAnsi="宋体"/>
          <w:sz w:val="24"/>
        </w:rPr>
      </w:pPr>
      <w:r>
        <w:rPr>
          <w:rFonts w:ascii="宋体" w:hAnsi="宋体" w:hint="eastAsia"/>
          <w:sz w:val="24"/>
        </w:rPr>
        <w:t>作业层上施加荷载前；</w:t>
      </w:r>
    </w:p>
    <w:p w:rsidR="006A67C6">
      <w:pPr>
        <w:pStyle w:val="Normal0"/>
        <w:numPr>
          <w:ilvl w:val="0"/>
          <w:numId w:val="7"/>
        </w:numPr>
        <w:jc w:val="left"/>
        <w:rPr>
          <w:rFonts w:ascii="宋体" w:hAnsi="宋体"/>
          <w:sz w:val="24"/>
        </w:rPr>
      </w:pPr>
      <w:r>
        <w:rPr>
          <w:rFonts w:ascii="宋体" w:hAnsi="宋体" w:hint="eastAsia"/>
          <w:sz w:val="24"/>
        </w:rPr>
        <w:t>每搭设完两层后；</w:t>
      </w:r>
    </w:p>
    <w:p w:rsidR="006A67C6">
      <w:pPr>
        <w:pStyle w:val="Normal0"/>
        <w:numPr>
          <w:ilvl w:val="0"/>
          <w:numId w:val="7"/>
        </w:numPr>
        <w:jc w:val="left"/>
        <w:rPr>
          <w:rFonts w:ascii="宋体" w:hAnsi="宋体"/>
          <w:sz w:val="24"/>
        </w:rPr>
      </w:pPr>
      <w:r>
        <w:rPr>
          <w:rFonts w:ascii="宋体" w:hAnsi="宋体" w:hint="eastAsia"/>
          <w:sz w:val="24"/>
        </w:rPr>
        <w:t>达到设计高度后；</w:t>
      </w:r>
    </w:p>
    <w:p w:rsidR="006A67C6">
      <w:pPr>
        <w:pStyle w:val="Normal0"/>
        <w:numPr>
          <w:ilvl w:val="0"/>
          <w:numId w:val="7"/>
        </w:numPr>
        <w:jc w:val="left"/>
        <w:rPr>
          <w:rFonts w:ascii="宋体" w:hAnsi="宋体"/>
          <w:sz w:val="24"/>
        </w:rPr>
      </w:pPr>
      <w:r>
        <w:rPr>
          <w:rFonts w:ascii="宋体" w:hAnsi="宋体" w:hint="eastAsia"/>
          <w:sz w:val="24"/>
        </w:rPr>
        <w:t>遇有六级强风及以上风或大雨后；冻结地区解冻后；</w:t>
      </w:r>
    </w:p>
    <w:p w:rsidR="006A67C6">
      <w:pPr>
        <w:pStyle w:val="Normal0"/>
        <w:numPr>
          <w:ilvl w:val="0"/>
          <w:numId w:val="7"/>
        </w:numPr>
        <w:jc w:val="left"/>
        <w:rPr>
          <w:rFonts w:ascii="宋体" w:hAnsi="宋体"/>
          <w:sz w:val="24"/>
        </w:rPr>
      </w:pPr>
      <w:r>
        <w:rPr>
          <w:rFonts w:ascii="宋体" w:hAnsi="宋体" w:hint="eastAsia"/>
          <w:sz w:val="24"/>
        </w:rPr>
        <w:t>停用超过一个月。</w:t>
      </w:r>
    </w:p>
    <w:p w:rsidR="006A67C6">
      <w:pPr>
        <w:pStyle w:val="Normal0"/>
        <w:rPr>
          <w:rFonts w:ascii="宋体" w:hAnsi="宋体"/>
          <w:sz w:val="24"/>
        </w:rPr>
      </w:pPr>
      <w:r>
        <w:rPr>
          <w:rFonts w:ascii="宋体" w:hAnsi="宋体" w:hint="eastAsia"/>
          <w:sz w:val="24"/>
        </w:rPr>
        <w:t>3</w:t>
      </w:r>
      <w:r>
        <w:rPr>
          <w:rFonts w:ascii="宋体" w:hAnsi="宋体" w:hint="eastAsia"/>
          <w:sz w:val="24"/>
        </w:rPr>
        <w:t>、架子搭设和组装完毕，使用前必须由项目经理、技术负责人、项目安全负责人、架子班长等人员组成验收小组，进行验收，并填写验收单。</w:t>
      </w:r>
    </w:p>
    <w:p w:rsidR="006A67C6">
      <w:pPr>
        <w:pStyle w:val="Normal0"/>
        <w:rPr>
          <w:rFonts w:ascii="宋体" w:hAnsi="宋体"/>
          <w:sz w:val="24"/>
        </w:rPr>
      </w:pPr>
      <w:r>
        <w:rPr>
          <w:rFonts w:ascii="宋体" w:hAnsi="宋体" w:hint="eastAsia"/>
          <w:sz w:val="24"/>
        </w:rPr>
        <w:t>4</w:t>
      </w:r>
      <w:r>
        <w:rPr>
          <w:rFonts w:ascii="宋体" w:hAnsi="宋体" w:hint="eastAsia"/>
          <w:sz w:val="24"/>
        </w:rPr>
        <w:t>、验收时应具备下列文件</w:t>
      </w:r>
    </w:p>
    <w:p w:rsidR="006A67C6">
      <w:pPr>
        <w:pStyle w:val="Normal0"/>
        <w:numPr>
          <w:ilvl w:val="0"/>
          <w:numId w:val="8"/>
        </w:numPr>
        <w:rPr>
          <w:rFonts w:ascii="宋体" w:hAnsi="宋体"/>
          <w:sz w:val="24"/>
        </w:rPr>
      </w:pPr>
      <w:r>
        <w:rPr>
          <w:rFonts w:ascii="宋体" w:hAnsi="宋体" w:hint="eastAsia"/>
          <w:sz w:val="24"/>
        </w:rPr>
        <w:t>根据编制依据相关文件规范、标准要求所形成的施工组织设计文件；</w:t>
      </w:r>
    </w:p>
    <w:p w:rsidR="006A67C6">
      <w:pPr>
        <w:pStyle w:val="Normal0"/>
        <w:numPr>
          <w:ilvl w:val="0"/>
          <w:numId w:val="8"/>
        </w:numPr>
        <w:rPr>
          <w:rFonts w:ascii="宋体" w:hAnsi="宋体"/>
          <w:sz w:val="24"/>
        </w:rPr>
      </w:pPr>
      <w:r>
        <w:rPr>
          <w:rFonts w:ascii="宋体" w:hAnsi="宋体" w:hint="eastAsia"/>
          <w:sz w:val="24"/>
        </w:rPr>
        <w:t>专项施工方案及变更文件；</w:t>
      </w:r>
    </w:p>
    <w:p w:rsidR="006A67C6">
      <w:pPr>
        <w:pStyle w:val="Normal0"/>
        <w:numPr>
          <w:ilvl w:val="0"/>
          <w:numId w:val="8"/>
        </w:numPr>
        <w:rPr>
          <w:rFonts w:ascii="宋体" w:hAnsi="宋体"/>
          <w:sz w:val="24"/>
        </w:rPr>
      </w:pPr>
      <w:r>
        <w:rPr>
          <w:rFonts w:ascii="宋体" w:hAnsi="宋体" w:hint="eastAsia"/>
          <w:sz w:val="24"/>
        </w:rPr>
        <w:t>安全技术交底文件；</w:t>
      </w:r>
    </w:p>
    <w:p w:rsidR="006A67C6">
      <w:pPr>
        <w:pStyle w:val="Normal0"/>
        <w:numPr>
          <w:ilvl w:val="0"/>
          <w:numId w:val="8"/>
        </w:numPr>
        <w:rPr>
          <w:rFonts w:ascii="宋体" w:hAnsi="宋体"/>
          <w:sz w:val="24"/>
        </w:rPr>
      </w:pPr>
      <w:r>
        <w:rPr>
          <w:rFonts w:ascii="宋体" w:hAnsi="宋体" w:hint="eastAsia"/>
          <w:sz w:val="24"/>
        </w:rPr>
        <w:t>脚手架构配件的出厂合格证或质量分类合格标志；</w:t>
      </w:r>
    </w:p>
    <w:p w:rsidR="006A67C6">
      <w:pPr>
        <w:pStyle w:val="Normal0"/>
        <w:numPr>
          <w:ilvl w:val="0"/>
          <w:numId w:val="8"/>
        </w:numPr>
        <w:rPr>
          <w:rFonts w:ascii="宋体" w:hAnsi="宋体"/>
          <w:sz w:val="24"/>
        </w:rPr>
      </w:pPr>
      <w:r>
        <w:rPr>
          <w:rFonts w:ascii="宋体" w:hAnsi="宋体" w:hint="eastAsia"/>
          <w:sz w:val="24"/>
        </w:rPr>
        <w:t>脚手架工程的施工记录及质量检查记录；</w:t>
      </w:r>
    </w:p>
    <w:p w:rsidR="006A67C6">
      <w:pPr>
        <w:pStyle w:val="Normal0"/>
        <w:numPr>
          <w:ilvl w:val="0"/>
          <w:numId w:val="8"/>
        </w:numPr>
        <w:rPr>
          <w:rFonts w:ascii="宋体" w:hAnsi="宋体"/>
          <w:sz w:val="24"/>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4"/>
        </w:rPr>
        <w:t>脚手架搭设过程中出现的重要问题及处理记录；</w:t>
      </w:r>
    </w:p>
    <w:p w:rsidR="006A67C6">
      <w:pPr>
        <w:pStyle w:val="Normal0"/>
        <w:numPr>
          <w:ilvl w:val="0"/>
          <w:numId w:val="8"/>
        </w:numPr>
        <w:rPr>
          <w:rFonts w:ascii="宋体" w:hAnsi="宋体"/>
          <w:sz w:val="24"/>
        </w:rPr>
      </w:pPr>
      <w:r>
        <w:rPr>
          <w:rFonts w:ascii="宋体" w:hAnsi="宋体" w:hint="eastAsia"/>
          <w:sz w:val="24"/>
        </w:rPr>
        <w:t>脚手架工程的施工验收报告。</w:t>
      </w:r>
    </w:p>
    <w:p w:rsidR="006A67C6">
      <w:pPr>
        <w:pStyle w:val="Normal0"/>
        <w:rPr>
          <w:rFonts w:ascii="宋体" w:hAnsi="宋体"/>
          <w:sz w:val="24"/>
        </w:rPr>
      </w:pPr>
      <w:r>
        <w:rPr>
          <w:rFonts w:ascii="宋体" w:hAnsi="宋体" w:hint="eastAsia"/>
          <w:sz w:val="24"/>
        </w:rPr>
        <w:t>5</w:t>
      </w:r>
      <w:r>
        <w:rPr>
          <w:rFonts w:ascii="宋体" w:hAnsi="宋体" w:hint="eastAsia"/>
          <w:sz w:val="24"/>
        </w:rPr>
        <w:t>、脚手架工程的验收，除查验有关文件外，还应进行现场检查，检查应着重以下各项，并记入施工验收报告。</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构配件和加固件是否齐全，质量是否合格，连接和挂扣是否紧固可靠，</w:t>
      </w:r>
      <w:r>
        <w:rPr>
          <w:rFonts w:ascii="宋体" w:hAnsi="宋体" w:hint="eastAsia"/>
          <w:color w:val="FF00FF"/>
          <w:sz w:val="24"/>
        </w:rPr>
        <w:t>钢丝绳是否松动、断股等</w:t>
      </w:r>
      <w:r>
        <w:rPr>
          <w:rFonts w:ascii="宋体" w:hAnsi="宋体" w:hint="eastAsia"/>
          <w:sz w:val="24"/>
        </w:rPr>
        <w:t>；</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(2)</w:t>
      </w:r>
      <w:r>
        <w:rPr>
          <w:rFonts w:ascii="宋体" w:hAnsi="宋体" w:hint="eastAsia"/>
          <w:sz w:val="24"/>
        </w:rPr>
        <w:t>安全网的张挂及扶手的设置是否齐全；</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(3)</w:t>
      </w:r>
      <w:r>
        <w:rPr>
          <w:rFonts w:ascii="宋体" w:hAnsi="宋体" w:hint="eastAsia"/>
          <w:sz w:val="24"/>
        </w:rPr>
        <w:t>地基是否积水，底座是否松动；</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(4)</w:t>
      </w:r>
      <w:r>
        <w:rPr>
          <w:rFonts w:ascii="宋体" w:hAnsi="宋体" w:hint="eastAsia"/>
          <w:sz w:val="24"/>
        </w:rPr>
        <w:t>杆件的设置和连接，连墙件、支撑、门洞桁架等的构造是否符合要求；立杆是否悬空；</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(5)</w:t>
      </w:r>
      <w:r>
        <w:rPr>
          <w:rFonts w:ascii="宋体" w:hAnsi="宋体" w:hint="eastAsia"/>
          <w:sz w:val="24"/>
        </w:rPr>
        <w:t>垂直度、水平度及立杆的沉降是否合格；</w:t>
      </w:r>
    </w:p>
    <w:p w:rsidR="006A67C6">
      <w:pPr>
        <w:pStyle w:val="Normal0"/>
        <w:spacing w:line="360" w:lineRule="auto"/>
        <w:jc w:val="left"/>
        <w:rPr>
          <w:rFonts w:ascii="宋体" w:hAnsi="宋体"/>
          <w:color w:val="000000"/>
          <w:sz w:val="24"/>
        </w:rPr>
      </w:pPr>
      <w:r>
        <w:rPr>
          <w:rFonts w:ascii="Times New Roman" w:eastAsia="Times New Roman" w:hAnsi="Times New Roman" w:hint="eastAsia"/>
          <w:color w:val="000000"/>
          <w:sz w:val="24"/>
        </w:rPr>
        <w:t>(6)</w:t>
      </w:r>
      <w:r>
        <w:rPr>
          <w:rFonts w:ascii="宋体" w:hAnsi="宋体" w:hint="eastAsia"/>
          <w:color w:val="000000"/>
          <w:sz w:val="24"/>
        </w:rPr>
        <w:t>搭设脚手架时，应有保证安全上下的爬梯或斜道，严禁攀登架体上下。</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(7)</w:t>
      </w:r>
      <w:r>
        <w:rPr>
          <w:rFonts w:ascii="宋体" w:hAnsi="宋体" w:hint="eastAsia"/>
          <w:sz w:val="24"/>
        </w:rPr>
        <w:t>扣件螺栓是否松动；</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(8)</w:t>
      </w:r>
      <w:r>
        <w:rPr>
          <w:rFonts w:ascii="宋体" w:hAnsi="宋体" w:hint="eastAsia"/>
          <w:sz w:val="24"/>
        </w:rPr>
        <w:t>架体是否超载；</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(9)</w:t>
      </w:r>
      <w:r>
        <w:rPr>
          <w:rFonts w:ascii="宋体" w:hAnsi="宋体" w:hint="eastAsia"/>
          <w:sz w:val="24"/>
        </w:rPr>
        <w:t>悬挑脚手架的悬挑支承结构及与建筑物的连接固定应符合设计和相应规范的规定，锚固装置是否松动、脱落。</w:t>
      </w:r>
    </w:p>
    <w:p w:rsidR="006A67C6">
      <w:pPr>
        <w:pStyle w:val="Normal0"/>
        <w:rPr>
          <w:rFonts w:ascii="宋体" w:hAnsi="宋体"/>
          <w:sz w:val="24"/>
        </w:rPr>
      </w:pPr>
      <w:r>
        <w:rPr>
          <w:rFonts w:ascii="宋体" w:hAnsi="宋体" w:hint="eastAsia"/>
          <w:sz w:val="24"/>
        </w:rPr>
        <w:t>6</w:t>
      </w:r>
      <w:r>
        <w:rPr>
          <w:rFonts w:ascii="宋体" w:hAnsi="宋体" w:hint="eastAsia"/>
          <w:sz w:val="24"/>
        </w:rPr>
        <w:t>、脚手架检查验收严格按照《建筑施工安全检查标准》</w:t>
      </w:r>
      <w:r>
        <w:rPr>
          <w:rFonts w:ascii="Times New Roman" w:eastAsia="Times New Roman" w:hAnsi="Times New Roman" w:hint="eastAsia"/>
          <w:sz w:val="24"/>
        </w:rPr>
        <w:t>JGJ59</w:t>
      </w:r>
      <w:r>
        <w:rPr>
          <w:rFonts w:ascii="宋体" w:hAnsi="宋体" w:hint="eastAsia"/>
          <w:sz w:val="24"/>
        </w:rPr>
        <w:t>的检查评分表进行。</w:t>
      </w:r>
    </w:p>
    <w:p w:rsidR="006A67C6">
      <w:pPr>
        <w:pStyle w:val="Normal0"/>
        <w:rPr>
          <w:rFonts w:ascii="宋体" w:hAnsi="宋体"/>
          <w:sz w:val="24"/>
        </w:rPr>
      </w:pPr>
      <w:r>
        <w:rPr>
          <w:rFonts w:ascii="宋体" w:hAnsi="宋体" w:hint="eastAsia"/>
          <w:sz w:val="24"/>
        </w:rPr>
        <w:t>7</w:t>
      </w:r>
      <w:r>
        <w:rPr>
          <w:rFonts w:ascii="宋体" w:hAnsi="宋体" w:hint="eastAsia"/>
          <w:sz w:val="24"/>
        </w:rPr>
        <w:t>、脚手架使用期间的检查</w:t>
      </w:r>
    </w:p>
    <w:p w:rsidR="006A67C6">
      <w:pPr>
        <w:pStyle w:val="Normal0"/>
        <w:rPr>
          <w:rFonts w:ascii="宋体" w:hAnsi="宋体"/>
          <w:sz w:val="24"/>
        </w:rPr>
      </w:pPr>
      <w:r>
        <w:rPr>
          <w:rFonts w:ascii="Times New Roman" w:eastAsia="Times New Roman" w:hAnsi="Times New Roman" w:hint="eastAsia"/>
          <w:sz w:val="24"/>
        </w:rPr>
        <w:t>(1)</w:t>
      </w:r>
      <w:r>
        <w:rPr>
          <w:rFonts w:ascii="宋体" w:hAnsi="宋体" w:hint="eastAsia"/>
          <w:sz w:val="24"/>
        </w:rPr>
        <w:t>脚手架使用期间必须设专人经常检查，当其从安全维护架转换为</w:t>
      </w:r>
      <w:r>
        <w:rPr>
          <w:rFonts w:ascii="宋体" w:hAnsi="宋体" w:hint="eastAsia"/>
          <w:sz w:val="24"/>
        </w:rPr>
        <w:t>装饰施工时，必须及时进行检查，符合要求后，必须经过项目技术负责人（项目经理）签字批准，才能使用。</w:t>
      </w:r>
    </w:p>
    <w:p w:rsidR="006A67C6">
      <w:pPr>
        <w:pStyle w:val="Normal0"/>
        <w:rPr>
          <w:rFonts w:ascii="宋体" w:hAnsi="宋体"/>
          <w:sz w:val="24"/>
        </w:rPr>
      </w:pPr>
      <w:r>
        <w:rPr>
          <w:rFonts w:ascii="Times New Roman" w:eastAsia="Times New Roman" w:hAnsi="Times New Roman" w:hint="eastAsia"/>
          <w:sz w:val="24"/>
        </w:rPr>
        <w:t>(2)</w:t>
      </w:r>
      <w:r>
        <w:rPr>
          <w:rFonts w:ascii="宋体" w:hAnsi="宋体" w:hint="eastAsia"/>
          <w:sz w:val="24"/>
        </w:rPr>
        <w:t>检查后不合格部位必须及时修复或更换，符合规定后，方准许继续使用。</w:t>
      </w:r>
    </w:p>
    <w:p w:rsidR="006A67C6">
      <w:pPr>
        <w:pStyle w:val="Normal0"/>
        <w:rPr>
          <w:rFonts w:ascii="宋体" w:hAnsi="宋体"/>
          <w:sz w:val="24"/>
        </w:rPr>
      </w:pPr>
      <w:r>
        <w:rPr>
          <w:rFonts w:ascii="宋体" w:hAnsi="宋体" w:hint="eastAsia"/>
          <w:sz w:val="24"/>
        </w:rPr>
        <w:t>8</w:t>
      </w:r>
      <w:r>
        <w:rPr>
          <w:rFonts w:ascii="宋体" w:hAnsi="宋体" w:hint="eastAsia"/>
          <w:sz w:val="24"/>
        </w:rPr>
        <w:t>、脚手架必须验收检查合格后办妥脚手架验收手续，在脚手架醒目处挂上脚手架验收合格牌后，方可投入使用。</w:t>
      </w:r>
    </w:p>
    <w:p w:rsidR="006A67C6">
      <w:pPr>
        <w:pStyle w:val="Normal0"/>
        <w:rPr>
          <w:rFonts w:ascii="宋体" w:hAnsi="宋体"/>
          <w:sz w:val="24"/>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4"/>
        </w:rPr>
        <w:t>9</w:t>
      </w:r>
      <w:r>
        <w:rPr>
          <w:rFonts w:ascii="宋体" w:hAnsi="宋体" w:hint="eastAsia"/>
          <w:sz w:val="24"/>
        </w:rPr>
        <w:t>、架体内必须做到每层封闭（即进行隔离），且不能大于</w:t>
      </w:r>
      <w:r>
        <w:rPr>
          <w:rFonts w:ascii="Times New Roman" w:eastAsia="Times New Roman" w:hAnsi="Times New Roman" w:hint="eastAsia"/>
          <w:sz w:val="24"/>
        </w:rPr>
        <w:t>4</w:t>
      </w:r>
      <w:r>
        <w:rPr>
          <w:rFonts w:ascii="宋体" w:hAnsi="宋体" w:hint="eastAsia"/>
          <w:sz w:val="24"/>
        </w:rPr>
        <w:t>步。</w:t>
      </w:r>
    </w:p>
    <w:p w:rsidR="006A67C6">
      <w:pPr>
        <w:pStyle w:val="Normal0"/>
        <w:rPr>
          <w:rFonts w:ascii="宋体" w:hAnsi="宋体"/>
          <w:sz w:val="24"/>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4"/>
        </w:rPr>
        <w:t>10</w:t>
      </w:r>
      <w:r>
        <w:rPr>
          <w:rFonts w:ascii="宋体" w:hAnsi="宋体" w:hint="eastAsia"/>
          <w:sz w:val="24"/>
        </w:rPr>
        <w:t>、施工人员必须严格执行《建设工程施工安全技术操作规程》。</w:t>
      </w:r>
    </w:p>
    <w:p w:rsidR="006A67C6">
      <w:pPr>
        <w:pStyle w:val="Normal0"/>
        <w:spacing w:line="360" w:lineRule="auto"/>
        <w:jc w:val="left"/>
        <w:outlineLvl w:val="0"/>
        <w:rPr>
          <w:rFonts w:ascii="宋体" w:hAnsi="宋体" w:cs="宋体"/>
          <w:b/>
          <w:color w:val="000000"/>
          <w:sz w:val="32"/>
        </w:rPr>
      </w:pPr>
      <w:bookmarkStart w:id="5" w:name="_Toc31269"/>
      <w:r>
        <w:rPr>
          <w:rFonts w:ascii="宋体" w:hAnsi="宋体" w:cs="宋体" w:hint="eastAsia"/>
          <w:b/>
          <w:color w:val="000000"/>
          <w:sz w:val="32"/>
        </w:rPr>
        <w:t>第五节、施工安全保证措施</w:t>
      </w:r>
      <w:bookmarkEnd w:id="5"/>
    </w:p>
    <w:p w:rsidR="006A67C6">
      <w:pPr>
        <w:pStyle w:val="Normal0"/>
        <w:ind w:left="360" w:hanging="360"/>
        <w:rPr>
          <w:rFonts w:ascii="宋体" w:hAnsi="宋体"/>
          <w:sz w:val="24"/>
        </w:rPr>
      </w:pPr>
      <w:r>
        <w:rPr>
          <w:rFonts w:ascii="宋体" w:hAnsi="宋体" w:cs="宋体" w:hint="eastAsia"/>
          <w:b/>
          <w:color w:val="000000"/>
          <w:sz w:val="28"/>
        </w:rPr>
        <w:t>一、组织保障</w:t>
      </w:r>
      <w:r>
        <w:rPr>
          <w:rFonts w:ascii="宋体" w:hAnsi="宋体" w:hint="eastAsia"/>
          <w:sz w:val="24"/>
        </w:rPr>
        <w:t>1</w:t>
      </w:r>
      <w:r>
        <w:rPr>
          <w:rFonts w:ascii="宋体" w:hAnsi="宋体" w:hint="eastAsia"/>
          <w:sz w:val="24"/>
        </w:rPr>
        <w:t>、安全保证体系</w:t>
      </w:r>
    </w:p>
    <w:p w:rsidR="006A67C6">
      <w:pPr>
        <w:pStyle w:val="Normal0"/>
        <w:jc w:val="center"/>
        <w:rPr>
          <w:rFonts w:ascii="宋体" w:hAnsi="宋体"/>
          <w:sz w:val="24"/>
        </w:rPr>
        <w:sectPr>
          <w:type w:val="nextPage"/>
          <w:pgSz w:w="11906" w:h="16838"/>
          <w:pgMar w:top="1440" w:right="1800" w:bottom="1440" w:left="1800" w:header="851" w:footer="992" w:gutter="0"/>
          <w:pgNumType w:start="20"/>
          <w:cols w:space="425"/>
          <w:titlePg w:val="0"/>
          <w:docGrid w:type="lines" w:linePitch="312"/>
        </w:sectPr>
      </w:pPr>
      <w:r>
        <w:rPr>
          <w:rFonts w:ascii="宋体" w:hAnsi="宋体"/>
          <w:sz w:val="24"/>
        </w:rPr>
        <w:pict>
          <v:shape id="图片 12" o:spid="_x0000_i1034" type="#_x0000_t75" style="width:416.25pt;height:591.75pt;mso-wrap-distance-bottom:0;mso-wrap-distance-left:9pt;mso-wrap-distance-right:9pt;mso-wrap-distance-top:0">
            <v:imagedata r:id="rId14" o:title=""/>
          </v:shape>
        </w:pict>
      </w:r>
    </w:p>
    <w:p w:rsidR="006A67C6">
      <w:pPr>
        <w:pStyle w:val="Normal0"/>
        <w:ind w:left="360" w:hanging="360"/>
        <w:rPr>
          <w:rFonts w:ascii="宋体" w:hAnsi="宋体"/>
          <w:sz w:val="24"/>
        </w:rPr>
      </w:pPr>
      <w:r>
        <w:rPr>
          <w:rFonts w:ascii="宋体" w:hAnsi="宋体" w:hint="eastAsia"/>
          <w:sz w:val="24"/>
        </w:rPr>
        <w:t>2</w:t>
      </w:r>
      <w:r>
        <w:rPr>
          <w:rFonts w:ascii="宋体" w:hAnsi="宋体" w:hint="eastAsia"/>
          <w:sz w:val="24"/>
        </w:rPr>
        <w:t>、环境保护体系</w:t>
      </w:r>
    </w:p>
    <w:p w:rsidR="006A67C6">
      <w:pPr>
        <w:pStyle w:val="Normal0"/>
        <w:jc w:val="center"/>
        <w:rPr>
          <w:rFonts w:ascii="宋体" w:hAnsi="宋体"/>
          <w:sz w:val="24"/>
        </w:rPr>
        <w:sectPr>
          <w:type w:val="nextPage"/>
          <w:pgSz w:w="11906" w:h="16838"/>
          <w:pgMar w:top="1440" w:right="1800" w:bottom="1440" w:left="1800" w:header="851" w:footer="992" w:gutter="0"/>
          <w:pgNumType w:start="21"/>
          <w:cols w:space="425"/>
          <w:titlePg w:val="0"/>
          <w:docGrid w:type="lines" w:linePitch="312"/>
        </w:sectPr>
      </w:pPr>
      <w:r>
        <w:rPr>
          <w:rFonts w:ascii="宋体" w:hAnsi="宋体"/>
          <w:sz w:val="24"/>
        </w:rPr>
        <w:pict>
          <v:shape id="图片 13" o:spid="_x0000_i1035" type="#_x0000_t75" style="width:427.5pt;height:626.25pt;mso-wrap-distance-bottom:0;mso-wrap-distance-left:9pt;mso-wrap-distance-right:9pt;mso-wrap-distance-top:0">
            <v:imagedata r:id="rId15" o:title=""/>
          </v:shape>
        </w:pict>
      </w:r>
    </w:p>
    <w:p w:rsidR="006A67C6">
      <w:pPr>
        <w:pStyle w:val="Normal0"/>
        <w:numPr>
          <w:ilvl w:val="0"/>
          <w:numId w:val="9"/>
        </w:numPr>
        <w:spacing w:line="360" w:lineRule="auto"/>
        <w:jc w:val="left"/>
        <w:rPr>
          <w:rFonts w:ascii="宋体" w:hAnsi="宋体" w:cs="宋体"/>
          <w:b/>
          <w:color w:val="000000"/>
          <w:sz w:val="28"/>
        </w:rPr>
      </w:pPr>
      <w:r>
        <w:rPr>
          <w:rFonts w:ascii="宋体" w:hAnsi="宋体" w:cs="宋体" w:hint="eastAsia"/>
          <w:b/>
          <w:color w:val="000000"/>
          <w:sz w:val="28"/>
        </w:rPr>
        <w:t>技术措施</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脚手架搭设技术措施</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扣件式脚手架</w:t>
      </w:r>
    </w:p>
    <w:p w:rsidR="006A67C6">
      <w:pPr>
        <w:pStyle w:val="Normal0"/>
        <w:jc w:val="left"/>
        <w:rPr>
          <w:rFonts w:ascii="宋体" w:hAnsi="宋体"/>
          <w:sz w:val="24"/>
        </w:rPr>
      </w:pPr>
      <w:r>
        <w:rPr>
          <w:rFonts w:ascii="宋体" w:hAnsi="宋体" w:hint="eastAsia"/>
          <w:sz w:val="24"/>
        </w:rPr>
        <w:t>1</w:t>
      </w:r>
      <w:r>
        <w:rPr>
          <w:rFonts w:ascii="宋体" w:hAnsi="宋体" w:hint="eastAsia"/>
          <w:sz w:val="24"/>
        </w:rPr>
        <w:t>、脚手架必须配合施工进度搭设，一次搭设高度不应超过相邻连墙件以上二步；如果超过相邻连墙件以上两步，无法设置连墙件时，应采取撑拉固定措施与建筑结构拉结。</w:t>
      </w:r>
    </w:p>
    <w:p w:rsidR="006A67C6">
      <w:pPr>
        <w:pStyle w:val="Normal0"/>
        <w:jc w:val="left"/>
        <w:rPr>
          <w:rFonts w:ascii="宋体" w:hAnsi="宋体"/>
          <w:sz w:val="24"/>
        </w:rPr>
      </w:pPr>
      <w:r>
        <w:rPr>
          <w:rFonts w:ascii="宋体" w:hAnsi="宋体" w:hint="eastAsia"/>
          <w:sz w:val="24"/>
        </w:rPr>
        <w:t>2</w:t>
      </w:r>
      <w:r>
        <w:rPr>
          <w:rFonts w:ascii="宋体" w:hAnsi="宋体" w:hint="eastAsia"/>
          <w:sz w:val="24"/>
        </w:rPr>
        <w:t>、每搭完一步脚手架后，应按《建筑施工扣件式钢管脚手架安全技术规范》</w:t>
      </w:r>
      <w:r>
        <w:rPr>
          <w:rFonts w:ascii="宋体" w:hAnsi="宋体" w:hint="eastAsia"/>
          <w:sz w:val="24"/>
        </w:rPr>
        <w:t>JGJ130-2011</w:t>
      </w:r>
      <w:r>
        <w:rPr>
          <w:rFonts w:ascii="宋体" w:hAnsi="宋体" w:hint="eastAsia"/>
          <w:sz w:val="24"/>
        </w:rPr>
        <w:t>表</w:t>
      </w:r>
      <w:r>
        <w:rPr>
          <w:rFonts w:ascii="宋体" w:hAnsi="宋体" w:hint="eastAsia"/>
          <w:sz w:val="24"/>
        </w:rPr>
        <w:t>8.2.4</w:t>
      </w:r>
      <w:r>
        <w:rPr>
          <w:rFonts w:ascii="宋体" w:hAnsi="宋体" w:hint="eastAsia"/>
          <w:sz w:val="24"/>
        </w:rPr>
        <w:t>的规定校正步距、纵距、横距及立杆的垂直度。</w:t>
      </w:r>
    </w:p>
    <w:p w:rsidR="006A67C6">
      <w:pPr>
        <w:pStyle w:val="Normal0"/>
        <w:jc w:val="left"/>
        <w:rPr>
          <w:rFonts w:ascii="宋体" w:hAnsi="宋体"/>
          <w:sz w:val="24"/>
        </w:rPr>
      </w:pPr>
      <w:r>
        <w:rPr>
          <w:rFonts w:ascii="宋体" w:hAnsi="宋体" w:hint="eastAsia"/>
          <w:sz w:val="24"/>
        </w:rPr>
        <w:t>3</w:t>
      </w:r>
      <w:r>
        <w:rPr>
          <w:rFonts w:ascii="宋体" w:hAnsi="宋体" w:hint="eastAsia"/>
          <w:sz w:val="24"/>
        </w:rPr>
        <w:t>、立杆搭设应符合下列规定：</w:t>
      </w:r>
    </w:p>
    <w:p w:rsidR="006A67C6">
      <w:pPr>
        <w:pStyle w:val="Normal0"/>
        <w:numPr>
          <w:ilvl w:val="1"/>
          <w:numId w:val="10"/>
        </w:numPr>
        <w:jc w:val="left"/>
        <w:rPr>
          <w:rFonts w:ascii="宋体" w:hAnsi="宋体"/>
          <w:sz w:val="24"/>
        </w:rPr>
      </w:pPr>
      <w:r>
        <w:rPr>
          <w:rFonts w:ascii="宋体" w:hAnsi="宋体" w:hint="eastAsia"/>
          <w:sz w:val="24"/>
        </w:rPr>
        <w:t>相邻立杆的对接连接应符合《建筑施工扣件式钢管脚手架安全技术规范》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6.3.6</w:t>
      </w:r>
      <w:r>
        <w:rPr>
          <w:rFonts w:ascii="宋体" w:hAnsi="宋体" w:hint="eastAsia"/>
          <w:sz w:val="24"/>
        </w:rPr>
        <w:t>条的规定；</w:t>
      </w:r>
    </w:p>
    <w:p w:rsidR="006A67C6">
      <w:pPr>
        <w:pStyle w:val="Normal0"/>
        <w:numPr>
          <w:ilvl w:val="1"/>
          <w:numId w:val="10"/>
        </w:numPr>
        <w:jc w:val="left"/>
        <w:rPr>
          <w:rFonts w:ascii="宋体" w:hAnsi="宋体"/>
          <w:sz w:val="24"/>
        </w:rPr>
      </w:pPr>
      <w:r>
        <w:rPr>
          <w:rFonts w:ascii="宋体" w:hAnsi="宋体" w:hint="eastAsia"/>
          <w:sz w:val="24"/>
        </w:rPr>
        <w:t>脚手架开始搭设立杆时，应每隔</w:t>
      </w:r>
      <w:r>
        <w:rPr>
          <w:rFonts w:ascii="宋体" w:hAnsi="宋体" w:hint="eastAsia"/>
          <w:sz w:val="24"/>
        </w:rPr>
        <w:t>6</w:t>
      </w:r>
      <w:r>
        <w:rPr>
          <w:rFonts w:ascii="宋体" w:hAnsi="宋体" w:hint="eastAsia"/>
          <w:sz w:val="24"/>
        </w:rPr>
        <w:t>跨设置一</w:t>
      </w:r>
      <w:r>
        <w:rPr>
          <w:rFonts w:ascii="宋体" w:hAnsi="宋体" w:hint="eastAsia"/>
          <w:sz w:val="24"/>
        </w:rPr>
        <w:t>根抛撑，直至连墙件安装稳定后，方可根据情况拆除；</w:t>
      </w:r>
    </w:p>
    <w:p w:rsidR="006A67C6">
      <w:pPr>
        <w:pStyle w:val="Normal0"/>
        <w:numPr>
          <w:ilvl w:val="1"/>
          <w:numId w:val="10"/>
        </w:numPr>
        <w:jc w:val="left"/>
        <w:rPr>
          <w:rFonts w:ascii="宋体" w:hAnsi="宋体"/>
          <w:sz w:val="24"/>
        </w:rPr>
      </w:pPr>
      <w:r>
        <w:rPr>
          <w:rFonts w:ascii="宋体" w:hAnsi="宋体" w:hint="eastAsia"/>
          <w:sz w:val="24"/>
        </w:rPr>
        <w:t>当架体搭设至有连墙件的主节点时，在搭设完该处的立杆、纵向水平杆、横向水平杆后，应立即设置连墙件。</w:t>
      </w:r>
    </w:p>
    <w:p w:rsidR="006A67C6">
      <w:pPr>
        <w:pStyle w:val="Normal0"/>
        <w:jc w:val="left"/>
        <w:rPr>
          <w:rFonts w:ascii="宋体" w:hAnsi="宋体"/>
          <w:sz w:val="24"/>
        </w:rPr>
      </w:pPr>
      <w:r>
        <w:rPr>
          <w:rFonts w:ascii="宋体" w:hAnsi="宋体" w:hint="eastAsia"/>
          <w:sz w:val="24"/>
        </w:rPr>
        <w:t>4</w:t>
      </w:r>
      <w:r>
        <w:rPr>
          <w:rFonts w:ascii="宋体" w:hAnsi="宋体" w:hint="eastAsia"/>
          <w:sz w:val="24"/>
        </w:rPr>
        <w:t>、脚手架纵向水平杆的搭设应符合下列规定：</w:t>
      </w:r>
    </w:p>
    <w:p w:rsidR="006A67C6">
      <w:pPr>
        <w:pStyle w:val="Normal0"/>
        <w:numPr>
          <w:ilvl w:val="1"/>
          <w:numId w:val="10"/>
        </w:numPr>
        <w:jc w:val="left"/>
        <w:rPr>
          <w:rFonts w:ascii="宋体" w:hAnsi="宋体"/>
          <w:sz w:val="24"/>
        </w:rPr>
      </w:pPr>
      <w:r>
        <w:rPr>
          <w:rFonts w:ascii="宋体" w:hAnsi="宋体" w:hint="eastAsia"/>
          <w:sz w:val="24"/>
        </w:rPr>
        <w:t>脚手架纵向水平杆应随立杆按步搭设，并应采用直角扣件与立杆固定；</w:t>
      </w:r>
    </w:p>
    <w:p w:rsidR="006A67C6">
      <w:pPr>
        <w:pStyle w:val="Normal0"/>
        <w:numPr>
          <w:ilvl w:val="1"/>
          <w:numId w:val="10"/>
        </w:numPr>
        <w:jc w:val="left"/>
        <w:rPr>
          <w:rFonts w:ascii="宋体" w:hAnsi="宋体"/>
          <w:sz w:val="24"/>
        </w:rPr>
      </w:pPr>
      <w:r>
        <w:rPr>
          <w:rFonts w:ascii="宋体" w:hAnsi="宋体" w:hint="eastAsia"/>
          <w:sz w:val="24"/>
        </w:rPr>
        <w:t>纵向水平杆的搭设应符合《建筑施工扣件式钢管脚手架安全技术规范》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6.2.1</w:t>
      </w:r>
      <w:r>
        <w:rPr>
          <w:rFonts w:ascii="宋体" w:hAnsi="宋体" w:hint="eastAsia"/>
          <w:sz w:val="24"/>
        </w:rPr>
        <w:t>条的规定；</w:t>
      </w:r>
    </w:p>
    <w:p w:rsidR="006A67C6">
      <w:pPr>
        <w:pStyle w:val="Normal0"/>
        <w:numPr>
          <w:ilvl w:val="1"/>
          <w:numId w:val="10"/>
        </w:numPr>
        <w:jc w:val="left"/>
        <w:rPr>
          <w:rFonts w:ascii="宋体" w:hAnsi="宋体"/>
          <w:sz w:val="24"/>
        </w:rPr>
      </w:pPr>
      <w:r>
        <w:rPr>
          <w:rFonts w:ascii="宋体" w:hAnsi="宋体" w:hint="eastAsia"/>
          <w:sz w:val="24"/>
        </w:rPr>
        <w:t>在封闭型脚手架的同一步中，纵向水平杆应四周交圈设置，并应用直角扣件与内外角部立杆固定。</w:t>
      </w:r>
    </w:p>
    <w:p w:rsidR="006A67C6">
      <w:pPr>
        <w:pStyle w:val="Normal0"/>
        <w:jc w:val="left"/>
        <w:rPr>
          <w:rFonts w:ascii="宋体" w:hAnsi="宋体"/>
          <w:sz w:val="24"/>
        </w:rPr>
      </w:pPr>
      <w:r>
        <w:rPr>
          <w:rFonts w:ascii="宋体" w:hAnsi="宋体" w:hint="eastAsia"/>
          <w:sz w:val="24"/>
        </w:rPr>
        <w:t>5</w:t>
      </w:r>
      <w:r>
        <w:rPr>
          <w:rFonts w:ascii="宋体" w:hAnsi="宋体" w:hint="eastAsia"/>
          <w:sz w:val="24"/>
        </w:rPr>
        <w:t>、脚手架横向水平杆搭设应符合下列规定：</w:t>
      </w:r>
    </w:p>
    <w:p w:rsidR="006A67C6">
      <w:pPr>
        <w:pStyle w:val="Normal0"/>
        <w:numPr>
          <w:ilvl w:val="1"/>
          <w:numId w:val="10"/>
        </w:numPr>
        <w:jc w:val="left"/>
        <w:rPr>
          <w:rFonts w:ascii="宋体" w:hAnsi="宋体"/>
          <w:sz w:val="24"/>
        </w:rPr>
      </w:pPr>
      <w:r>
        <w:rPr>
          <w:rFonts w:ascii="宋体" w:hAnsi="宋体" w:hint="eastAsia"/>
          <w:sz w:val="24"/>
        </w:rPr>
        <w:t>搭设横向水平杆应符</w:t>
      </w:r>
      <w:r>
        <w:rPr>
          <w:rFonts w:ascii="宋体" w:hAnsi="宋体" w:hint="eastAsia"/>
          <w:sz w:val="24"/>
        </w:rPr>
        <w:t>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6.2.2</w:t>
      </w:r>
      <w:r>
        <w:rPr>
          <w:rFonts w:ascii="宋体" w:hAnsi="宋体" w:hint="eastAsia"/>
          <w:sz w:val="24"/>
        </w:rPr>
        <w:t>条的构造规定；</w:t>
      </w:r>
    </w:p>
    <w:p w:rsidR="006A67C6">
      <w:pPr>
        <w:pStyle w:val="Normal0"/>
        <w:numPr>
          <w:ilvl w:val="1"/>
          <w:numId w:val="10"/>
        </w:numPr>
        <w:jc w:val="left"/>
        <w:rPr>
          <w:rFonts w:ascii="宋体" w:hAnsi="宋体"/>
          <w:sz w:val="24"/>
        </w:rPr>
      </w:pPr>
      <w:r>
        <w:rPr>
          <w:rFonts w:ascii="宋体" w:hAnsi="宋体" w:hint="eastAsia"/>
          <w:sz w:val="24"/>
        </w:rPr>
        <w:t>双排脚手架横向水平杆的靠墙一端至墙装饰面的距离不应大于</w:t>
      </w:r>
      <w:r>
        <w:rPr>
          <w:rFonts w:ascii="宋体" w:hAnsi="宋体" w:hint="eastAsia"/>
          <w:sz w:val="24"/>
        </w:rPr>
        <w:t>100mm</w:t>
      </w:r>
      <w:r>
        <w:rPr>
          <w:rFonts w:ascii="宋体" w:hAnsi="宋体" w:hint="eastAsia"/>
          <w:sz w:val="24"/>
        </w:rPr>
        <w:t>；</w:t>
      </w:r>
    </w:p>
    <w:p w:rsidR="006A67C6">
      <w:pPr>
        <w:pStyle w:val="Normal0"/>
        <w:numPr>
          <w:ilvl w:val="1"/>
          <w:numId w:val="10"/>
        </w:numPr>
        <w:jc w:val="left"/>
        <w:rPr>
          <w:rFonts w:ascii="宋体" w:hAnsi="宋体"/>
          <w:sz w:val="24"/>
        </w:rPr>
      </w:pPr>
      <w:r>
        <w:rPr>
          <w:rFonts w:ascii="宋体" w:hAnsi="宋体" w:hint="eastAsia"/>
          <w:sz w:val="24"/>
        </w:rPr>
        <w:t>单排脚手架的横向水平杆不应设置在下列部位：</w:t>
      </w:r>
    </w:p>
    <w:p w:rsidR="006A67C6">
      <w:pPr>
        <w:pStyle w:val="Normal0"/>
        <w:numPr>
          <w:ilvl w:val="0"/>
          <w:numId w:val="11"/>
        </w:numPr>
        <w:jc w:val="left"/>
        <w:rPr>
          <w:rFonts w:ascii="宋体" w:hAnsi="宋体"/>
          <w:sz w:val="24"/>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4"/>
        </w:rPr>
        <w:t>设计上不允许留脚手眼的部位；</w:t>
      </w:r>
    </w:p>
    <w:p w:rsidR="006A67C6">
      <w:pPr>
        <w:pStyle w:val="Normal0"/>
        <w:numPr>
          <w:ilvl w:val="0"/>
          <w:numId w:val="11"/>
        </w:numPr>
        <w:jc w:val="left"/>
        <w:rPr>
          <w:rFonts w:ascii="宋体" w:hAnsi="宋体"/>
          <w:sz w:val="24"/>
        </w:rPr>
      </w:pPr>
      <w:r>
        <w:rPr>
          <w:rFonts w:ascii="宋体" w:hAnsi="宋体" w:hint="eastAsia"/>
          <w:sz w:val="24"/>
        </w:rPr>
        <w:t>过梁上与过梁两端成</w:t>
      </w:r>
      <w:r>
        <w:rPr>
          <w:rFonts w:ascii="宋体" w:hAnsi="宋体" w:hint="eastAsia"/>
          <w:sz w:val="24"/>
        </w:rPr>
        <w:t>60</w:t>
      </w:r>
      <w:r>
        <w:rPr>
          <w:rFonts w:ascii="宋体" w:hAnsi="宋体" w:hint="eastAsia"/>
          <w:sz w:val="24"/>
        </w:rPr>
        <w:t>°角的三角形范围内及过梁净跨度</w:t>
      </w:r>
      <w:r>
        <w:rPr>
          <w:rFonts w:ascii="宋体" w:hAnsi="宋体" w:hint="eastAsia"/>
          <w:sz w:val="24"/>
        </w:rPr>
        <w:t>1/2</w:t>
      </w:r>
      <w:r>
        <w:rPr>
          <w:rFonts w:ascii="宋体" w:hAnsi="宋体" w:hint="eastAsia"/>
          <w:sz w:val="24"/>
        </w:rPr>
        <w:t>的高度范围内；</w:t>
      </w:r>
    </w:p>
    <w:p w:rsidR="006A67C6">
      <w:pPr>
        <w:pStyle w:val="Normal0"/>
        <w:numPr>
          <w:ilvl w:val="0"/>
          <w:numId w:val="11"/>
        </w:numPr>
        <w:jc w:val="left"/>
        <w:rPr>
          <w:rFonts w:ascii="宋体" w:hAnsi="宋体"/>
          <w:sz w:val="24"/>
        </w:rPr>
      </w:pPr>
      <w:r>
        <w:rPr>
          <w:rFonts w:ascii="宋体" w:hAnsi="宋体" w:hint="eastAsia"/>
          <w:sz w:val="24"/>
        </w:rPr>
        <w:t>宽度小于</w:t>
      </w:r>
      <w:r>
        <w:rPr>
          <w:rFonts w:ascii="宋体" w:hAnsi="宋体" w:hint="eastAsia"/>
          <w:sz w:val="24"/>
        </w:rPr>
        <w:t>1m</w:t>
      </w:r>
      <w:r>
        <w:rPr>
          <w:rFonts w:ascii="宋体" w:hAnsi="宋体" w:hint="eastAsia"/>
          <w:sz w:val="24"/>
        </w:rPr>
        <w:t>的窗间墙；</w:t>
      </w:r>
    </w:p>
    <w:p w:rsidR="006A67C6">
      <w:pPr>
        <w:pStyle w:val="Normal0"/>
        <w:numPr>
          <w:ilvl w:val="0"/>
          <w:numId w:val="11"/>
        </w:numPr>
        <w:jc w:val="left"/>
        <w:rPr>
          <w:rFonts w:ascii="宋体" w:hAnsi="宋体"/>
          <w:sz w:val="24"/>
        </w:rPr>
      </w:pPr>
      <w:r>
        <w:rPr>
          <w:rFonts w:ascii="宋体" w:hAnsi="宋体" w:hint="eastAsia"/>
          <w:sz w:val="24"/>
        </w:rPr>
        <w:t>梁或梁垫下及其两侧各</w:t>
      </w:r>
      <w:r>
        <w:rPr>
          <w:rFonts w:ascii="宋体" w:hAnsi="宋体" w:hint="eastAsia"/>
          <w:sz w:val="24"/>
        </w:rPr>
        <w:t>500mm</w:t>
      </w:r>
      <w:r>
        <w:rPr>
          <w:rFonts w:ascii="宋体" w:hAnsi="宋体" w:hint="eastAsia"/>
          <w:sz w:val="24"/>
        </w:rPr>
        <w:t>的范围内；</w:t>
      </w:r>
    </w:p>
    <w:p w:rsidR="006A67C6">
      <w:pPr>
        <w:pStyle w:val="Normal0"/>
        <w:numPr>
          <w:ilvl w:val="0"/>
          <w:numId w:val="11"/>
        </w:numPr>
        <w:jc w:val="left"/>
        <w:rPr>
          <w:rFonts w:ascii="宋体" w:hAnsi="宋体"/>
          <w:sz w:val="24"/>
        </w:rPr>
      </w:pPr>
      <w:r>
        <w:rPr>
          <w:rFonts w:ascii="宋体" w:hAnsi="宋体" w:hint="eastAsia"/>
          <w:sz w:val="24"/>
        </w:rPr>
        <w:t>砖砌体的门窗洞口两侧</w:t>
      </w:r>
      <w:r>
        <w:rPr>
          <w:rFonts w:ascii="宋体" w:hAnsi="宋体" w:hint="eastAsia"/>
          <w:sz w:val="24"/>
        </w:rPr>
        <w:t>200mm</w:t>
      </w:r>
      <w:r>
        <w:rPr>
          <w:rFonts w:ascii="宋体" w:hAnsi="宋体" w:hint="eastAsia"/>
          <w:sz w:val="24"/>
        </w:rPr>
        <w:t>和转角处</w:t>
      </w:r>
      <w:r>
        <w:rPr>
          <w:rFonts w:ascii="宋体" w:hAnsi="宋体" w:hint="eastAsia"/>
          <w:sz w:val="24"/>
        </w:rPr>
        <w:t>450mm</w:t>
      </w:r>
      <w:r>
        <w:rPr>
          <w:rFonts w:ascii="宋体" w:hAnsi="宋体" w:hint="eastAsia"/>
          <w:sz w:val="24"/>
        </w:rPr>
        <w:t>的范围内；其他砌体的门窗洞口两侧</w:t>
      </w:r>
      <w:r>
        <w:rPr>
          <w:rFonts w:ascii="宋体" w:hAnsi="宋体" w:hint="eastAsia"/>
          <w:sz w:val="24"/>
        </w:rPr>
        <w:t>300mm</w:t>
      </w:r>
      <w:r>
        <w:rPr>
          <w:rFonts w:ascii="宋体" w:hAnsi="宋体" w:hint="eastAsia"/>
          <w:sz w:val="24"/>
        </w:rPr>
        <w:t>和转角处</w:t>
      </w:r>
      <w:r>
        <w:rPr>
          <w:rFonts w:ascii="宋体" w:hAnsi="宋体" w:hint="eastAsia"/>
          <w:sz w:val="24"/>
        </w:rPr>
        <w:t>600mm</w:t>
      </w:r>
      <w:r>
        <w:rPr>
          <w:rFonts w:ascii="宋体" w:hAnsi="宋体" w:hint="eastAsia"/>
          <w:sz w:val="24"/>
        </w:rPr>
        <w:t>的范围内；</w:t>
      </w:r>
    </w:p>
    <w:p w:rsidR="006A67C6">
      <w:pPr>
        <w:pStyle w:val="Normal0"/>
        <w:numPr>
          <w:ilvl w:val="0"/>
          <w:numId w:val="11"/>
        </w:numPr>
        <w:jc w:val="left"/>
        <w:rPr>
          <w:rFonts w:ascii="宋体" w:hAnsi="宋体"/>
          <w:sz w:val="24"/>
        </w:rPr>
      </w:pPr>
      <w:r>
        <w:rPr>
          <w:rFonts w:ascii="宋体" w:hAnsi="宋体" w:hint="eastAsia"/>
          <w:sz w:val="24"/>
        </w:rPr>
        <w:t>墙体厚度小于或等于</w:t>
      </w:r>
      <w:r>
        <w:rPr>
          <w:rFonts w:ascii="宋体" w:hAnsi="宋体" w:hint="eastAsia"/>
          <w:sz w:val="24"/>
        </w:rPr>
        <w:t>180mm</w:t>
      </w:r>
      <w:r>
        <w:rPr>
          <w:rFonts w:ascii="宋体" w:hAnsi="宋体" w:hint="eastAsia"/>
          <w:sz w:val="24"/>
        </w:rPr>
        <w:t>；</w:t>
      </w:r>
    </w:p>
    <w:p w:rsidR="006A67C6">
      <w:pPr>
        <w:pStyle w:val="Normal0"/>
        <w:numPr>
          <w:ilvl w:val="0"/>
          <w:numId w:val="11"/>
        </w:numPr>
        <w:jc w:val="left"/>
        <w:rPr>
          <w:rFonts w:ascii="宋体" w:hAnsi="宋体"/>
          <w:sz w:val="24"/>
        </w:rPr>
      </w:pPr>
      <w:r>
        <w:rPr>
          <w:rFonts w:ascii="宋体" w:hAnsi="宋体" w:hint="eastAsia"/>
          <w:sz w:val="24"/>
        </w:rPr>
        <w:t>独立或附墙砖柱，空斗砖墙、加气块墙等轻质墙体；</w:t>
      </w:r>
    </w:p>
    <w:p w:rsidR="006A67C6">
      <w:pPr>
        <w:pStyle w:val="Normal0"/>
        <w:numPr>
          <w:ilvl w:val="0"/>
          <w:numId w:val="11"/>
        </w:numPr>
        <w:jc w:val="left"/>
        <w:rPr>
          <w:rFonts w:ascii="宋体" w:hAnsi="宋体"/>
          <w:sz w:val="24"/>
        </w:rPr>
      </w:pPr>
      <w:r>
        <w:rPr>
          <w:rFonts w:ascii="宋体" w:hAnsi="宋体" w:hint="eastAsia"/>
          <w:sz w:val="24"/>
        </w:rPr>
        <w:t>砌筑砂浆强度等级小于或</w:t>
      </w:r>
      <w:r>
        <w:rPr>
          <w:rFonts w:ascii="宋体" w:hAnsi="宋体" w:hint="eastAsia"/>
          <w:sz w:val="24"/>
        </w:rPr>
        <w:t>M2.5</w:t>
      </w:r>
      <w:r>
        <w:rPr>
          <w:rFonts w:ascii="宋体" w:hAnsi="宋体" w:hint="eastAsia"/>
          <w:sz w:val="24"/>
        </w:rPr>
        <w:t>的砖墙。</w:t>
      </w:r>
    </w:p>
    <w:p w:rsidR="006A67C6">
      <w:pPr>
        <w:pStyle w:val="Normal0"/>
        <w:jc w:val="left"/>
        <w:rPr>
          <w:rFonts w:ascii="宋体" w:hAnsi="宋体"/>
          <w:sz w:val="24"/>
        </w:rPr>
      </w:pPr>
      <w:r>
        <w:rPr>
          <w:rFonts w:ascii="宋体" w:hAnsi="宋体" w:hint="eastAsia"/>
          <w:sz w:val="24"/>
        </w:rPr>
        <w:t>6</w:t>
      </w:r>
      <w:r>
        <w:rPr>
          <w:rFonts w:ascii="宋体" w:hAnsi="宋体" w:hint="eastAsia"/>
          <w:sz w:val="24"/>
        </w:rPr>
        <w:t>、脚手架纵向、横向扫地杆搭设应符合《建筑施工扣件式钢管脚手架安全技术规范》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6.3.2</w:t>
      </w:r>
      <w:r>
        <w:rPr>
          <w:rFonts w:ascii="宋体" w:hAnsi="宋体" w:hint="eastAsia"/>
          <w:sz w:val="24"/>
        </w:rPr>
        <w:t>条、第</w:t>
      </w:r>
      <w:r>
        <w:rPr>
          <w:rFonts w:ascii="宋体" w:hAnsi="宋体" w:hint="eastAsia"/>
          <w:sz w:val="24"/>
        </w:rPr>
        <w:t>6.3.3</w:t>
      </w:r>
      <w:r>
        <w:rPr>
          <w:rFonts w:ascii="宋体" w:hAnsi="宋体" w:hint="eastAsia"/>
          <w:sz w:val="24"/>
        </w:rPr>
        <w:t>条的规定。</w:t>
      </w:r>
    </w:p>
    <w:p w:rsidR="006A67C6">
      <w:pPr>
        <w:pStyle w:val="Normal0"/>
        <w:jc w:val="left"/>
        <w:rPr>
          <w:rFonts w:ascii="宋体" w:hAnsi="宋体"/>
          <w:sz w:val="24"/>
        </w:rPr>
      </w:pPr>
      <w:r>
        <w:rPr>
          <w:rFonts w:ascii="宋体" w:hAnsi="宋体" w:hint="eastAsia"/>
          <w:sz w:val="24"/>
        </w:rPr>
        <w:t>7</w:t>
      </w:r>
      <w:r>
        <w:rPr>
          <w:rFonts w:ascii="宋体" w:hAnsi="宋体" w:hint="eastAsia"/>
          <w:sz w:val="24"/>
        </w:rPr>
        <w:t>、脚手架连墙件安装应符合下列规定：</w:t>
      </w:r>
    </w:p>
    <w:p w:rsidR="006A67C6">
      <w:pPr>
        <w:pStyle w:val="Normal0"/>
        <w:numPr>
          <w:ilvl w:val="1"/>
          <w:numId w:val="10"/>
        </w:numPr>
        <w:jc w:val="left"/>
        <w:rPr>
          <w:rFonts w:ascii="宋体" w:hAnsi="宋体"/>
          <w:color w:val="000000"/>
          <w:sz w:val="24"/>
        </w:rPr>
      </w:pPr>
      <w:r>
        <w:rPr>
          <w:rFonts w:ascii="宋体" w:hAnsi="宋体" w:hint="eastAsia"/>
          <w:color w:val="000000"/>
          <w:sz w:val="24"/>
        </w:rPr>
        <w:t>连墙件的安装应随脚手架搭设同步进行，不得滞后安装；</w:t>
      </w:r>
    </w:p>
    <w:p w:rsidR="006A67C6">
      <w:pPr>
        <w:pStyle w:val="Normal0"/>
        <w:numPr>
          <w:ilvl w:val="1"/>
          <w:numId w:val="10"/>
        </w:numPr>
        <w:jc w:val="left"/>
        <w:rPr>
          <w:rFonts w:ascii="宋体" w:hAnsi="宋体"/>
          <w:sz w:val="24"/>
        </w:rPr>
      </w:pPr>
      <w:r>
        <w:rPr>
          <w:rFonts w:ascii="宋体" w:hAnsi="宋体" w:hint="eastAsia"/>
          <w:sz w:val="24"/>
        </w:rPr>
        <w:t>当单、双排脚手架施工操作层高出相邻连墙件以上</w:t>
      </w:r>
      <w:r>
        <w:rPr>
          <w:rFonts w:ascii="宋体" w:hAnsi="宋体" w:hint="eastAsia"/>
          <w:sz w:val="24"/>
        </w:rPr>
        <w:t>两步时，应采取确保脚手架稳定的临时拉结措施，直到上一层连墙件安装完毕后再根据情况拆除。</w:t>
      </w:r>
    </w:p>
    <w:p w:rsidR="006A67C6">
      <w:pPr>
        <w:pStyle w:val="Normal0"/>
        <w:jc w:val="left"/>
        <w:rPr>
          <w:rFonts w:ascii="宋体" w:hAnsi="宋体"/>
          <w:sz w:val="24"/>
        </w:rPr>
      </w:pPr>
      <w:r>
        <w:rPr>
          <w:rFonts w:ascii="宋体" w:hAnsi="宋体" w:hint="eastAsia"/>
          <w:sz w:val="24"/>
        </w:rPr>
        <w:t>8</w:t>
      </w:r>
      <w:r>
        <w:rPr>
          <w:rFonts w:ascii="宋体" w:hAnsi="宋体" w:hint="eastAsia"/>
          <w:sz w:val="24"/>
        </w:rPr>
        <w:t>、脚手架剪刀撑与双排脚手架横向斜撑应随立杆、纵向和横向水平杆等同步搭设，不得滞后安装。</w:t>
      </w:r>
    </w:p>
    <w:p w:rsidR="006A67C6">
      <w:pPr>
        <w:pStyle w:val="Normal0"/>
        <w:jc w:val="left"/>
        <w:rPr>
          <w:rFonts w:ascii="宋体" w:hAnsi="宋体"/>
          <w:sz w:val="24"/>
        </w:rPr>
      </w:pPr>
      <w:r>
        <w:rPr>
          <w:rFonts w:ascii="宋体" w:hAnsi="宋体" w:hint="eastAsia"/>
          <w:sz w:val="24"/>
        </w:rPr>
        <w:t>9</w:t>
      </w:r>
      <w:r>
        <w:rPr>
          <w:rFonts w:ascii="宋体" w:hAnsi="宋体" w:hint="eastAsia"/>
          <w:sz w:val="24"/>
        </w:rPr>
        <w:t>、脚手架门洞搭设应符合《建筑施工扣件式钢管脚手架安全技术规范》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6.5</w:t>
      </w:r>
      <w:r>
        <w:rPr>
          <w:rFonts w:ascii="宋体" w:hAnsi="宋体" w:hint="eastAsia"/>
          <w:sz w:val="24"/>
        </w:rPr>
        <w:t>节的造规定。</w:t>
      </w:r>
    </w:p>
    <w:p w:rsidR="006A67C6">
      <w:pPr>
        <w:pStyle w:val="Normal0"/>
        <w:jc w:val="left"/>
        <w:rPr>
          <w:rFonts w:ascii="宋体" w:hAnsi="宋体"/>
          <w:sz w:val="24"/>
        </w:rPr>
      </w:pPr>
      <w:r>
        <w:rPr>
          <w:rFonts w:ascii="宋体" w:hAnsi="宋体" w:hint="eastAsia"/>
          <w:sz w:val="24"/>
        </w:rPr>
        <w:t>10</w:t>
      </w:r>
      <w:r>
        <w:rPr>
          <w:rFonts w:ascii="宋体" w:hAnsi="宋体" w:hint="eastAsia"/>
          <w:sz w:val="24"/>
        </w:rPr>
        <w:t>、扣件安装应符合下列规定：</w:t>
      </w:r>
    </w:p>
    <w:p w:rsidR="006A67C6">
      <w:pPr>
        <w:pStyle w:val="Normal0"/>
        <w:numPr>
          <w:ilvl w:val="1"/>
          <w:numId w:val="10"/>
        </w:numPr>
        <w:jc w:val="left"/>
        <w:rPr>
          <w:rFonts w:ascii="宋体" w:hAnsi="宋体"/>
          <w:sz w:val="24"/>
        </w:rPr>
      </w:pPr>
      <w:r>
        <w:rPr>
          <w:rFonts w:ascii="宋体" w:hAnsi="宋体" w:hint="eastAsia"/>
          <w:sz w:val="24"/>
        </w:rPr>
        <w:t>扣件规格必须与钢管外径相同；</w:t>
      </w:r>
    </w:p>
    <w:p w:rsidR="006A67C6">
      <w:pPr>
        <w:pStyle w:val="Normal0"/>
        <w:numPr>
          <w:ilvl w:val="1"/>
          <w:numId w:val="10"/>
        </w:numPr>
        <w:jc w:val="left"/>
        <w:rPr>
          <w:rFonts w:ascii="宋体" w:hAnsi="宋体"/>
          <w:sz w:val="24"/>
        </w:rPr>
      </w:pPr>
      <w:r>
        <w:rPr>
          <w:rFonts w:ascii="宋体" w:hAnsi="宋体" w:hint="eastAsia"/>
          <w:sz w:val="24"/>
        </w:rPr>
        <w:t>螺栓拧紧扭力矩不应小于</w:t>
      </w:r>
      <w:r>
        <w:rPr>
          <w:rFonts w:ascii="宋体" w:hAnsi="宋体" w:hint="eastAsia"/>
          <w:sz w:val="24"/>
        </w:rPr>
        <w:t>40N</w:t>
      </w:r>
      <w:r>
        <w:rPr>
          <w:rFonts w:ascii="宋体" w:hAnsi="宋体" w:hint="eastAsia"/>
          <w:sz w:val="24"/>
        </w:rPr>
        <w:t>·</w:t>
      </w:r>
      <w:r>
        <w:rPr>
          <w:rFonts w:ascii="宋体" w:hAnsi="宋体" w:hint="eastAsia"/>
          <w:sz w:val="24"/>
        </w:rPr>
        <w:t>m</w:t>
      </w:r>
      <w:r>
        <w:rPr>
          <w:rFonts w:ascii="宋体" w:hAnsi="宋体" w:hint="eastAsia"/>
          <w:sz w:val="24"/>
        </w:rPr>
        <w:t>，且不应大于</w:t>
      </w:r>
      <w:r>
        <w:rPr>
          <w:rFonts w:ascii="宋体" w:hAnsi="宋体" w:hint="eastAsia"/>
          <w:sz w:val="24"/>
        </w:rPr>
        <w:t>65N</w:t>
      </w:r>
      <w:r>
        <w:rPr>
          <w:rFonts w:ascii="宋体" w:hAnsi="宋体" w:hint="eastAsia"/>
          <w:sz w:val="24"/>
        </w:rPr>
        <w:t>·</w:t>
      </w:r>
      <w:r>
        <w:rPr>
          <w:rFonts w:ascii="宋体" w:hAnsi="宋体" w:hint="eastAsia"/>
          <w:sz w:val="24"/>
        </w:rPr>
        <w:t>m</w:t>
      </w:r>
      <w:r>
        <w:rPr>
          <w:rFonts w:ascii="宋体" w:hAnsi="宋体" w:hint="eastAsia"/>
          <w:sz w:val="24"/>
        </w:rPr>
        <w:t>；</w:t>
      </w:r>
    </w:p>
    <w:p w:rsidR="006A67C6">
      <w:pPr>
        <w:pStyle w:val="Normal0"/>
        <w:numPr>
          <w:ilvl w:val="1"/>
          <w:numId w:val="10"/>
        </w:numPr>
        <w:jc w:val="left"/>
        <w:rPr>
          <w:rFonts w:ascii="宋体" w:hAnsi="宋体"/>
          <w:sz w:val="24"/>
        </w:rPr>
      </w:pPr>
      <w:r>
        <w:rPr>
          <w:rFonts w:ascii="宋体" w:hAnsi="宋体" w:hint="eastAsia"/>
          <w:sz w:val="24"/>
        </w:rPr>
        <w:t>在主节点处固定横向水平杆、纵向水平杆、剪刀撑、横向斜撑等用的直角扣件、旋转扣件的中心点的相互距离不应大于</w:t>
      </w:r>
      <w:r>
        <w:rPr>
          <w:rFonts w:ascii="宋体" w:hAnsi="宋体" w:hint="eastAsia"/>
          <w:sz w:val="24"/>
        </w:rPr>
        <w:t>1</w:t>
      </w:r>
      <w:r>
        <w:rPr>
          <w:rFonts w:ascii="宋体" w:hAnsi="宋体" w:hint="eastAsia"/>
          <w:sz w:val="24"/>
        </w:rPr>
        <w:t>50mm</w:t>
      </w:r>
      <w:r>
        <w:rPr>
          <w:rFonts w:ascii="宋体" w:hAnsi="宋体" w:hint="eastAsia"/>
          <w:sz w:val="24"/>
        </w:rPr>
        <w:t>；</w:t>
      </w:r>
    </w:p>
    <w:p w:rsidR="006A67C6">
      <w:pPr>
        <w:pStyle w:val="Normal0"/>
        <w:numPr>
          <w:ilvl w:val="1"/>
          <w:numId w:val="10"/>
        </w:numPr>
        <w:jc w:val="left"/>
        <w:rPr>
          <w:rFonts w:ascii="宋体" w:hAnsi="宋体"/>
          <w:sz w:val="24"/>
        </w:rPr>
      </w:pPr>
      <w:r>
        <w:rPr>
          <w:rFonts w:ascii="宋体" w:hAnsi="宋体" w:hint="eastAsia"/>
          <w:sz w:val="24"/>
        </w:rPr>
        <w:t>对接扣件开口应朝上或朝内；</w:t>
      </w:r>
    </w:p>
    <w:p w:rsidR="006A67C6">
      <w:pPr>
        <w:pStyle w:val="Normal0"/>
        <w:numPr>
          <w:ilvl w:val="1"/>
          <w:numId w:val="10"/>
        </w:numPr>
        <w:jc w:val="left"/>
        <w:rPr>
          <w:rFonts w:ascii="宋体" w:hAnsi="宋体"/>
          <w:sz w:val="24"/>
        </w:rPr>
      </w:pPr>
      <w:r>
        <w:rPr>
          <w:rFonts w:ascii="宋体" w:hAnsi="宋体" w:hint="eastAsia"/>
          <w:sz w:val="24"/>
        </w:rPr>
        <w:t>各杆件端头伸出扣件盖板边缘长度不应小于</w:t>
      </w:r>
      <w:r>
        <w:rPr>
          <w:rFonts w:ascii="宋体" w:hAnsi="宋体" w:hint="eastAsia"/>
          <w:sz w:val="24"/>
        </w:rPr>
        <w:t>100mm</w:t>
      </w:r>
      <w:r>
        <w:rPr>
          <w:rFonts w:ascii="宋体" w:hAnsi="宋体" w:hint="eastAsia"/>
          <w:sz w:val="24"/>
        </w:rPr>
        <w:t>。</w:t>
      </w:r>
    </w:p>
    <w:p w:rsidR="006A67C6">
      <w:pPr>
        <w:pStyle w:val="Normal0"/>
        <w:jc w:val="left"/>
        <w:rPr>
          <w:rFonts w:ascii="宋体" w:hAnsi="宋体"/>
          <w:sz w:val="24"/>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4"/>
        </w:rPr>
        <w:t>11</w:t>
      </w:r>
      <w:r>
        <w:rPr>
          <w:rFonts w:ascii="宋体" w:hAnsi="宋体" w:hint="eastAsia"/>
          <w:sz w:val="24"/>
        </w:rPr>
        <w:t>、作业层、斜道的栏杆和挡脚板的搭设应符合下列规定：</w:t>
      </w:r>
    </w:p>
    <w:p w:rsidR="006A67C6">
      <w:pPr>
        <w:pStyle w:val="Normal0"/>
        <w:numPr>
          <w:ilvl w:val="0"/>
          <w:numId w:val="12"/>
        </w:numPr>
        <w:jc w:val="left"/>
        <w:rPr>
          <w:rFonts w:ascii="宋体" w:hAnsi="宋体"/>
          <w:sz w:val="24"/>
        </w:rPr>
      </w:pPr>
      <w:r>
        <w:rPr>
          <w:rFonts w:ascii="宋体" w:hAnsi="宋体" w:hint="eastAsia"/>
          <w:sz w:val="24"/>
        </w:rPr>
        <w:t>栏杆和挡脚板均应搭设在外立杆的内侧；</w:t>
      </w:r>
    </w:p>
    <w:p w:rsidR="006A67C6">
      <w:pPr>
        <w:pStyle w:val="Normal0"/>
        <w:numPr>
          <w:ilvl w:val="0"/>
          <w:numId w:val="12"/>
        </w:numPr>
        <w:jc w:val="left"/>
        <w:rPr>
          <w:rFonts w:ascii="宋体" w:hAnsi="宋体"/>
          <w:sz w:val="24"/>
        </w:rPr>
      </w:pPr>
      <w:r>
        <w:rPr>
          <w:rFonts w:ascii="宋体" w:hAnsi="宋体" w:hint="eastAsia"/>
          <w:sz w:val="24"/>
        </w:rPr>
        <w:t>上栏杆上皮高度应为</w:t>
      </w:r>
      <w:r>
        <w:rPr>
          <w:rFonts w:ascii="宋体" w:hAnsi="宋体" w:hint="eastAsia"/>
          <w:sz w:val="24"/>
        </w:rPr>
        <w:t>1.2m</w:t>
      </w:r>
      <w:r>
        <w:rPr>
          <w:rFonts w:ascii="宋体" w:hAnsi="宋体" w:hint="eastAsia"/>
          <w:sz w:val="24"/>
        </w:rPr>
        <w:t>；</w:t>
      </w:r>
    </w:p>
    <w:p w:rsidR="006A67C6">
      <w:pPr>
        <w:pStyle w:val="Normal0"/>
        <w:numPr>
          <w:ilvl w:val="0"/>
          <w:numId w:val="12"/>
        </w:numPr>
        <w:jc w:val="left"/>
        <w:rPr>
          <w:rFonts w:ascii="宋体" w:hAnsi="宋体"/>
          <w:sz w:val="24"/>
        </w:rPr>
      </w:pPr>
      <w:r>
        <w:rPr>
          <w:rFonts w:ascii="宋体" w:hAnsi="宋体" w:hint="eastAsia"/>
          <w:sz w:val="24"/>
        </w:rPr>
        <w:t>挡脚板高度不应小于</w:t>
      </w:r>
      <w:r>
        <w:rPr>
          <w:rFonts w:ascii="宋体" w:hAnsi="宋体" w:hint="eastAsia"/>
          <w:sz w:val="24"/>
        </w:rPr>
        <w:t>180mm</w:t>
      </w:r>
      <w:r>
        <w:rPr>
          <w:rFonts w:ascii="宋体" w:hAnsi="宋体" w:hint="eastAsia"/>
          <w:sz w:val="24"/>
        </w:rPr>
        <w:t>；</w:t>
      </w:r>
    </w:p>
    <w:p w:rsidR="006A67C6">
      <w:pPr>
        <w:pStyle w:val="Normal0"/>
        <w:numPr>
          <w:ilvl w:val="0"/>
          <w:numId w:val="12"/>
        </w:numPr>
        <w:jc w:val="left"/>
        <w:rPr>
          <w:rFonts w:ascii="宋体" w:hAnsi="宋体"/>
          <w:sz w:val="24"/>
        </w:rPr>
      </w:pPr>
      <w:r>
        <w:rPr>
          <w:rFonts w:ascii="宋体" w:hAnsi="宋体" w:hint="eastAsia"/>
          <w:sz w:val="24"/>
        </w:rPr>
        <w:t>中栏杆应居中设置。</w:t>
      </w:r>
    </w:p>
    <w:p w:rsidR="006A67C6">
      <w:pPr>
        <w:pStyle w:val="Normal0"/>
        <w:jc w:val="left"/>
        <w:rPr>
          <w:rFonts w:ascii="宋体" w:hAnsi="宋体"/>
          <w:sz w:val="24"/>
        </w:rPr>
      </w:pPr>
      <w:r>
        <w:rPr>
          <w:rFonts w:ascii="宋体" w:hAnsi="宋体" w:hint="eastAsia"/>
          <w:sz w:val="24"/>
        </w:rPr>
        <w:t>12</w:t>
      </w:r>
      <w:r>
        <w:rPr>
          <w:rFonts w:ascii="宋体" w:hAnsi="宋体" w:hint="eastAsia"/>
          <w:sz w:val="24"/>
        </w:rPr>
        <w:t>、脚手板的铺设应符合下列规定：</w:t>
      </w:r>
    </w:p>
    <w:p w:rsidR="006A67C6">
      <w:pPr>
        <w:pStyle w:val="Normal0"/>
        <w:numPr>
          <w:ilvl w:val="0"/>
          <w:numId w:val="13"/>
        </w:numPr>
        <w:jc w:val="left"/>
        <w:rPr>
          <w:rFonts w:ascii="宋体" w:hAnsi="宋体"/>
          <w:sz w:val="24"/>
        </w:rPr>
      </w:pPr>
      <w:r>
        <w:rPr>
          <w:rFonts w:ascii="宋体" w:hAnsi="宋体" w:hint="eastAsia"/>
          <w:sz w:val="24"/>
        </w:rPr>
        <w:t>脚手架应铺满、铺稳，离墙面的距离不应大于</w:t>
      </w:r>
      <w:r>
        <w:rPr>
          <w:rFonts w:ascii="宋体" w:hAnsi="宋体" w:hint="eastAsia"/>
          <w:sz w:val="24"/>
        </w:rPr>
        <w:t>150mm</w:t>
      </w:r>
      <w:r>
        <w:rPr>
          <w:rFonts w:ascii="宋体" w:hAnsi="宋体" w:hint="eastAsia"/>
          <w:sz w:val="24"/>
        </w:rPr>
        <w:t>；</w:t>
      </w:r>
    </w:p>
    <w:p w:rsidR="006A67C6">
      <w:pPr>
        <w:pStyle w:val="Normal0"/>
        <w:numPr>
          <w:ilvl w:val="0"/>
          <w:numId w:val="13"/>
        </w:numPr>
        <w:jc w:val="left"/>
        <w:rPr>
          <w:rFonts w:ascii="宋体" w:hAnsi="宋体"/>
          <w:sz w:val="24"/>
        </w:rPr>
      </w:pPr>
      <w:r>
        <w:rPr>
          <w:rFonts w:ascii="宋体" w:hAnsi="宋体" w:hint="eastAsia"/>
          <w:sz w:val="24"/>
        </w:rPr>
        <w:t>采用对接或搭接时均应符合《建筑施工扣件式钢管脚手架安全技术规范》</w:t>
      </w:r>
      <w:r>
        <w:rPr>
          <w:rFonts w:ascii="宋体" w:hAnsi="宋体" w:hint="eastAsia"/>
          <w:sz w:val="24"/>
        </w:rPr>
        <w:t>JGJ130-2011</w:t>
      </w:r>
      <w:r>
        <w:rPr>
          <w:rFonts w:ascii="宋体" w:hAnsi="宋体" w:hint="eastAsia"/>
          <w:sz w:val="24"/>
        </w:rPr>
        <w:t>第</w:t>
      </w:r>
      <w:r>
        <w:rPr>
          <w:rFonts w:ascii="宋体" w:hAnsi="宋体" w:hint="eastAsia"/>
          <w:sz w:val="24"/>
        </w:rPr>
        <w:t>6.2.4</w:t>
      </w:r>
      <w:r>
        <w:rPr>
          <w:rFonts w:ascii="宋体" w:hAnsi="宋体" w:hint="eastAsia"/>
          <w:sz w:val="24"/>
        </w:rPr>
        <w:t>条的规定；脚手板探头应用直径</w:t>
      </w:r>
      <w:r>
        <w:rPr>
          <w:rFonts w:ascii="宋体" w:hAnsi="宋体" w:hint="eastAsia"/>
          <w:sz w:val="24"/>
        </w:rPr>
        <w:t>3.2mm</w:t>
      </w:r>
      <w:r>
        <w:rPr>
          <w:rFonts w:ascii="宋体" w:hAnsi="宋体" w:hint="eastAsia"/>
          <w:sz w:val="24"/>
        </w:rPr>
        <w:t>镀锌钢丝固定在支承杆件上；</w:t>
      </w:r>
    </w:p>
    <w:p w:rsidR="006A67C6">
      <w:pPr>
        <w:pStyle w:val="Normal0"/>
        <w:numPr>
          <w:ilvl w:val="0"/>
          <w:numId w:val="13"/>
        </w:numPr>
        <w:jc w:val="left"/>
        <w:rPr>
          <w:rFonts w:ascii="宋体" w:hAnsi="宋体"/>
          <w:sz w:val="24"/>
        </w:rPr>
      </w:pPr>
      <w:r>
        <w:rPr>
          <w:rFonts w:ascii="宋体" w:hAnsi="宋体" w:hint="eastAsia"/>
          <w:sz w:val="24"/>
        </w:rPr>
        <w:t>在拐角、斜道平台口处的脚手板，应用镀锌钢丝固定在横向水平杆上，防止滑动。</w:t>
      </w:r>
    </w:p>
    <w:p w:rsidR="006A67C6">
      <w:pPr>
        <w:pStyle w:val="Normal0"/>
        <w:rPr>
          <w:rFonts w:ascii="宋体" w:hAnsi="宋体"/>
          <w:sz w:val="24"/>
        </w:rPr>
      </w:pPr>
      <w:r>
        <w:rPr>
          <w:rFonts w:ascii="宋体" w:hAnsi="宋体" w:hint="eastAsia"/>
          <w:sz w:val="24"/>
        </w:rPr>
        <w:t>13</w:t>
      </w:r>
      <w:r>
        <w:rPr>
          <w:rFonts w:ascii="宋体" w:hAnsi="宋体" w:hint="eastAsia"/>
          <w:sz w:val="24"/>
        </w:rPr>
        <w:t>、钢管架应设置避雷针，分置于主楼外架四角立杆之上，并联通纵向水平杆，形成避雷网络，并检测接地电阻不大于</w:t>
      </w:r>
      <w:r>
        <w:rPr>
          <w:rFonts w:ascii="Times New Roman" w:eastAsia="Times New Roman" w:hAnsi="Times New Roman" w:hint="eastAsia"/>
          <w:sz w:val="24"/>
          <w:lang w:val="el-GR"/>
        </w:rPr>
        <w:t>30Ω</w:t>
      </w:r>
      <w:r>
        <w:rPr>
          <w:rFonts w:ascii="宋体" w:hAnsi="宋体" w:hint="eastAsia"/>
          <w:sz w:val="24"/>
        </w:rPr>
        <w:t>。</w:t>
      </w:r>
    </w:p>
    <w:p w:rsidR="006A67C6">
      <w:pPr>
        <w:pStyle w:val="Normal0"/>
        <w:rPr>
          <w:rFonts w:ascii="宋体" w:hAnsi="宋体"/>
          <w:sz w:val="24"/>
        </w:rPr>
      </w:pPr>
      <w:r>
        <w:rPr>
          <w:rFonts w:ascii="宋体" w:hAnsi="宋体" w:hint="eastAsia"/>
          <w:sz w:val="24"/>
        </w:rPr>
        <w:t>14</w:t>
      </w:r>
      <w:r>
        <w:rPr>
          <w:rFonts w:ascii="宋体" w:hAnsi="宋体" w:hint="eastAsia"/>
          <w:sz w:val="24"/>
        </w:rPr>
        <w:t>、外脚手架不得搭设在距离外架空线路的安全距离内，并做好可靠的安全接地处理。</w:t>
      </w:r>
    </w:p>
    <w:p w:rsidR="006A67C6">
      <w:pPr>
        <w:pStyle w:val="Normal0"/>
        <w:rPr>
          <w:rFonts w:ascii="宋体" w:hAnsi="宋体"/>
          <w:sz w:val="24"/>
        </w:rPr>
      </w:pPr>
      <w:r>
        <w:rPr>
          <w:rFonts w:ascii="宋体" w:hAnsi="宋体" w:hint="eastAsia"/>
          <w:sz w:val="24"/>
        </w:rPr>
        <w:t>15</w:t>
      </w:r>
      <w:r>
        <w:rPr>
          <w:rFonts w:ascii="宋体" w:hAnsi="宋体" w:hint="eastAsia"/>
          <w:sz w:val="24"/>
        </w:rPr>
        <w:t>、定期检查脚手架，发现问题和隐患，在施工作业前及时维修加固，以达到坚固稳定</w:t>
      </w:r>
      <w:r>
        <w:rPr>
          <w:rFonts w:ascii="宋体" w:hAnsi="宋体" w:hint="eastAsia"/>
          <w:sz w:val="24"/>
        </w:rPr>
        <w:t>，确保施工安全。</w:t>
      </w:r>
    </w:p>
    <w:p w:rsidR="006A67C6">
      <w:pPr>
        <w:pStyle w:val="Normal0"/>
        <w:rPr>
          <w:rFonts w:ascii="宋体" w:hAnsi="宋体"/>
          <w:sz w:val="24"/>
        </w:rPr>
      </w:pPr>
      <w:r>
        <w:rPr>
          <w:rFonts w:ascii="宋体" w:hAnsi="宋体" w:hint="eastAsia"/>
          <w:sz w:val="24"/>
        </w:rPr>
        <w:t>16</w:t>
      </w:r>
      <w:r>
        <w:rPr>
          <w:rFonts w:ascii="宋体" w:hAnsi="宋体" w:hint="eastAsia"/>
          <w:sz w:val="24"/>
        </w:rPr>
        <w:t>、外脚手架严禁钢竹、钢木混搭，禁止扣件、绳索、铁丝、竹篾、塑料篾混用。</w:t>
      </w:r>
    </w:p>
    <w:p w:rsidR="006A67C6">
      <w:pPr>
        <w:pStyle w:val="Normal0"/>
        <w:rPr>
          <w:rFonts w:ascii="宋体" w:hAnsi="宋体"/>
          <w:sz w:val="24"/>
        </w:rPr>
      </w:pPr>
      <w:r>
        <w:rPr>
          <w:rFonts w:ascii="宋体" w:hAnsi="宋体" w:hint="eastAsia"/>
          <w:sz w:val="24"/>
        </w:rPr>
        <w:t>17</w:t>
      </w:r>
      <w:r>
        <w:rPr>
          <w:rFonts w:ascii="宋体" w:hAnsi="宋体" w:hint="eastAsia"/>
          <w:sz w:val="24"/>
        </w:rPr>
        <w:t>、外脚手架搭设人员必须持证上岗，并正确使用安全帽、安全带、穿防滑鞋。</w:t>
      </w:r>
    </w:p>
    <w:p w:rsidR="006A67C6">
      <w:pPr>
        <w:pStyle w:val="Normal0"/>
        <w:rPr>
          <w:rFonts w:ascii="宋体" w:hAnsi="宋体"/>
          <w:sz w:val="24"/>
        </w:rPr>
      </w:pPr>
      <w:r>
        <w:rPr>
          <w:rFonts w:ascii="宋体" w:hAnsi="宋体" w:hint="eastAsia"/>
          <w:sz w:val="24"/>
        </w:rPr>
        <w:t>18</w:t>
      </w:r>
      <w:r>
        <w:rPr>
          <w:rFonts w:ascii="宋体" w:hAnsi="宋体" w:hint="eastAsia"/>
          <w:sz w:val="24"/>
        </w:rPr>
        <w:t>、严禁脚手板存在探头板，铺设脚手板以及多层作业时，应尽量使施工荷载内、外传递平衡。</w:t>
      </w:r>
    </w:p>
    <w:p w:rsidR="006A67C6">
      <w:pPr>
        <w:pStyle w:val="Normal0"/>
        <w:rPr>
          <w:rFonts w:ascii="宋体" w:hAnsi="宋体"/>
          <w:sz w:val="24"/>
        </w:rPr>
      </w:pPr>
      <w:r>
        <w:rPr>
          <w:rFonts w:ascii="宋体" w:hAnsi="宋体" w:hint="eastAsia"/>
          <w:sz w:val="24"/>
        </w:rPr>
        <w:t>19</w:t>
      </w:r>
      <w:r>
        <w:rPr>
          <w:rFonts w:ascii="宋体" w:hAnsi="宋体" w:hint="eastAsia"/>
          <w:sz w:val="24"/>
        </w:rPr>
        <w:t>、保证脚手架体的整体性，不得与井架、升降机一并拉结，不得截断架体。</w:t>
      </w:r>
    </w:p>
    <w:p w:rsidR="006A67C6">
      <w:pPr>
        <w:pStyle w:val="Normal0"/>
        <w:rPr>
          <w:rFonts w:ascii="宋体" w:hAnsi="宋体"/>
          <w:sz w:val="24"/>
        </w:rPr>
      </w:pPr>
      <w:r>
        <w:rPr>
          <w:rFonts w:ascii="宋体" w:hAnsi="宋体" w:hint="eastAsia"/>
          <w:sz w:val="24"/>
        </w:rPr>
        <w:t>20</w:t>
      </w:r>
      <w:r>
        <w:rPr>
          <w:rFonts w:ascii="宋体" w:hAnsi="宋体" w:hint="eastAsia"/>
          <w:sz w:val="24"/>
        </w:rPr>
        <w:t>、结构外脚手架每支搭一层，支搭完毕后，经项目部安全员验收合格后方可使用。任何班组长和个人，未经同意不得任意拆除脚手架部件。</w:t>
      </w:r>
    </w:p>
    <w:p w:rsidR="006A67C6">
      <w:pPr>
        <w:pStyle w:val="Normal0"/>
        <w:rPr>
          <w:rFonts w:ascii="宋体" w:hAnsi="宋体"/>
          <w:sz w:val="24"/>
        </w:rPr>
      </w:pPr>
      <w:r>
        <w:rPr>
          <w:rFonts w:ascii="宋体" w:hAnsi="宋体" w:hint="eastAsia"/>
          <w:sz w:val="24"/>
        </w:rPr>
        <w:t>21</w:t>
      </w:r>
      <w:r>
        <w:rPr>
          <w:rFonts w:ascii="宋体" w:hAnsi="宋体" w:hint="eastAsia"/>
          <w:sz w:val="24"/>
        </w:rPr>
        <w:t>、严格控制施工荷载，脚手板不得集中堆料施荷，施工荷载不得大于</w:t>
      </w:r>
      <w:r>
        <w:rPr>
          <w:rFonts w:ascii="Times New Roman" w:eastAsia="Times New Roman" w:hAnsi="Times New Roman" w:hint="eastAsia"/>
          <w:sz w:val="24"/>
        </w:rPr>
        <w:t>3kN/m</w:t>
      </w:r>
      <w:r>
        <w:rPr>
          <w:rFonts w:ascii="Times New Roman" w:eastAsia="Times New Roman" w:hAnsi="Times New Roman" w:hint="eastAsia"/>
          <w:sz w:val="24"/>
          <w:vertAlign w:val="superscript"/>
        </w:rPr>
        <w:t>2</w:t>
      </w:r>
      <w:r>
        <w:rPr>
          <w:rFonts w:ascii="宋体" w:hAnsi="宋体" w:hint="eastAsia"/>
          <w:sz w:val="24"/>
        </w:rPr>
        <w:t>，确保较大安全储备。</w:t>
      </w:r>
    </w:p>
    <w:p w:rsidR="006A67C6">
      <w:pPr>
        <w:pStyle w:val="Normal0"/>
        <w:rPr>
          <w:rFonts w:ascii="宋体" w:hAnsi="宋体"/>
          <w:sz w:val="24"/>
        </w:rPr>
      </w:pPr>
      <w:r>
        <w:rPr>
          <w:rFonts w:ascii="宋体" w:hAnsi="宋体" w:hint="eastAsia"/>
          <w:sz w:val="24"/>
        </w:rPr>
        <w:t>22</w:t>
      </w:r>
      <w:r>
        <w:rPr>
          <w:rFonts w:ascii="宋体" w:hAnsi="宋体" w:hint="eastAsia"/>
          <w:sz w:val="24"/>
        </w:rPr>
        <w:t>、各作业层之间设置可靠的防护栅栏，防止坠落物体伤人。</w:t>
      </w:r>
    </w:p>
    <w:p w:rsidR="006A67C6">
      <w:pPr>
        <w:pStyle w:val="Normal0"/>
        <w:spacing w:line="360" w:lineRule="auto"/>
        <w:jc w:val="left"/>
        <w:rPr>
          <w:rFonts w:ascii="Times New Roman" w:eastAsia="Times New Roman" w:hAnsi="Times New Roman"/>
          <w:color w:val="000000"/>
          <w:sz w:val="24"/>
        </w:rPr>
        <w:sectPr>
          <w:type w:val="nextPage"/>
          <w:pgSz w:w="11906" w:h="16838"/>
          <w:pgMar w:top="1440" w:right="1800" w:bottom="1440" w:left="1800" w:header="851" w:footer="992" w:gutter="0"/>
          <w:pgNumType w:start="24"/>
          <w:cols w:space="425"/>
          <w:titlePg w:val="0"/>
          <w:docGrid w:type="lines" w:linePitch="312"/>
        </w:sectPr>
      </w:pP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脚手架拆除技术措施</w:t>
      </w: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扣件式脚手架</w:t>
      </w:r>
    </w:p>
    <w:p w:rsidR="006A67C6">
      <w:pPr>
        <w:pStyle w:val="Normal0"/>
        <w:rPr>
          <w:rFonts w:ascii="宋体" w:hAnsi="宋体"/>
          <w:sz w:val="24"/>
        </w:rPr>
      </w:pPr>
      <w:r>
        <w:rPr>
          <w:rFonts w:ascii="宋体" w:hAnsi="宋体" w:hint="eastAsia"/>
          <w:sz w:val="24"/>
        </w:rPr>
        <w:t>1</w:t>
      </w:r>
      <w:r>
        <w:rPr>
          <w:rFonts w:ascii="宋体" w:hAnsi="宋体" w:hint="eastAsia"/>
          <w:sz w:val="24"/>
        </w:rPr>
        <w:t>、拆架前</w:t>
      </w:r>
      <w:r>
        <w:rPr>
          <w:rFonts w:ascii="宋体" w:hAnsi="宋体" w:hint="eastAsia"/>
          <w:sz w:val="24"/>
        </w:rPr>
        <w:t>:</w:t>
      </w:r>
    </w:p>
    <w:p w:rsidR="006A67C6">
      <w:pPr>
        <w:pStyle w:val="Normal0"/>
        <w:numPr>
          <w:ilvl w:val="0"/>
          <w:numId w:val="13"/>
        </w:numPr>
        <w:jc w:val="left"/>
        <w:rPr>
          <w:rFonts w:ascii="宋体" w:hAnsi="宋体"/>
          <w:sz w:val="24"/>
        </w:rPr>
      </w:pPr>
      <w:r>
        <w:rPr>
          <w:rFonts w:ascii="宋体" w:hAnsi="宋体" w:hint="eastAsia"/>
          <w:sz w:val="24"/>
        </w:rPr>
        <w:t>应全面检查脚手架的扣件连接、连墙件、支撑体系等是否符合构造要求；</w:t>
      </w:r>
    </w:p>
    <w:p w:rsidR="006A67C6">
      <w:pPr>
        <w:pStyle w:val="Normal0"/>
        <w:numPr>
          <w:ilvl w:val="0"/>
          <w:numId w:val="13"/>
        </w:numPr>
        <w:jc w:val="left"/>
        <w:rPr>
          <w:rFonts w:ascii="宋体" w:hAnsi="宋体"/>
          <w:sz w:val="24"/>
        </w:rPr>
      </w:pPr>
      <w:r>
        <w:rPr>
          <w:rFonts w:ascii="宋体" w:hAnsi="宋体" w:hint="eastAsia"/>
          <w:sz w:val="24"/>
        </w:rPr>
        <w:t>应根据检查结果补充完善施工组织设计中的拆除顺序和措施，经主管部门批准后方可实施；</w:t>
      </w:r>
    </w:p>
    <w:p w:rsidR="006A67C6">
      <w:pPr>
        <w:pStyle w:val="Normal0"/>
        <w:numPr>
          <w:ilvl w:val="0"/>
          <w:numId w:val="13"/>
        </w:numPr>
        <w:jc w:val="left"/>
        <w:rPr>
          <w:rFonts w:ascii="宋体" w:hAnsi="宋体"/>
          <w:sz w:val="24"/>
        </w:rPr>
      </w:pPr>
      <w:r>
        <w:rPr>
          <w:rFonts w:ascii="宋体" w:hAnsi="宋体" w:hint="eastAsia"/>
          <w:sz w:val="24"/>
        </w:rPr>
        <w:t>应由单位工程负责人进行拆除安全技术交底；</w:t>
      </w:r>
    </w:p>
    <w:p w:rsidR="006A67C6">
      <w:pPr>
        <w:pStyle w:val="Normal0"/>
        <w:numPr>
          <w:ilvl w:val="0"/>
          <w:numId w:val="13"/>
        </w:numPr>
        <w:jc w:val="left"/>
        <w:rPr>
          <w:rFonts w:ascii="宋体" w:hAnsi="宋体"/>
          <w:sz w:val="24"/>
        </w:rPr>
      </w:pPr>
      <w:r>
        <w:rPr>
          <w:rFonts w:ascii="宋体" w:hAnsi="宋体" w:hint="eastAsia"/>
          <w:sz w:val="24"/>
        </w:rPr>
        <w:t>应清除脚手架上杂物及地面障碍物。</w:t>
      </w:r>
    </w:p>
    <w:p w:rsidR="006A67C6">
      <w:pPr>
        <w:pStyle w:val="Normal0"/>
        <w:rPr>
          <w:rFonts w:ascii="宋体" w:hAnsi="宋体"/>
          <w:color w:val="000000"/>
          <w:sz w:val="24"/>
        </w:rPr>
      </w:pPr>
      <w:r>
        <w:rPr>
          <w:rFonts w:ascii="宋体" w:hAnsi="宋体" w:hint="eastAsia"/>
          <w:sz w:val="24"/>
        </w:rPr>
        <w:t>2</w:t>
      </w:r>
      <w:r>
        <w:rPr>
          <w:rFonts w:ascii="宋体" w:hAnsi="宋体" w:hint="eastAsia"/>
          <w:sz w:val="24"/>
        </w:rPr>
        <w:t>、拆架时应划分作业区，周围设绳绑围栏或竖立警戒标志，地面应设专人指挥，禁止非作业</w:t>
      </w:r>
      <w:r>
        <w:rPr>
          <w:rFonts w:ascii="宋体" w:hAnsi="宋体" w:hint="eastAsia"/>
          <w:sz w:val="24"/>
        </w:rPr>
        <w:t>人员进入。当脚手架采取分段、分立面拆除时，对不拆除的脚手架两端，应先按《建筑施工扣件式钢管脚手架安全技术规范》</w:t>
      </w:r>
      <w:r>
        <w:rPr>
          <w:rFonts w:ascii="宋体" w:hAnsi="宋体" w:hint="eastAsia"/>
          <w:sz w:val="24"/>
        </w:rPr>
        <w:t>JGJ130-2011</w:t>
      </w:r>
      <w:r>
        <w:rPr>
          <w:rFonts w:ascii="宋体" w:hAnsi="宋体" w:hint="eastAsia"/>
          <w:color w:val="000000"/>
          <w:sz w:val="24"/>
        </w:rPr>
        <w:t>第</w:t>
      </w:r>
      <w:r>
        <w:rPr>
          <w:rFonts w:ascii="宋体" w:hAnsi="宋体" w:hint="eastAsia"/>
          <w:color w:val="000000"/>
          <w:sz w:val="24"/>
        </w:rPr>
        <w:t>6.4.4</w:t>
      </w:r>
      <w:r>
        <w:rPr>
          <w:rFonts w:ascii="宋体" w:hAnsi="宋体" w:hint="eastAsia"/>
          <w:color w:val="000000"/>
          <w:sz w:val="24"/>
        </w:rPr>
        <w:t>条、第</w:t>
      </w:r>
      <w:r>
        <w:rPr>
          <w:rFonts w:ascii="宋体" w:hAnsi="宋体" w:hint="eastAsia"/>
          <w:color w:val="000000"/>
          <w:sz w:val="24"/>
        </w:rPr>
        <w:t>6.6.4</w:t>
      </w:r>
      <w:r>
        <w:rPr>
          <w:rFonts w:ascii="宋体" w:hAnsi="宋体" w:hint="eastAsia"/>
          <w:color w:val="000000"/>
          <w:sz w:val="24"/>
        </w:rPr>
        <w:t>条、第</w:t>
      </w:r>
      <w:r>
        <w:rPr>
          <w:rFonts w:ascii="宋体" w:hAnsi="宋体" w:hint="eastAsia"/>
          <w:color w:val="000000"/>
          <w:sz w:val="24"/>
        </w:rPr>
        <w:t>6.6.5</w:t>
      </w:r>
      <w:r>
        <w:rPr>
          <w:rFonts w:ascii="宋体" w:hAnsi="宋体" w:hint="eastAsia"/>
          <w:color w:val="000000"/>
          <w:sz w:val="24"/>
        </w:rPr>
        <w:t>条设置连墙件和横向斜撑加固。</w:t>
      </w:r>
    </w:p>
    <w:p w:rsidR="006A67C6">
      <w:pPr>
        <w:pStyle w:val="Normal0"/>
        <w:rPr>
          <w:rFonts w:ascii="宋体" w:hAnsi="宋体"/>
          <w:sz w:val="24"/>
        </w:rPr>
      </w:pPr>
      <w:r>
        <w:rPr>
          <w:rFonts w:ascii="宋体" w:hAnsi="宋体" w:hint="eastAsia"/>
          <w:sz w:val="24"/>
        </w:rPr>
        <w:t>3</w:t>
      </w:r>
      <w:r>
        <w:rPr>
          <w:rFonts w:ascii="宋体" w:hAnsi="宋体" w:hint="eastAsia"/>
          <w:sz w:val="24"/>
        </w:rPr>
        <w:t>、拆架的高处作业人员应戴安全帽、系安全带、扎裹腿、穿软底防滑鞋。</w:t>
      </w:r>
    </w:p>
    <w:p w:rsidR="006A67C6">
      <w:pPr>
        <w:pStyle w:val="Normal0"/>
        <w:rPr>
          <w:rFonts w:ascii="宋体" w:hAnsi="宋体"/>
          <w:sz w:val="24"/>
        </w:rPr>
      </w:pPr>
      <w:r>
        <w:rPr>
          <w:rFonts w:ascii="宋体" w:hAnsi="宋体" w:hint="eastAsia"/>
          <w:sz w:val="24"/>
        </w:rPr>
        <w:t>4</w:t>
      </w:r>
      <w:r>
        <w:rPr>
          <w:rFonts w:ascii="宋体" w:hAnsi="宋体" w:hint="eastAsia"/>
          <w:sz w:val="24"/>
        </w:rPr>
        <w:t>、拆架程序应遵守</w:t>
      </w:r>
      <w:r>
        <w:rPr>
          <w:rFonts w:ascii="Times New Roman" w:eastAsia="Times New Roman" w:hAnsi="Times New Roman"/>
          <w:sz w:val="24"/>
        </w:rPr>
        <w:t>“</w:t>
      </w:r>
      <w:r>
        <w:rPr>
          <w:rFonts w:ascii="宋体" w:hAnsi="宋体" w:hint="eastAsia"/>
          <w:sz w:val="24"/>
        </w:rPr>
        <w:t>由上而下，先搭后拆</w:t>
      </w:r>
      <w:r>
        <w:rPr>
          <w:rFonts w:ascii="Times New Roman" w:eastAsia="Times New Roman" w:hAnsi="Times New Roman"/>
          <w:sz w:val="24"/>
        </w:rPr>
        <w:t>”</w:t>
      </w:r>
      <w:r>
        <w:rPr>
          <w:rFonts w:ascii="宋体" w:hAnsi="宋体" w:hint="eastAsia"/>
          <w:sz w:val="24"/>
        </w:rPr>
        <w:t>的原则，即先拆拉杆、脚手板、剪刀撑、斜撑，而后拆横向水平杆、纵向水平杆、立杆等，并按</w:t>
      </w:r>
      <w:r>
        <w:rPr>
          <w:rFonts w:ascii="Times New Roman" w:eastAsia="Times New Roman" w:hAnsi="Times New Roman"/>
          <w:sz w:val="24"/>
        </w:rPr>
        <w:t>“</w:t>
      </w:r>
      <w:r>
        <w:rPr>
          <w:rFonts w:ascii="宋体" w:hAnsi="宋体" w:hint="eastAsia"/>
          <w:sz w:val="24"/>
        </w:rPr>
        <w:t>一步一清</w:t>
      </w:r>
      <w:r>
        <w:rPr>
          <w:rFonts w:ascii="Times New Roman" w:eastAsia="Times New Roman" w:hAnsi="Times New Roman"/>
          <w:sz w:val="24"/>
        </w:rPr>
        <w:t>”</w:t>
      </w:r>
      <w:r>
        <w:rPr>
          <w:rFonts w:ascii="宋体" w:hAnsi="宋体" w:hint="eastAsia"/>
          <w:sz w:val="24"/>
        </w:rPr>
        <w:t>原则依次进行。严禁上下同时进行拆架作业。</w:t>
      </w:r>
    </w:p>
    <w:p w:rsidR="006A67C6">
      <w:pPr>
        <w:pStyle w:val="Normal0"/>
        <w:rPr>
          <w:rFonts w:ascii="宋体" w:hAnsi="宋体"/>
          <w:sz w:val="24"/>
        </w:rPr>
      </w:pPr>
      <w:r>
        <w:rPr>
          <w:rFonts w:ascii="宋体" w:hAnsi="宋体" w:hint="eastAsia"/>
          <w:sz w:val="24"/>
        </w:rPr>
        <w:t>5</w:t>
      </w:r>
      <w:r>
        <w:rPr>
          <w:rFonts w:ascii="宋体" w:hAnsi="宋体" w:hint="eastAsia"/>
          <w:sz w:val="24"/>
        </w:rPr>
        <w:t>、拆立杆时，要先抱住立杆再拆开最后两个扣件，拆除纵向水平杆</w:t>
      </w:r>
      <w:r>
        <w:rPr>
          <w:rFonts w:ascii="宋体" w:hAnsi="宋体" w:hint="eastAsia"/>
          <w:sz w:val="24"/>
        </w:rPr>
        <w:t>、斜撑、剪刀撑时，应先拆除中间扣件，然后托住中间，再解端头扣件。</w:t>
      </w:r>
    </w:p>
    <w:p w:rsidR="006A67C6">
      <w:pPr>
        <w:pStyle w:val="Normal0"/>
        <w:rPr>
          <w:rFonts w:ascii="宋体" w:hAnsi="宋体"/>
          <w:sz w:val="24"/>
        </w:rPr>
      </w:pPr>
      <w:r>
        <w:rPr>
          <w:rFonts w:ascii="宋体" w:hAnsi="宋体" w:hint="eastAsia"/>
          <w:sz w:val="24"/>
        </w:rPr>
        <w:t>6</w:t>
      </w:r>
      <w:r>
        <w:rPr>
          <w:rFonts w:ascii="宋体" w:hAnsi="宋体" w:hint="eastAsia"/>
          <w:sz w:val="24"/>
        </w:rPr>
        <w:t>、连墙件必须随脚手架逐层拆除，严禁先将连墙件整层或数层拆除后再拆脚手架；分段拆除高差不应大于</w:t>
      </w:r>
      <w:r>
        <w:rPr>
          <w:rFonts w:ascii="宋体" w:hAnsi="宋体" w:hint="eastAsia"/>
          <w:sz w:val="24"/>
        </w:rPr>
        <w:t>2</w:t>
      </w:r>
      <w:r>
        <w:rPr>
          <w:rFonts w:ascii="宋体" w:hAnsi="宋体" w:hint="eastAsia"/>
          <w:sz w:val="24"/>
        </w:rPr>
        <w:t>步，如高差大于</w:t>
      </w:r>
      <w:r>
        <w:rPr>
          <w:rFonts w:ascii="宋体" w:hAnsi="宋体" w:hint="eastAsia"/>
          <w:sz w:val="24"/>
        </w:rPr>
        <w:t>2</w:t>
      </w:r>
      <w:r>
        <w:rPr>
          <w:rFonts w:ascii="宋体" w:hAnsi="宋体" w:hint="eastAsia"/>
          <w:sz w:val="24"/>
        </w:rPr>
        <w:t>步，应增设连墙件加固；当脚手架拆至下部最后一根长立杆的高度（约</w:t>
      </w:r>
      <w:r>
        <w:rPr>
          <w:rFonts w:ascii="宋体" w:hAnsi="宋体" w:hint="eastAsia"/>
          <w:sz w:val="24"/>
        </w:rPr>
        <w:t>6.5m</w:t>
      </w:r>
      <w:r>
        <w:rPr>
          <w:rFonts w:ascii="宋体" w:hAnsi="宋体" w:hint="eastAsia"/>
          <w:sz w:val="24"/>
        </w:rPr>
        <w:t>）时，应先在适当位置搭设临时抛撑加固后，再拆除连墙件。</w:t>
      </w:r>
    </w:p>
    <w:p w:rsidR="006A67C6">
      <w:pPr>
        <w:pStyle w:val="Normal0"/>
        <w:rPr>
          <w:rFonts w:ascii="宋体" w:hAnsi="宋体"/>
          <w:sz w:val="24"/>
        </w:rPr>
      </w:pPr>
      <w:r>
        <w:rPr>
          <w:rFonts w:ascii="宋体" w:hAnsi="宋体" w:hint="eastAsia"/>
          <w:sz w:val="24"/>
        </w:rPr>
        <w:t>7</w:t>
      </w:r>
      <w:r>
        <w:rPr>
          <w:rFonts w:ascii="宋体" w:hAnsi="宋体" w:hint="eastAsia"/>
          <w:sz w:val="24"/>
        </w:rPr>
        <w:t>、拆除时要统一指挥，上下呼应，动作协调，当解开与另一人有关的结扣时，应先通知对方，以防坠落。</w:t>
      </w:r>
    </w:p>
    <w:p w:rsidR="006A67C6">
      <w:pPr>
        <w:pStyle w:val="Normal0"/>
        <w:rPr>
          <w:rFonts w:ascii="宋体" w:hAnsi="宋体"/>
          <w:sz w:val="24"/>
        </w:rPr>
      </w:pPr>
      <w:r>
        <w:rPr>
          <w:rFonts w:ascii="宋体" w:hAnsi="宋体" w:hint="eastAsia"/>
          <w:sz w:val="24"/>
        </w:rPr>
        <w:t>8</w:t>
      </w:r>
      <w:r>
        <w:rPr>
          <w:rFonts w:ascii="宋体" w:hAnsi="宋体" w:hint="eastAsia"/>
          <w:sz w:val="24"/>
        </w:rPr>
        <w:t>、拆架时严禁碰撞脚手架附近电源线，以防触电事故。</w:t>
      </w:r>
    </w:p>
    <w:p w:rsidR="006A67C6">
      <w:pPr>
        <w:pStyle w:val="Normal0"/>
        <w:rPr>
          <w:rFonts w:ascii="宋体" w:hAnsi="宋体"/>
          <w:sz w:val="24"/>
        </w:rPr>
      </w:pPr>
      <w:r>
        <w:rPr>
          <w:rFonts w:ascii="宋体" w:hAnsi="宋体" w:hint="eastAsia"/>
          <w:sz w:val="24"/>
        </w:rPr>
        <w:t>9</w:t>
      </w:r>
      <w:r>
        <w:rPr>
          <w:rFonts w:ascii="宋体" w:hAnsi="宋体" w:hint="eastAsia"/>
          <w:sz w:val="24"/>
        </w:rPr>
        <w:t>、在拆架时，不得中途换人，如必须换人时，应将拆除情况交代清楚后方可离开。</w:t>
      </w:r>
    </w:p>
    <w:p w:rsidR="006A67C6">
      <w:pPr>
        <w:pStyle w:val="Normal0"/>
        <w:rPr>
          <w:rFonts w:ascii="宋体" w:hAnsi="宋体"/>
          <w:sz w:val="20"/>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4"/>
        </w:rPr>
        <w:t>10</w:t>
      </w:r>
      <w:r>
        <w:rPr>
          <w:rFonts w:ascii="宋体" w:hAnsi="宋体" w:hint="eastAsia"/>
          <w:sz w:val="24"/>
        </w:rPr>
        <w:t>、拆下的材料要徐徐下运，严禁抛掷。运至地面的材料应按指定地点随拆随运，分类堆放，</w:t>
      </w:r>
      <w:r>
        <w:rPr>
          <w:rFonts w:ascii="Times New Roman" w:eastAsia="Times New Roman" w:hAnsi="Times New Roman"/>
          <w:sz w:val="24"/>
        </w:rPr>
        <w:t>“</w:t>
      </w:r>
      <w:r>
        <w:rPr>
          <w:rFonts w:ascii="宋体" w:hAnsi="宋体" w:hint="eastAsia"/>
          <w:sz w:val="24"/>
        </w:rPr>
        <w:t>当天拆当天清</w:t>
      </w:r>
      <w:r>
        <w:rPr>
          <w:rFonts w:ascii="Times New Roman" w:eastAsia="Times New Roman" w:hAnsi="Times New Roman"/>
          <w:sz w:val="24"/>
        </w:rPr>
        <w:t>”</w:t>
      </w:r>
      <w:r>
        <w:rPr>
          <w:rFonts w:ascii="宋体" w:hAnsi="宋体" w:hint="eastAsia"/>
          <w:sz w:val="24"/>
        </w:rPr>
        <w:t>，拆下的构配件应按《建筑施工扣件式钢管脚手架安</w:t>
      </w:r>
    </w:p>
    <w:p w:rsidR="006A67C6">
      <w:pPr>
        <w:pStyle w:val="Normal0"/>
        <w:rPr>
          <w:rFonts w:ascii="宋体" w:hAnsi="宋体"/>
          <w:sz w:val="20"/>
        </w:rPr>
      </w:pPr>
      <w:r>
        <w:rPr>
          <w:rFonts w:ascii="宋体" w:hAnsi="宋体" w:hint="eastAsia"/>
          <w:sz w:val="24"/>
        </w:rPr>
        <w:t>全技术规范》</w:t>
      </w:r>
      <w:r>
        <w:rPr>
          <w:rFonts w:ascii="宋体" w:hAnsi="宋体" w:hint="eastAsia"/>
          <w:sz w:val="24"/>
        </w:rPr>
        <w:t>JGJ130-2011</w:t>
      </w:r>
      <w:r>
        <w:rPr>
          <w:rFonts w:ascii="宋体" w:hAnsi="宋体" w:hint="eastAsia"/>
          <w:sz w:val="24"/>
        </w:rPr>
        <w:t>的规定及时检查、整修与保养，并应按品种、规格分别存放</w:t>
      </w:r>
      <w:r>
        <w:rPr>
          <w:rFonts w:ascii="宋体" w:hAnsi="宋体" w:hint="eastAsia"/>
          <w:sz w:val="20"/>
        </w:rPr>
        <w:t>。</w:t>
      </w:r>
    </w:p>
    <w:p w:rsidR="006A67C6">
      <w:pPr>
        <w:pStyle w:val="Normal0"/>
        <w:rPr>
          <w:rFonts w:ascii="宋体" w:hAnsi="宋体"/>
          <w:sz w:val="24"/>
        </w:rPr>
      </w:pPr>
      <w:r>
        <w:rPr>
          <w:rFonts w:ascii="宋体" w:hAnsi="宋体" w:hint="eastAsia"/>
          <w:color w:val="000000"/>
          <w:sz w:val="24"/>
        </w:rPr>
        <w:t>11</w:t>
      </w:r>
      <w:r>
        <w:rPr>
          <w:rFonts w:ascii="宋体" w:hAnsi="宋体" w:hint="eastAsia"/>
          <w:color w:val="000000"/>
          <w:sz w:val="24"/>
        </w:rPr>
        <w:t>、</w:t>
      </w:r>
      <w:r>
        <w:rPr>
          <w:rFonts w:ascii="宋体" w:hAnsi="宋体" w:hint="eastAsia"/>
          <w:sz w:val="24"/>
        </w:rPr>
        <w:t>高层建筑脚手架拆除，应配备良好的通讯装置。</w:t>
      </w:r>
    </w:p>
    <w:p w:rsidR="006A67C6">
      <w:pPr>
        <w:pStyle w:val="Normal0"/>
        <w:rPr>
          <w:rFonts w:ascii="宋体" w:hAnsi="宋体"/>
          <w:sz w:val="24"/>
        </w:rPr>
      </w:pPr>
      <w:r>
        <w:rPr>
          <w:rFonts w:ascii="宋体" w:hAnsi="宋体" w:hint="eastAsia"/>
          <w:sz w:val="24"/>
        </w:rPr>
        <w:t>12</w:t>
      </w:r>
      <w:r>
        <w:rPr>
          <w:rFonts w:ascii="宋体" w:hAnsi="宋体" w:hint="eastAsia"/>
          <w:sz w:val="24"/>
        </w:rPr>
        <w:t>、当天离岗时，应及时加固尚未拆除部分，防止存留隐患造成复岗后的人为事故。</w:t>
      </w:r>
    </w:p>
    <w:p w:rsidR="006A67C6">
      <w:pPr>
        <w:pStyle w:val="Normal0"/>
        <w:rPr>
          <w:rFonts w:ascii="宋体" w:hAnsi="宋体"/>
          <w:sz w:val="24"/>
        </w:rPr>
      </w:pPr>
      <w:r>
        <w:rPr>
          <w:rFonts w:ascii="宋体" w:hAnsi="宋体" w:hint="eastAsia"/>
          <w:sz w:val="24"/>
        </w:rPr>
        <w:t>13</w:t>
      </w:r>
      <w:r>
        <w:rPr>
          <w:rFonts w:ascii="宋体" w:hAnsi="宋体" w:hint="eastAsia"/>
          <w:sz w:val="24"/>
        </w:rPr>
        <w:t>、如遇强风、大雨、雪等特殊气候，不应进行脚手架的拆除，严禁夜间拆除。</w:t>
      </w:r>
    </w:p>
    <w:p w:rsidR="006A67C6">
      <w:pPr>
        <w:pStyle w:val="Normal0"/>
        <w:rPr>
          <w:rFonts w:ascii="宋体" w:hAnsi="宋体"/>
          <w:sz w:val="24"/>
        </w:rPr>
      </w:pPr>
      <w:r>
        <w:rPr>
          <w:rFonts w:ascii="宋体" w:hAnsi="宋体" w:hint="eastAsia"/>
          <w:sz w:val="24"/>
        </w:rPr>
        <w:t>14</w:t>
      </w:r>
      <w:r>
        <w:rPr>
          <w:rFonts w:ascii="宋体" w:hAnsi="宋体" w:hint="eastAsia"/>
          <w:sz w:val="24"/>
        </w:rPr>
        <w:t>、翻掀垫铺竹笆应注意站立位置，并应自外向里翻起竖立，防止外翻将竹笆内未清除的残留物从高处坠落伤人。</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安全管理</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搭设人员必须是经过按现行国家标准《特种作业人员安全技术考核管理规则》</w:t>
      </w:r>
      <w:r>
        <w:rPr>
          <w:rFonts w:ascii="Times New Roman" w:eastAsia="Times New Roman" w:hAnsi="Times New Roman" w:hint="eastAsia"/>
          <w:sz w:val="24"/>
        </w:rPr>
        <w:t>GB5036</w:t>
      </w:r>
      <w:r>
        <w:rPr>
          <w:rFonts w:ascii="宋体" w:hAnsi="宋体" w:hint="eastAsia"/>
          <w:sz w:val="24"/>
        </w:rPr>
        <w:t>考核合格的专业架子工。上岗人员定期体检，合格者方可持证上岗；</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2、</w:t>
      </w:r>
      <w:r>
        <w:rPr>
          <w:rFonts w:ascii="宋体" w:hAnsi="宋体" w:hint="eastAsia"/>
          <w:sz w:val="24"/>
        </w:rPr>
        <w:t>搭设人员必须戴安全帽、系安全带，穿防滑鞋；</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3、</w:t>
      </w:r>
      <w:r>
        <w:rPr>
          <w:rFonts w:ascii="宋体" w:hAnsi="宋体" w:hint="eastAsia"/>
          <w:sz w:val="24"/>
        </w:rPr>
        <w:t>脚手架的构配件质量与搭设质量，应按安全技术规范</w:t>
      </w:r>
      <w:r>
        <w:rPr>
          <w:rFonts w:ascii="宋体" w:hAnsi="宋体" w:hint="eastAsia"/>
          <w:sz w:val="24"/>
        </w:rPr>
        <w:t>规定进行检查验收，合格后方准许使用；</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4、</w:t>
      </w:r>
      <w:r>
        <w:rPr>
          <w:rFonts w:ascii="宋体" w:hAnsi="宋体" w:hint="eastAsia"/>
          <w:sz w:val="24"/>
        </w:rPr>
        <w:t>作业层上的施工荷载应符合设计要求，不得超载。不得将模板支架、揽风绳、泵送混凝土和砂浆的输送管等固定在脚手架上，严禁悬挂起重设备，严禁拆除或移动架体上安全防护措施；</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5、</w:t>
      </w:r>
      <w:r>
        <w:rPr>
          <w:rFonts w:ascii="宋体" w:hAnsi="宋体" w:hint="eastAsia"/>
          <w:sz w:val="24"/>
        </w:rPr>
        <w:t>当有六级以及六级以上大风和雾、雨、雪天气，应停止脚手架的搭设与拆除作业。雪后架上作业应有防滑措施，并扫除积雪；</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6、</w:t>
      </w:r>
      <w:r>
        <w:rPr>
          <w:rFonts w:ascii="宋体" w:hAnsi="宋体" w:hint="eastAsia"/>
          <w:sz w:val="24"/>
        </w:rPr>
        <w:t>夜间不宜进行脚手架搭设与拆除作业；</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7、</w:t>
      </w:r>
      <w:r>
        <w:rPr>
          <w:rFonts w:ascii="宋体" w:hAnsi="宋体" w:hint="eastAsia"/>
          <w:sz w:val="24"/>
        </w:rPr>
        <w:t>脚手架的安全检查与维护，应按相应安全技术规范进行；</w:t>
      </w:r>
    </w:p>
    <w:p w:rsidR="006A67C6">
      <w:pPr>
        <w:pStyle w:val="Normal0"/>
        <w:spacing w:line="360" w:lineRule="auto"/>
        <w:jc w:val="left"/>
        <w:rPr>
          <w:rFonts w:ascii="宋体" w:hAnsi="宋体"/>
          <w:sz w:val="24"/>
        </w:rPr>
        <w:sectPr>
          <w:type w:val="nextPage"/>
          <w:pgSz w:w="11906" w:h="16838"/>
          <w:pgMar w:top="1440" w:right="1800" w:bottom="1440" w:left="1800" w:header="851" w:footer="992" w:gutter="0"/>
          <w:pgNumType w:start="26"/>
          <w:cols w:space="425"/>
          <w:titlePg w:val="0"/>
          <w:docGrid w:type="lines" w:linePitch="312"/>
        </w:sectPr>
      </w:pPr>
      <w:r>
        <w:rPr>
          <w:rFonts w:ascii="Times New Roman" w:eastAsia="Times New Roman" w:hAnsi="Times New Roman" w:hint="eastAsia"/>
          <w:color w:val="000000"/>
          <w:sz w:val="24"/>
        </w:rPr>
        <w:t>8、</w:t>
      </w:r>
      <w:r>
        <w:rPr>
          <w:rFonts w:ascii="宋体" w:hAnsi="宋体" w:hint="eastAsia"/>
          <w:sz w:val="24"/>
        </w:rPr>
        <w:t>脚手板应铺设牢靠、严实，并应用安全网双层兜底，施工层以下每隔</w:t>
      </w:r>
      <w:r>
        <w:rPr>
          <w:rFonts w:ascii="宋体" w:hAnsi="宋体" w:hint="eastAsia"/>
          <w:sz w:val="24"/>
        </w:rPr>
        <w:t>10m</w:t>
      </w:r>
      <w:r>
        <w:rPr>
          <w:rFonts w:ascii="宋体" w:hAnsi="宋体" w:hint="eastAsia"/>
          <w:sz w:val="24"/>
        </w:rPr>
        <w:t>应用安全网封闭；单、双排</w:t>
      </w:r>
      <w:r>
        <w:rPr>
          <w:rFonts w:ascii="宋体" w:hAnsi="宋体" w:hint="eastAsia"/>
          <w:sz w:val="24"/>
        </w:rPr>
        <w:t>脚手架、悬挑式脚手架沿架体外围应用密目式安全网全封闭，密目式安全网宜设置在脚手架外立杆的内侧，并应与架体绑扎牢固。</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9、</w:t>
      </w:r>
      <w:r>
        <w:rPr>
          <w:rFonts w:ascii="宋体" w:hAnsi="宋体" w:hint="eastAsia"/>
          <w:sz w:val="24"/>
        </w:rPr>
        <w:t>在脚手架使用期间，严禁拆除主节点处纵、横向水平杆、连墙件、交叉支撑、水平架、加固栏杆和栏杆；</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10、</w:t>
      </w:r>
      <w:r>
        <w:rPr>
          <w:rFonts w:ascii="宋体" w:hAnsi="宋体" w:hint="eastAsia"/>
          <w:sz w:val="24"/>
        </w:rPr>
        <w:t>当在脚手架使用过程中开挖脚手架基础下的设备基础或管沟时，必须对脚手架采取加固措施；</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11、</w:t>
      </w:r>
      <w:r>
        <w:rPr>
          <w:rFonts w:ascii="宋体" w:hAnsi="宋体" w:hint="eastAsia"/>
          <w:sz w:val="24"/>
        </w:rPr>
        <w:t>临街搭设脚手架时，外侧应有防止坠物伤人的防护措施；</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12、</w:t>
      </w:r>
      <w:r>
        <w:rPr>
          <w:rFonts w:ascii="宋体" w:hAnsi="宋体" w:hint="eastAsia"/>
          <w:sz w:val="24"/>
        </w:rPr>
        <w:t>在脚手架上进行电、气焊作业时，必须有防火措施和专人看守；</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13、</w:t>
      </w:r>
      <w:r>
        <w:rPr>
          <w:rFonts w:ascii="宋体" w:hAnsi="宋体" w:hint="eastAsia"/>
          <w:sz w:val="24"/>
        </w:rPr>
        <w:t>工地临时用电线路的架设及脚手架接地、避雷措施等。应按现行行业标准《施工现场临时用</w:t>
      </w:r>
      <w:r>
        <w:rPr>
          <w:rFonts w:ascii="宋体" w:hAnsi="宋体" w:hint="eastAsia"/>
          <w:sz w:val="24"/>
        </w:rPr>
        <w:t>电安全技术规范》</w:t>
      </w:r>
      <w:r>
        <w:rPr>
          <w:rFonts w:ascii="宋体" w:hAnsi="宋体" w:hint="eastAsia"/>
          <w:sz w:val="24"/>
        </w:rPr>
        <w:t>JGJ46-2005</w:t>
      </w:r>
      <w:r>
        <w:rPr>
          <w:rFonts w:ascii="宋体" w:hAnsi="宋体" w:hint="eastAsia"/>
          <w:sz w:val="24"/>
        </w:rPr>
        <w:t>的有关规定执行；</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14、</w:t>
      </w:r>
      <w:r>
        <w:rPr>
          <w:rFonts w:ascii="宋体" w:hAnsi="宋体" w:hint="eastAsia"/>
          <w:sz w:val="24"/>
        </w:rPr>
        <w:t>搭拆脚手架时，地面应设围栏和警戒标志，并派专人看守，严禁非操作人员入内。</w:t>
      </w:r>
    </w:p>
    <w:p w:rsidR="006A67C6">
      <w:pPr>
        <w:pStyle w:val="Normal0"/>
        <w:spacing w:line="360" w:lineRule="auto"/>
        <w:jc w:val="left"/>
        <w:rPr>
          <w:rFonts w:ascii="Times New Roman" w:eastAsia="Times New Roman" w:hAnsi="Times New Roman"/>
          <w:color w:val="000000"/>
          <w:sz w:val="24"/>
        </w:rPr>
      </w:pPr>
    </w:p>
    <w:p w:rsidR="006A67C6">
      <w:pPr>
        <w:pStyle w:val="Normal0"/>
        <w:spacing w:line="360" w:lineRule="auto"/>
        <w:jc w:val="left"/>
        <w:rPr>
          <w:rFonts w:ascii="Times New Roman" w:eastAsia="Times New Roman" w:hAnsi="Times New Roman"/>
          <w:color w:val="000000"/>
          <w:sz w:val="24"/>
        </w:rPr>
      </w:pPr>
      <w:r>
        <w:rPr>
          <w:rFonts w:ascii="Times New Roman" w:eastAsia="Times New Roman" w:hAnsi="Times New Roman" w:hint="eastAsia"/>
          <w:color w:val="000000"/>
          <w:sz w:val="24"/>
        </w:rPr>
        <w:t>日常维护管理要求</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1、</w:t>
      </w:r>
      <w:r>
        <w:rPr>
          <w:rFonts w:ascii="宋体" w:hAnsi="宋体" w:hint="eastAsia"/>
          <w:sz w:val="24"/>
        </w:rPr>
        <w:t>使用完毕的脚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2、</w:t>
      </w:r>
      <w:r>
        <w:rPr>
          <w:rFonts w:ascii="宋体" w:hAnsi="宋体" w:hint="eastAsia"/>
          <w:sz w:val="24"/>
        </w:rPr>
        <w:t>弯曲的钢管杆件要调直，损坏的构件要修复，损坏的扣件、零件要更换；</w:t>
      </w:r>
    </w:p>
    <w:p w:rsidR="006A67C6">
      <w:pPr>
        <w:pStyle w:val="Normal0"/>
        <w:spacing w:line="360" w:lineRule="auto"/>
        <w:jc w:val="left"/>
        <w:rPr>
          <w:rFonts w:ascii="宋体" w:hAnsi="宋体"/>
          <w:sz w:val="24"/>
        </w:rPr>
        <w:sectPr>
          <w:type w:val="nextPage"/>
          <w:pgSz w:w="11906" w:h="16838"/>
          <w:pgMar w:top="1440" w:right="1800" w:bottom="1440" w:left="1800" w:header="851" w:footer="992" w:gutter="0"/>
          <w:pgNumType w:start="27"/>
          <w:cols w:space="425"/>
          <w:titlePg w:val="0"/>
          <w:docGrid w:type="lines" w:linePitch="312"/>
        </w:sectPr>
      </w:pPr>
      <w:r>
        <w:rPr>
          <w:rFonts w:ascii="Times New Roman" w:eastAsia="Times New Roman" w:hAnsi="Times New Roman" w:hint="eastAsia"/>
          <w:color w:val="000000"/>
          <w:sz w:val="24"/>
        </w:rPr>
        <w:t>3、</w:t>
      </w:r>
      <w:r>
        <w:rPr>
          <w:rFonts w:ascii="宋体" w:hAnsi="宋体" w:hint="eastAsia"/>
          <w:sz w:val="24"/>
        </w:rPr>
        <w:t>做好钢铁件的防锈和木制件的防腐处理，钢管外壁在湿度较大地区（相对湿度大于</w:t>
      </w:r>
      <w:r>
        <w:rPr>
          <w:rFonts w:ascii="Times New Roman" w:eastAsia="Times New Roman" w:hAnsi="Times New Roman" w:hint="eastAsia"/>
          <w:sz w:val="24"/>
        </w:rPr>
        <w:t>75%</w:t>
      </w:r>
      <w:r>
        <w:rPr>
          <w:rFonts w:ascii="宋体" w:hAnsi="宋体" w:hint="eastAsia"/>
          <w:sz w:val="24"/>
        </w:rPr>
        <w:t>），应每年涂刷防锈漆一次；其他地区可两年涂刷一次。涂刷时涂层不宜过厚。经彻底除锈后，涂一度红丹即可。钢管内壁可根据地区情况，每</w:t>
      </w:r>
      <w:r>
        <w:rPr>
          <w:rFonts w:ascii="Times New Roman" w:eastAsia="Times New Roman" w:hAnsi="Times New Roman" w:hint="eastAsia"/>
          <w:sz w:val="24"/>
        </w:rPr>
        <w:t>2~4</w:t>
      </w:r>
      <w:r>
        <w:rPr>
          <w:rFonts w:ascii="宋体" w:hAnsi="宋体" w:hint="eastAsia"/>
          <w:sz w:val="24"/>
        </w:rPr>
        <w:t>年涂刷一次，每次涂刷两遍。角钢、桁架和其他铁件可每年涂刷一次。扣件要涂油，螺栓宜镀锌防锈，使用</w:t>
      </w:r>
      <w:r>
        <w:rPr>
          <w:rFonts w:ascii="Times New Roman" w:eastAsia="Times New Roman" w:hAnsi="Times New Roman" w:hint="eastAsia"/>
          <w:sz w:val="24"/>
        </w:rPr>
        <w:t>3~5</w:t>
      </w:r>
      <w:r>
        <w:rPr>
          <w:rFonts w:ascii="宋体" w:hAnsi="宋体" w:hint="eastAsia"/>
          <w:sz w:val="24"/>
        </w:rPr>
        <w:t>年保护层剥落后再次镀锌。没有镀锌条件的，应在每次使用后用煤油洗涤并涂机油防锈。木制件应做好防腐处理，钢制件应涂红丹及防锈涂料；</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4、</w:t>
      </w:r>
      <w:r>
        <w:rPr>
          <w:rFonts w:ascii="宋体" w:hAnsi="宋体" w:hint="eastAsia"/>
          <w:sz w:val="24"/>
        </w:rPr>
        <w:t>搬运长钢管、长角钢时，应采取措施防止弯曲。拆架应拆成单片装运，装卸</w:t>
      </w:r>
      <w:r>
        <w:rPr>
          <w:rFonts w:ascii="宋体" w:hAnsi="宋体" w:hint="eastAsia"/>
          <w:sz w:val="24"/>
        </w:rPr>
        <w:t>时不得抛丢，防止损坏；</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5、</w:t>
      </w:r>
      <w:r>
        <w:rPr>
          <w:rFonts w:ascii="宋体" w:hAnsi="宋体" w:hint="eastAsia"/>
          <w:sz w:val="24"/>
        </w:rPr>
        <w:t>脚手架使用的扣件、螺栓、螺母、垫板、连接棒、插销等小配件极易丢失。在安装脚手架时，多余的小配件应及时收回存放，在拆卸脚手架时，散落在地面上的小配件要及时收捡起来；</w:t>
      </w:r>
    </w:p>
    <w:p w:rsidR="006A67C6">
      <w:pPr>
        <w:pStyle w:val="Normal0"/>
        <w:spacing w:line="360" w:lineRule="auto"/>
        <w:jc w:val="left"/>
        <w:rPr>
          <w:rFonts w:ascii="宋体" w:hAnsi="宋体"/>
          <w:sz w:val="24"/>
        </w:rPr>
      </w:pPr>
      <w:r>
        <w:rPr>
          <w:rFonts w:ascii="Times New Roman" w:eastAsia="Times New Roman" w:hAnsi="Times New Roman" w:hint="eastAsia"/>
          <w:color w:val="000000"/>
          <w:sz w:val="24"/>
        </w:rPr>
        <w:t>6、</w:t>
      </w:r>
      <w:r>
        <w:rPr>
          <w:rFonts w:ascii="宋体" w:hAnsi="宋体" w:hint="eastAsia"/>
          <w:sz w:val="24"/>
        </w:rPr>
        <w:t>健全制度，加强管理，减少损耗和提高效益是脚手架管理的中心环节。比较普遍采用的管理办法有两种</w:t>
      </w:r>
    </w:p>
    <w:p w:rsidR="006A67C6">
      <w:pPr>
        <w:pStyle w:val="Normal0"/>
        <w:numPr>
          <w:ilvl w:val="1"/>
          <w:numId w:val="14"/>
        </w:numPr>
        <w:rPr>
          <w:rFonts w:ascii="宋体" w:hAnsi="宋体"/>
          <w:sz w:val="24"/>
        </w:rPr>
      </w:pPr>
      <w:r>
        <w:rPr>
          <w:rFonts w:ascii="宋体" w:hAnsi="宋体" w:hint="eastAsia"/>
          <w:sz w:val="24"/>
        </w:rPr>
        <w:t>由架子工班（组）管理，采用谁使用、谁维护、谁管理的原则，并建立积极地奖罚制度、做到确保施工需要，用毕及时归库、及时清理和及时维修保养，减少丢失和损耗；</w:t>
      </w:r>
    </w:p>
    <w:p w:rsidR="006A67C6">
      <w:pPr>
        <w:pStyle w:val="Normal0"/>
        <w:numPr>
          <w:ilvl w:val="1"/>
          <w:numId w:val="14"/>
        </w:numPr>
        <w:rPr>
          <w:rFonts w:ascii="宋体" w:hAnsi="宋体"/>
          <w:sz w:val="24"/>
        </w:rPr>
      </w:pPr>
      <w:r>
        <w:rPr>
          <w:rFonts w:ascii="宋体" w:hAnsi="宋体" w:hint="eastAsia"/>
          <w:sz w:val="24"/>
        </w:rPr>
        <w:t>由材料部门集中管理，实行租赁制。施工队根据施工的需要向公司材料部门租赁脚手架材料，实行按天计费和损坏赔偿制度。</w:t>
      </w:r>
    </w:p>
    <w:p w:rsidR="006A67C6">
      <w:pPr>
        <w:pStyle w:val="Normal0"/>
        <w:numPr>
          <w:ilvl w:val="0"/>
          <w:numId w:val="15"/>
        </w:numPr>
        <w:rPr>
          <w:rFonts w:ascii="宋体" w:hAnsi="宋体" w:cs="宋体"/>
          <w:b/>
          <w:color w:val="000000"/>
          <w:sz w:val="28"/>
        </w:rPr>
      </w:pPr>
      <w:r>
        <w:rPr>
          <w:rFonts w:ascii="宋体" w:hAnsi="宋体" w:cs="宋体" w:hint="eastAsia"/>
          <w:b/>
          <w:color w:val="000000"/>
          <w:sz w:val="28"/>
        </w:rPr>
        <w:t>监测监控</w:t>
      </w:r>
    </w:p>
    <w:p w:rsidR="006A67C6">
      <w:pPr>
        <w:pStyle w:val="Normal0"/>
        <w:rPr>
          <w:rFonts w:ascii="宋体" w:hAnsi="宋体"/>
          <w:sz w:val="24"/>
        </w:rPr>
      </w:pPr>
      <w:r>
        <w:rPr>
          <w:rFonts w:ascii="ËÎÌå" w:eastAsia="ËÎÌå" w:hAnsi="ËÎÌå"/>
          <w:sz w:val="24"/>
        </w:rPr>
        <w:t>1</w:t>
      </w:r>
      <w:r>
        <w:rPr>
          <w:rFonts w:ascii="宋体" w:hAnsi="宋体" w:hint="eastAsia"/>
          <w:sz w:val="24"/>
        </w:rPr>
        <w:t>、监测控制：采用经纬仪、水准仪、卷尺对架体进行监测，主要监测支架的沉降、位移和变形。</w:t>
      </w:r>
    </w:p>
    <w:p w:rsidR="006A67C6">
      <w:pPr>
        <w:pStyle w:val="Normal0"/>
        <w:rPr>
          <w:rFonts w:ascii="宋体" w:hAnsi="宋体"/>
          <w:sz w:val="24"/>
        </w:rPr>
      </w:pPr>
      <w:r>
        <w:rPr>
          <w:rFonts w:ascii="宋体" w:hAnsi="宋体" w:hint="eastAsia"/>
          <w:sz w:val="24"/>
        </w:rPr>
        <w:t>2</w:t>
      </w:r>
      <w:r>
        <w:rPr>
          <w:rFonts w:ascii="宋体" w:hAnsi="宋体" w:hint="eastAsia"/>
          <w:sz w:val="24"/>
        </w:rPr>
        <w:t>、监测点设置：观测点设置在立杆</w:t>
      </w:r>
      <w:r>
        <w:rPr>
          <w:rFonts w:ascii="宋体" w:hAnsi="宋体" w:hint="eastAsia"/>
          <w:sz w:val="24"/>
        </w:rPr>
        <w:t>1.2m</w:t>
      </w:r>
      <w:r>
        <w:rPr>
          <w:rFonts w:ascii="宋体" w:hAnsi="宋体" w:hint="eastAsia"/>
          <w:sz w:val="24"/>
        </w:rPr>
        <w:t>标高处，用</w:t>
      </w:r>
      <w:r>
        <w:rPr>
          <w:rFonts w:ascii="宋体" w:hAnsi="宋体"/>
          <w:sz w:val="24"/>
        </w:rPr>
        <w:t>“</w:t>
      </w:r>
      <w:r>
        <w:rPr>
          <w:rFonts w:ascii="宋体" w:hAnsi="宋体" w:hint="eastAsia"/>
          <w:sz w:val="24"/>
        </w:rPr>
        <w:t>+</w:t>
      </w:r>
      <w:r>
        <w:rPr>
          <w:rFonts w:ascii="宋体" w:hAnsi="宋体"/>
          <w:sz w:val="24"/>
        </w:rPr>
        <w:t>”</w:t>
      </w:r>
      <w:r>
        <w:rPr>
          <w:rFonts w:ascii="宋体" w:hAnsi="宋体" w:hint="eastAsia"/>
          <w:sz w:val="24"/>
        </w:rPr>
        <w:t>字标出对比点，固定观测标准点在坚固基础上设置，宜采用钢钉或钢筋头在砼中预埋，柱或砼墙边监测点直</w:t>
      </w:r>
      <w:r>
        <w:rPr>
          <w:rFonts w:ascii="宋体" w:hAnsi="宋体" w:hint="eastAsia"/>
          <w:sz w:val="24"/>
        </w:rPr>
        <w:t>接在浇筑好的砼上用钢钉钉入砼中作为固定对比观测点。监测点设置间距不超过</w:t>
      </w:r>
      <w:r>
        <w:rPr>
          <w:rFonts w:ascii="宋体" w:hAnsi="宋体" w:hint="eastAsia"/>
          <w:sz w:val="24"/>
        </w:rPr>
        <w:t>20m</w:t>
      </w:r>
      <w:r>
        <w:rPr>
          <w:rFonts w:ascii="宋体" w:hAnsi="宋体" w:hint="eastAsia"/>
          <w:sz w:val="24"/>
        </w:rPr>
        <w:t>。</w:t>
      </w:r>
    </w:p>
    <w:p w:rsidR="006A67C6">
      <w:pPr>
        <w:pStyle w:val="Normal0"/>
        <w:rPr>
          <w:rFonts w:ascii="宋体" w:hAnsi="宋体"/>
          <w:sz w:val="24"/>
        </w:rPr>
      </w:pPr>
      <w:r>
        <w:rPr>
          <w:rFonts w:ascii="宋体" w:hAnsi="宋体" w:hint="eastAsia"/>
          <w:sz w:val="24"/>
        </w:rPr>
        <w:t>3</w:t>
      </w:r>
      <w:r>
        <w:rPr>
          <w:rFonts w:ascii="宋体" w:hAnsi="宋体" w:hint="eastAsia"/>
          <w:sz w:val="24"/>
        </w:rPr>
        <w:t>、监测措施：架体搭设、使用直至完全拆除过程中，派专人检查支架和支撑情况，发现下沉、松动、变形和水平位移情况的应及时解决。</w:t>
      </w:r>
    </w:p>
    <w:p w:rsidR="006A67C6">
      <w:pPr>
        <w:pStyle w:val="Normal0"/>
        <w:rPr>
          <w:rFonts w:ascii="宋体" w:hAnsi="宋体"/>
          <w:sz w:val="24"/>
        </w:rPr>
      </w:pPr>
      <w:r>
        <w:rPr>
          <w:rFonts w:ascii="宋体" w:hAnsi="宋体" w:hint="eastAsia"/>
          <w:sz w:val="24"/>
        </w:rPr>
        <w:t>4</w:t>
      </w:r>
      <w:r>
        <w:rPr>
          <w:rFonts w:ascii="宋体" w:hAnsi="宋体" w:hint="eastAsia"/>
          <w:sz w:val="24"/>
        </w:rPr>
        <w:t>、仪器设备配置</w:t>
      </w:r>
    </w:p>
    <w:tbl>
      <w:tblPr>
        <w:tblStyle w:val="TableNormal"/>
        <w:tblW w:w="8242" w:type="dxa"/>
        <w:jc w:val="center"/>
        <w:tblCellSpacing w:w="0" w:type="dxa"/>
        <w:tblLayout w:type="fixed"/>
        <w:tblCellMar>
          <w:left w:w="105" w:type="dxa"/>
          <w:right w:w="105" w:type="dxa"/>
        </w:tblCellMar>
        <w:tblLook w:val="04A0"/>
      </w:tblPr>
      <w:tblGrid>
        <w:gridCol w:w="1688"/>
        <w:gridCol w:w="2024"/>
        <w:gridCol w:w="960"/>
        <w:gridCol w:w="3570"/>
      </w:tblGrid>
      <w:tr>
        <w:tblPrEx>
          <w:tblW w:w="8242" w:type="dxa"/>
          <w:jc w:val="center"/>
          <w:tblCellSpacing w:w="0" w:type="dxa"/>
          <w:tblLayout w:type="fixed"/>
          <w:tblCellMar>
            <w:left w:w="105" w:type="dxa"/>
            <w:right w:w="105" w:type="dxa"/>
          </w:tblCellMar>
          <w:tblLook w:val="04A0"/>
        </w:tblPrEx>
        <w:trPr>
          <w:tblCellSpacing w:w="0" w:type="dxa"/>
          <w:jc w:val="center"/>
        </w:trPr>
        <w:tc>
          <w:tcPr>
            <w:tcW w:w="1688" w:type="dxa"/>
            <w:tcBorders>
              <w:top w:val="nil"/>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sz w:val="18"/>
              </w:rPr>
            </w:pPr>
            <w:r>
              <w:rPr>
                <w:rFonts w:ascii="宋体" w:hAnsi="宋体" w:hint="eastAsia"/>
                <w:sz w:val="18"/>
              </w:rPr>
              <w:t>名称</w:t>
            </w:r>
          </w:p>
        </w:tc>
        <w:tc>
          <w:tcPr>
            <w:tcW w:w="2024" w:type="dxa"/>
            <w:tcBorders>
              <w:top w:val="nil"/>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sz w:val="18"/>
              </w:rPr>
            </w:pPr>
            <w:r>
              <w:rPr>
                <w:rFonts w:ascii="宋体" w:hAnsi="宋体" w:hint="eastAsia"/>
                <w:sz w:val="18"/>
              </w:rPr>
              <w:t>规格</w:t>
            </w:r>
          </w:p>
        </w:tc>
        <w:tc>
          <w:tcPr>
            <w:tcW w:w="960" w:type="dxa"/>
            <w:tcBorders>
              <w:top w:val="nil"/>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sz w:val="18"/>
              </w:rPr>
            </w:pPr>
            <w:r>
              <w:rPr>
                <w:rFonts w:ascii="宋体" w:hAnsi="宋体" w:hint="eastAsia"/>
                <w:sz w:val="18"/>
              </w:rPr>
              <w:t>数量</w:t>
            </w:r>
          </w:p>
        </w:tc>
        <w:tc>
          <w:tcPr>
            <w:tcW w:w="3570" w:type="dxa"/>
            <w:tcBorders>
              <w:top w:val="nil"/>
              <w:left w:val="single" w:sz="6" w:space="0" w:color="000000"/>
              <w:bottom w:val="single" w:sz="6" w:space="0" w:color="000000"/>
              <w:right w:val="nil"/>
              <w:tl2br w:val="nil"/>
              <w:tr2bl w:val="nil"/>
            </w:tcBorders>
            <w:vAlign w:val="center"/>
          </w:tcPr>
          <w:p w:rsidR="006A67C6">
            <w:pPr>
              <w:pStyle w:val="Normal0"/>
              <w:jc w:val="center"/>
              <w:rPr>
                <w:rFonts w:ascii="宋体" w:hAnsi="宋体"/>
                <w:sz w:val="18"/>
              </w:rPr>
            </w:pPr>
            <w:r>
              <w:rPr>
                <w:rFonts w:ascii="宋体" w:hAnsi="宋体" w:hint="eastAsia"/>
                <w:sz w:val="18"/>
              </w:rPr>
              <w:t>精度</w:t>
            </w:r>
          </w:p>
        </w:tc>
      </w:tr>
      <w:tr>
        <w:tblPrEx>
          <w:tblW w:w="8242" w:type="dxa"/>
          <w:jc w:val="center"/>
          <w:tblCellSpacing w:w="0" w:type="dxa"/>
          <w:tblLayout w:type="fixed"/>
          <w:tblCellMar>
            <w:left w:w="105" w:type="dxa"/>
            <w:right w:w="105" w:type="dxa"/>
          </w:tblCellMar>
          <w:tblLook w:val="04A0"/>
        </w:tblPrEx>
        <w:trPr>
          <w:tblCellSpacing w:w="0" w:type="dxa"/>
          <w:jc w:val="center"/>
        </w:trPr>
        <w:tc>
          <w:tcPr>
            <w:tcW w:w="1688"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color w:val="FF00FF"/>
                <w:sz w:val="18"/>
              </w:rPr>
            </w:pPr>
            <w:r>
              <w:rPr>
                <w:rFonts w:ascii="宋体" w:hAnsi="宋体" w:hint="eastAsia"/>
                <w:color w:val="FF00FF"/>
                <w:sz w:val="18"/>
              </w:rPr>
              <w:t>电子经纬仪</w:t>
            </w:r>
          </w:p>
        </w:tc>
        <w:tc>
          <w:tcPr>
            <w:tcW w:w="2024"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DT202C</w:t>
            </w:r>
          </w:p>
        </w:tc>
        <w:tc>
          <w:tcPr>
            <w:tcW w:w="960"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1</w:t>
            </w:r>
          </w:p>
        </w:tc>
        <w:tc>
          <w:tcPr>
            <w:tcW w:w="3570" w:type="dxa"/>
            <w:tcBorders>
              <w:top w:val="single" w:sz="6" w:space="0" w:color="000000"/>
              <w:left w:val="single" w:sz="6" w:space="0" w:color="000000"/>
              <w:bottom w:val="single" w:sz="6" w:space="0" w:color="000000"/>
              <w:right w:val="nil"/>
              <w:tl2br w:val="nil"/>
              <w:tr2bl w:val="nil"/>
            </w:tcBorders>
            <w:vAlign w:val="center"/>
          </w:tcPr>
          <w:p w:rsidR="006A67C6">
            <w:pPr>
              <w:pStyle w:val="Normal0"/>
              <w:jc w:val="center"/>
              <w:rPr>
                <w:rFonts w:ascii="Times New Roman" w:eastAsia="Times New Roman" w:hAnsi="Times New Roman"/>
                <w:color w:val="FF00FF"/>
                <w:sz w:val="18"/>
              </w:rPr>
            </w:pPr>
          </w:p>
        </w:tc>
      </w:tr>
      <w:tr>
        <w:tblPrEx>
          <w:tblW w:w="8242" w:type="dxa"/>
          <w:jc w:val="center"/>
          <w:tblCellSpacing w:w="0" w:type="dxa"/>
          <w:tblLayout w:type="fixed"/>
          <w:tblCellMar>
            <w:left w:w="105" w:type="dxa"/>
            <w:right w:w="105" w:type="dxa"/>
          </w:tblCellMar>
          <w:tblLook w:val="04A0"/>
        </w:tblPrEx>
        <w:trPr>
          <w:tblCellSpacing w:w="0" w:type="dxa"/>
          <w:jc w:val="center"/>
        </w:trPr>
        <w:tc>
          <w:tcPr>
            <w:tcW w:w="1688"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color w:val="FF00FF"/>
                <w:sz w:val="18"/>
              </w:rPr>
            </w:pPr>
            <w:r>
              <w:rPr>
                <w:rFonts w:ascii="宋体" w:hAnsi="宋体" w:hint="eastAsia"/>
                <w:color w:val="FF00FF"/>
                <w:sz w:val="18"/>
              </w:rPr>
              <w:t>精密水准仪</w:t>
            </w:r>
          </w:p>
        </w:tc>
        <w:tc>
          <w:tcPr>
            <w:tcW w:w="2024"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p>
        </w:tc>
        <w:tc>
          <w:tcPr>
            <w:tcW w:w="960"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1</w:t>
            </w:r>
          </w:p>
        </w:tc>
        <w:tc>
          <w:tcPr>
            <w:tcW w:w="3570" w:type="dxa"/>
            <w:tcBorders>
              <w:top w:val="single" w:sz="6" w:space="0" w:color="000000"/>
              <w:left w:val="single" w:sz="6" w:space="0" w:color="000000"/>
              <w:bottom w:val="single" w:sz="6" w:space="0" w:color="000000"/>
              <w:right w:val="nil"/>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±2</w:t>
            </w:r>
            <w:r>
              <w:rPr>
                <w:rFonts w:ascii="Times New Roman" w:eastAsia="Times New Roman" w:hAnsi="Times New Roman"/>
                <w:color w:val="FF00FF"/>
                <w:sz w:val="18"/>
              </w:rPr>
              <w:t>”</w:t>
            </w:r>
          </w:p>
        </w:tc>
      </w:tr>
      <w:tr>
        <w:tblPrEx>
          <w:tblW w:w="8242" w:type="dxa"/>
          <w:jc w:val="center"/>
          <w:tblCellSpacing w:w="0" w:type="dxa"/>
          <w:tblLayout w:type="fixed"/>
          <w:tblCellMar>
            <w:left w:w="105" w:type="dxa"/>
            <w:right w:w="105" w:type="dxa"/>
          </w:tblCellMar>
          <w:tblLook w:val="04A0"/>
        </w:tblPrEx>
        <w:trPr>
          <w:tblCellSpacing w:w="0" w:type="dxa"/>
          <w:jc w:val="center"/>
        </w:trPr>
        <w:tc>
          <w:tcPr>
            <w:tcW w:w="1688"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color w:val="FF00FF"/>
                <w:sz w:val="18"/>
              </w:rPr>
            </w:pPr>
            <w:r>
              <w:rPr>
                <w:rFonts w:ascii="宋体" w:hAnsi="宋体" w:hint="eastAsia"/>
                <w:color w:val="FF00FF"/>
                <w:sz w:val="18"/>
              </w:rPr>
              <w:t>全站仪一台</w:t>
            </w:r>
          </w:p>
        </w:tc>
        <w:tc>
          <w:tcPr>
            <w:tcW w:w="2024"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RXT</w:t>
            </w:r>
            <w:r>
              <w:rPr>
                <w:rFonts w:ascii="Times New Roman" w:eastAsia="Times New Roman" w:hAnsi="Times New Roman"/>
                <w:color w:val="FF00FF"/>
                <w:sz w:val="18"/>
              </w:rPr>
              <w:t>—</w:t>
            </w:r>
            <w:r>
              <w:rPr>
                <w:rFonts w:ascii="Times New Roman" w:eastAsia="Times New Roman" w:hAnsi="Times New Roman" w:hint="eastAsia"/>
                <w:color w:val="FF00FF"/>
                <w:sz w:val="18"/>
              </w:rPr>
              <w:t>232</w:t>
            </w:r>
          </w:p>
        </w:tc>
        <w:tc>
          <w:tcPr>
            <w:tcW w:w="960"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1</w:t>
            </w:r>
          </w:p>
        </w:tc>
        <w:tc>
          <w:tcPr>
            <w:tcW w:w="3570" w:type="dxa"/>
            <w:tcBorders>
              <w:top w:val="single" w:sz="6" w:space="0" w:color="000000"/>
              <w:left w:val="single" w:sz="6" w:space="0" w:color="000000"/>
              <w:bottom w:val="single" w:sz="6" w:space="0" w:color="000000"/>
              <w:right w:val="nil"/>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±2</w:t>
            </w:r>
            <w:r>
              <w:rPr>
                <w:rFonts w:ascii="Times New Roman" w:eastAsia="Times New Roman" w:hAnsi="Times New Roman"/>
                <w:color w:val="FF00FF"/>
                <w:sz w:val="18"/>
              </w:rPr>
              <w:t>”</w:t>
            </w:r>
            <w:r>
              <w:rPr>
                <w:rFonts w:ascii="Times New Roman" w:eastAsia="Times New Roman" w:hAnsi="Times New Roman" w:hint="eastAsia"/>
                <w:color w:val="FF00FF"/>
                <w:sz w:val="18"/>
              </w:rPr>
              <w:t xml:space="preserve"> </w:t>
            </w:r>
            <w:r>
              <w:rPr>
                <w:rFonts w:ascii="宋体" w:hAnsi="宋体" w:hint="eastAsia"/>
                <w:color w:val="FF00FF"/>
                <w:sz w:val="18"/>
              </w:rPr>
              <w:t>，最大允许误差</w:t>
            </w:r>
            <w:r>
              <w:rPr>
                <w:rFonts w:ascii="Times New Roman" w:eastAsia="Times New Roman" w:hAnsi="Times New Roman" w:hint="eastAsia"/>
                <w:color w:val="FF00FF"/>
                <w:sz w:val="18"/>
              </w:rPr>
              <w:t>±20</w:t>
            </w:r>
            <w:r>
              <w:rPr>
                <w:rFonts w:ascii="Times New Roman" w:eastAsia="Times New Roman" w:hAnsi="Times New Roman"/>
                <w:color w:val="FF00FF"/>
                <w:sz w:val="18"/>
              </w:rPr>
              <w:t>”</w:t>
            </w:r>
          </w:p>
        </w:tc>
      </w:tr>
      <w:tr>
        <w:tblPrEx>
          <w:tblW w:w="8242" w:type="dxa"/>
          <w:jc w:val="center"/>
          <w:tblCellSpacing w:w="0" w:type="dxa"/>
          <w:tblLayout w:type="fixed"/>
          <w:tblCellMar>
            <w:left w:w="105" w:type="dxa"/>
            <w:right w:w="105" w:type="dxa"/>
          </w:tblCellMar>
          <w:tblLook w:val="04A0"/>
        </w:tblPrEx>
        <w:trPr>
          <w:tblCellSpacing w:w="0" w:type="dxa"/>
          <w:jc w:val="center"/>
        </w:trPr>
        <w:tc>
          <w:tcPr>
            <w:tcW w:w="1688"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宋体" w:hAnsi="宋体"/>
                <w:color w:val="FF00FF"/>
                <w:sz w:val="18"/>
              </w:rPr>
            </w:pPr>
            <w:r>
              <w:rPr>
                <w:rFonts w:ascii="宋体" w:hAnsi="宋体" w:hint="eastAsia"/>
                <w:color w:val="FF00FF"/>
                <w:sz w:val="18"/>
              </w:rPr>
              <w:t>自动安平水准仪</w:t>
            </w:r>
          </w:p>
        </w:tc>
        <w:tc>
          <w:tcPr>
            <w:tcW w:w="2024"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p>
        </w:tc>
        <w:tc>
          <w:tcPr>
            <w:tcW w:w="960" w:type="dxa"/>
            <w:tcBorders>
              <w:top w:val="single" w:sz="6" w:space="0" w:color="000000"/>
              <w:left w:val="single" w:sz="6" w:space="0" w:color="000000"/>
              <w:bottom w:val="single" w:sz="6" w:space="0" w:color="000000"/>
              <w:right w:val="single" w:sz="6" w:space="0" w:color="000000"/>
              <w:tl2br w:val="nil"/>
              <w:tr2bl w:val="nil"/>
            </w:tcBorders>
            <w:vAlign w:val="center"/>
          </w:tcPr>
          <w:p w:rsidR="006A67C6">
            <w:pPr>
              <w:pStyle w:val="Normal0"/>
              <w:jc w:val="center"/>
              <w:rPr>
                <w:rFonts w:ascii="Times New Roman" w:eastAsia="Times New Roman" w:hAnsi="Times New Roman"/>
                <w:color w:val="FF00FF"/>
                <w:sz w:val="18"/>
              </w:rPr>
            </w:pPr>
            <w:r>
              <w:rPr>
                <w:rFonts w:ascii="Times New Roman" w:eastAsia="Times New Roman" w:hAnsi="Times New Roman" w:hint="eastAsia"/>
                <w:color w:val="FF00FF"/>
                <w:sz w:val="18"/>
              </w:rPr>
              <w:t>2</w:t>
            </w:r>
          </w:p>
        </w:tc>
        <w:tc>
          <w:tcPr>
            <w:tcW w:w="3570" w:type="dxa"/>
            <w:tcBorders>
              <w:top w:val="single" w:sz="6" w:space="0" w:color="000000"/>
              <w:left w:val="single" w:sz="6" w:space="0" w:color="000000"/>
              <w:bottom w:val="single" w:sz="6" w:space="0" w:color="000000"/>
              <w:right w:val="nil"/>
              <w:tl2br w:val="nil"/>
              <w:tr2bl w:val="nil"/>
            </w:tcBorders>
            <w:vAlign w:val="center"/>
          </w:tcPr>
          <w:p w:rsidR="006A67C6">
            <w:pPr>
              <w:pStyle w:val="Normal0"/>
              <w:jc w:val="center"/>
              <w:rPr>
                <w:rFonts w:ascii="Times New Roman" w:eastAsia="Times New Roman" w:hAnsi="Times New Roman"/>
                <w:color w:val="FF00FF"/>
                <w:sz w:val="18"/>
              </w:rPr>
            </w:pPr>
            <w:r>
              <w:rPr>
                <w:rFonts w:ascii="宋体" w:hAnsi="宋体" w:hint="eastAsia"/>
                <w:color w:val="FF00FF"/>
                <w:sz w:val="18"/>
              </w:rPr>
              <w:t>千米往返</w:t>
            </w:r>
            <w:r>
              <w:rPr>
                <w:rFonts w:ascii="Times New Roman" w:eastAsia="Times New Roman" w:hAnsi="Times New Roman" w:hint="eastAsia"/>
                <w:color w:val="FF00FF"/>
                <w:sz w:val="18"/>
              </w:rPr>
              <w:t>±3mm</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https://d.book118.com/436223204145010055</w:t>
        </w:r>
      </w:hyperlink>
    </w:p>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_5b8b_4f53">
    <w:altName w:val="AMGDT"/>
    <w:charset w:val="00"/>
    <w:family w:val="auto"/>
    <w:pitch w:val="default"/>
    <w:sig w:usb0="00000000" w:usb1="00000000" w:usb2="00000000" w:usb3="00000000" w:csb0="00000001" w:csb1="00000000"/>
  </w:font>
  <w:font w:name="ËÎÌå">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B50801"/>
    <w:multiLevelType w:val="multilevel"/>
    <w:tmpl w:val="10B50801"/>
    <w:lvl w:ilvl="0">
      <w:start w:val="1"/>
      <w:numFmt w:val="decimal"/>
      <w:lvlText w:val="(%1)"/>
      <w:lvlJc w:val="left"/>
      <w:pPr>
        <w:tabs>
          <w:tab w:val="left" w:pos="360"/>
        </w:tabs>
        <w:ind w:left="360" w:hanging="36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1">
    <w:nsid w:val="1349C973"/>
    <w:multiLevelType w:val="multilevel"/>
    <w:tmpl w:val="1349C973"/>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2">
    <w:nsid w:val="175A964C"/>
    <w:multiLevelType w:val="multilevel"/>
    <w:tmpl w:val="175A964C"/>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decimal"/>
      <w:lvlText w:val="%2"/>
      <w:lvlJc w:val="left"/>
      <w:pPr>
        <w:tabs>
          <w:tab w:val="left" w:pos="780"/>
        </w:tabs>
        <w:ind w:left="420" w:firstLine="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3">
    <w:nsid w:val="18145B6E"/>
    <w:multiLevelType w:val="multilevel"/>
    <w:tmpl w:val="18145B6E"/>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4">
    <w:nsid w:val="25F92579"/>
    <w:multiLevelType w:val="multilevel"/>
    <w:tmpl w:val="25F92579"/>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decimal"/>
      <w:lvlText w:val="(%2)"/>
      <w:lvlJc w:val="left"/>
      <w:pPr>
        <w:tabs>
          <w:tab w:val="left" w:pos="360"/>
        </w:tabs>
        <w:ind w:left="0" w:firstLine="0"/>
      </w:pPr>
      <w:rPr>
        <w:rFonts w:ascii="Times New Roman" w:eastAsia="Times New Roman" w:hAnsi="Times New Roman" w:hint="eastAsia"/>
        <w:sz w:val="24"/>
        <w:u w:val="none"/>
        <w:lang w:val="en-US"/>
      </w:rPr>
    </w:lvl>
    <w:lvl w:ilvl="2">
      <w:start w:val="1"/>
      <w:numFmt w:val="decimal"/>
      <w:lvlText w:val="%3"/>
      <w:lvlJc w:val="left"/>
      <w:pPr>
        <w:tabs>
          <w:tab w:val="left" w:pos="1200"/>
        </w:tabs>
        <w:ind w:left="1200" w:hanging="36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5">
    <w:nsid w:val="3882AE4A"/>
    <w:multiLevelType w:val="multilevel"/>
    <w:tmpl w:val="3882AE4A"/>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6">
    <w:nsid w:val="3FBC5A34"/>
    <w:multiLevelType w:val="multilevel"/>
    <w:tmpl w:val="3FBC5A34"/>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decimal"/>
      <w:lvlText w:val="(%2)"/>
      <w:lvlJc w:val="left"/>
      <w:pPr>
        <w:tabs>
          <w:tab w:val="left" w:pos="360"/>
        </w:tabs>
        <w:ind w:left="0" w:firstLine="0"/>
      </w:pPr>
      <w:rPr>
        <w:rFonts w:ascii="Times New Roman" w:eastAsia="Times New Roman" w:hAnsi="Times New Roman" w:hint="eastAsia"/>
        <w:sz w:val="24"/>
        <w:u w:val="none"/>
        <w:lang w:val="en-US"/>
      </w:rPr>
    </w:lvl>
    <w:lvl w:ilvl="2">
      <w:start w:val="1"/>
      <w:numFmt w:val="decimal"/>
      <w:lvlText w:val="%3"/>
      <w:lvlJc w:val="left"/>
      <w:pPr>
        <w:tabs>
          <w:tab w:val="left" w:pos="1200"/>
        </w:tabs>
        <w:ind w:left="1200" w:hanging="36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7">
    <w:nsid w:val="57C2C8F3"/>
    <w:multiLevelType w:val="multilevel"/>
    <w:tmpl w:val="57C2C8F3"/>
    <w:lvl w:ilvl="0">
      <w:start w:val="1"/>
      <w:numFmt w:val="decimal"/>
      <w:lvlText w:val="%1)"/>
      <w:lvlJc w:val="left"/>
      <w:pPr>
        <w:tabs>
          <w:tab w:val="left" w:pos="540"/>
        </w:tabs>
        <w:ind w:left="0" w:firstLine="18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8">
    <w:nsid w:val="58CDDA30"/>
    <w:multiLevelType w:val="singleLevel"/>
    <w:tmpl w:val="58CDDA30"/>
    <w:lvl w:ilvl="0">
      <w:start w:val="2"/>
      <w:numFmt w:val="chineseCounting"/>
      <w:suff w:val="nothing"/>
      <w:lvlText w:val="%1、"/>
      <w:lvlJc w:val="left"/>
    </w:lvl>
  </w:abstractNum>
  <w:abstractNum w:abstractNumId="9">
    <w:nsid w:val="58CDDA6A"/>
    <w:multiLevelType w:val="singleLevel"/>
    <w:tmpl w:val="58CDDA6A"/>
    <w:lvl w:ilvl="0">
      <w:start w:val="1"/>
      <w:numFmt w:val="chineseCounting"/>
      <w:suff w:val="nothing"/>
      <w:lvlText w:val="%1、"/>
      <w:lvlJc w:val="left"/>
    </w:lvl>
  </w:abstractNum>
  <w:abstractNum w:abstractNumId="10">
    <w:nsid w:val="58CDDB79"/>
    <w:multiLevelType w:val="singleLevel"/>
    <w:tmpl w:val="58CDDB79"/>
    <w:lvl w:ilvl="0">
      <w:start w:val="3"/>
      <w:numFmt w:val="chineseCounting"/>
      <w:suff w:val="nothing"/>
      <w:lvlText w:val="%1、"/>
      <w:lvlJc w:val="left"/>
    </w:lvl>
  </w:abstractNum>
  <w:abstractNum w:abstractNumId="11">
    <w:nsid w:val="58CDDBB3"/>
    <w:multiLevelType w:val="singleLevel"/>
    <w:tmpl w:val="58CDDBB3"/>
    <w:lvl w:ilvl="0">
      <w:start w:val="2"/>
      <w:numFmt w:val="chineseCounting"/>
      <w:suff w:val="nothing"/>
      <w:lvlText w:val="%1、"/>
      <w:lvlJc w:val="left"/>
    </w:lvl>
  </w:abstractNum>
  <w:abstractNum w:abstractNumId="12">
    <w:nsid w:val="58CDDBD2"/>
    <w:multiLevelType w:val="singleLevel"/>
    <w:tmpl w:val="58CDDBD2"/>
    <w:lvl w:ilvl="0">
      <w:start w:val="3"/>
      <w:numFmt w:val="chineseCounting"/>
      <w:suff w:val="nothing"/>
      <w:lvlText w:val="%1、"/>
      <w:lvlJc w:val="left"/>
    </w:lvl>
  </w:abstractNum>
  <w:abstractNum w:abstractNumId="13">
    <w:nsid w:val="5DB401D6"/>
    <w:multiLevelType w:val="multilevel"/>
    <w:tmpl w:val="5DB401D6"/>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1"/>
      <w:numFmt w:val="lowerLetter"/>
      <w:lvlText w:val="%2)"/>
      <w:lvlJc w:val="left"/>
      <w:pPr>
        <w:tabs>
          <w:tab w:val="left" w:pos="840"/>
        </w:tabs>
        <w:ind w:left="840" w:hanging="42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14">
    <w:nsid w:val="764B22FF"/>
    <w:multiLevelType w:val="multilevel"/>
    <w:tmpl w:val="764B22FF"/>
    <w:lvl w:ilvl="0">
      <w:start w:val="1"/>
      <w:numFmt w:val="decimal"/>
      <w:lvlText w:val="(%1)"/>
      <w:lvlJc w:val="left"/>
      <w:pPr>
        <w:tabs>
          <w:tab w:val="left" w:pos="360"/>
        </w:tabs>
        <w:ind w:left="360" w:hanging="360"/>
      </w:pPr>
      <w:rPr>
        <w:rFonts w:ascii="Times New Roman" w:eastAsia="Times New Roman" w:hAnsi="Times New Roman" w:hint="eastAsia"/>
        <w:sz w:val="24"/>
        <w:u w:val="none"/>
        <w:lang w:val="en-US"/>
      </w:rPr>
    </w:lvl>
    <w:lvl w:ilvl="1">
      <w:start w:val="1"/>
      <w:numFmt w:val="decimal"/>
      <w:lvlText w:val="%2)"/>
      <w:lvlJc w:val="left"/>
      <w:pPr>
        <w:tabs>
          <w:tab w:val="left" w:pos="540"/>
        </w:tabs>
        <w:ind w:left="540" w:hanging="360"/>
      </w:pPr>
      <w:rPr>
        <w:rFonts w:ascii="Times New Roman" w:eastAsia="Times New Roman" w:hAnsi="Times New Roman" w:hint="eastAsia"/>
        <w:sz w:val="24"/>
        <w:u w:val="none"/>
        <w:lang w:val="en-US"/>
      </w:rPr>
    </w:lvl>
    <w:lvl w:ilvl="2">
      <w:start w:val="1"/>
      <w:numFmt w:val="decimal"/>
      <w:lvlText w:val="%3"/>
      <w:lvlJc w:val="left"/>
      <w:pPr>
        <w:tabs>
          <w:tab w:val="left" w:pos="1200"/>
        </w:tabs>
        <w:ind w:left="1200" w:hanging="36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abstractNum w:abstractNumId="15">
    <w:nsid w:val="78770E56"/>
    <w:multiLevelType w:val="multilevel"/>
    <w:tmpl w:val="78770E56"/>
    <w:lvl w:ilvl="0">
      <w:start w:val="1"/>
      <w:numFmt w:val="decimal"/>
      <w:lvlText w:val="(%1)"/>
      <w:lvlJc w:val="left"/>
      <w:pPr>
        <w:tabs>
          <w:tab w:val="left" w:pos="360"/>
        </w:tabs>
        <w:ind w:left="0" w:firstLine="0"/>
      </w:pPr>
      <w:rPr>
        <w:rFonts w:ascii="Times New Roman" w:eastAsia="Times New Roman" w:hAnsi="Times New Roman" w:hint="eastAsia"/>
        <w:sz w:val="24"/>
        <w:u w:val="none"/>
        <w:lang w:val="en-US"/>
      </w:rPr>
    </w:lvl>
    <w:lvl w:ilvl="1">
      <w:start w:val="4"/>
      <w:numFmt w:val="decimal"/>
      <w:lvlText w:val="%2"/>
      <w:lvlJc w:val="left"/>
      <w:pPr>
        <w:tabs>
          <w:tab w:val="left" w:pos="780"/>
        </w:tabs>
        <w:ind w:left="780" w:hanging="360"/>
      </w:pPr>
      <w:rPr>
        <w:rFonts w:ascii="Times New Roman" w:eastAsia="Times New Roman" w:hAnsi="Times New Roman" w:hint="eastAsia"/>
        <w:sz w:val="24"/>
        <w:u w:val="none"/>
        <w:lang w:val="en-US"/>
      </w:rPr>
    </w:lvl>
    <w:lvl w:ilvl="2">
      <w:start w:val="1"/>
      <w:numFmt w:val="lowerRoman"/>
      <w:lvlText w:val="%3."/>
      <w:lvlJc w:val="right"/>
      <w:pPr>
        <w:tabs>
          <w:tab w:val="left" w:pos="1260"/>
        </w:tabs>
        <w:ind w:left="1260" w:hanging="420"/>
      </w:pPr>
      <w:rPr>
        <w:rFonts w:ascii="Times New Roman" w:eastAsia="Times New Roman" w:hAnsi="Times New Roman" w:hint="eastAsia"/>
        <w:sz w:val="24"/>
        <w:u w:val="none"/>
        <w:lang w:val="en-US"/>
      </w:rPr>
    </w:lvl>
    <w:lvl w:ilvl="3">
      <w:start w:val="1"/>
      <w:numFmt w:val="decimal"/>
      <w:lvlText w:val="%4."/>
      <w:lvlJc w:val="left"/>
      <w:pPr>
        <w:tabs>
          <w:tab w:val="left" w:pos="1680"/>
        </w:tabs>
        <w:ind w:left="1680" w:hanging="420"/>
      </w:pPr>
      <w:rPr>
        <w:rFonts w:ascii="Times New Roman" w:eastAsia="Times New Roman" w:hAnsi="Times New Roman" w:hint="eastAsia"/>
        <w:sz w:val="24"/>
        <w:u w:val="none"/>
        <w:lang w:val="en-US"/>
      </w:rPr>
    </w:lvl>
    <w:lvl w:ilvl="4">
      <w:start w:val="1"/>
      <w:numFmt w:val="lowerLetter"/>
      <w:lvlText w:val="%5)"/>
      <w:lvlJc w:val="left"/>
      <w:pPr>
        <w:tabs>
          <w:tab w:val="left" w:pos="2100"/>
        </w:tabs>
        <w:ind w:left="2100" w:hanging="420"/>
      </w:pPr>
      <w:rPr>
        <w:rFonts w:ascii="Times New Roman" w:eastAsia="Times New Roman" w:hAnsi="Times New Roman" w:hint="eastAsia"/>
        <w:sz w:val="24"/>
        <w:u w:val="none"/>
        <w:lang w:val="en-US"/>
      </w:rPr>
    </w:lvl>
    <w:lvl w:ilvl="5">
      <w:start w:val="1"/>
      <w:numFmt w:val="lowerRoman"/>
      <w:lvlText w:val="%6."/>
      <w:lvlJc w:val="right"/>
      <w:pPr>
        <w:tabs>
          <w:tab w:val="left" w:pos="2520"/>
        </w:tabs>
        <w:ind w:left="2520" w:hanging="420"/>
      </w:pPr>
      <w:rPr>
        <w:rFonts w:ascii="Times New Roman" w:eastAsia="Times New Roman" w:hAnsi="Times New Roman" w:hint="eastAsia"/>
        <w:sz w:val="24"/>
        <w:u w:val="none"/>
        <w:lang w:val="en-US"/>
      </w:rPr>
    </w:lvl>
    <w:lvl w:ilvl="6">
      <w:start w:val="1"/>
      <w:numFmt w:val="decimal"/>
      <w:lvlText w:val="%7."/>
      <w:lvlJc w:val="left"/>
      <w:pPr>
        <w:tabs>
          <w:tab w:val="left" w:pos="2940"/>
        </w:tabs>
        <w:ind w:left="2940" w:hanging="420"/>
      </w:pPr>
      <w:rPr>
        <w:rFonts w:ascii="Times New Roman" w:eastAsia="Times New Roman" w:hAnsi="Times New Roman" w:hint="eastAsia"/>
        <w:sz w:val="24"/>
        <w:u w:val="none"/>
        <w:lang w:val="en-US"/>
      </w:rPr>
    </w:lvl>
    <w:lvl w:ilvl="7">
      <w:start w:val="1"/>
      <w:numFmt w:val="lowerLetter"/>
      <w:lvlText w:val="%8)"/>
      <w:lvlJc w:val="left"/>
      <w:pPr>
        <w:tabs>
          <w:tab w:val="left" w:pos="3360"/>
        </w:tabs>
        <w:ind w:left="3360" w:hanging="420"/>
      </w:pPr>
      <w:rPr>
        <w:rFonts w:ascii="Times New Roman" w:eastAsia="Times New Roman" w:hAnsi="Times New Roman" w:hint="eastAsia"/>
        <w:sz w:val="24"/>
        <w:u w:val="none"/>
        <w:lang w:val="en-US"/>
      </w:rPr>
    </w:lvl>
    <w:lvl w:ilvl="8">
      <w:start w:val="1"/>
      <w:numFmt w:val="lowerRoman"/>
      <w:lvlText w:val="%9."/>
      <w:lvlJc w:val="right"/>
      <w:pPr>
        <w:tabs>
          <w:tab w:val="left" w:pos="3780"/>
        </w:tabs>
        <w:ind w:left="3780" w:hanging="420"/>
      </w:pPr>
      <w:rPr>
        <w:rFonts w:ascii="Times New Roman" w:eastAsia="Times New Roman" w:hAnsi="Times New Roman" w:hint="eastAsia"/>
        <w:sz w:val="24"/>
        <w:u w:val="none"/>
        <w:lang w:val="en-US"/>
      </w:rPr>
    </w:lvl>
  </w:abstractNum>
  <w:num w:numId="1">
    <w:abstractNumId w:val="8"/>
  </w:num>
  <w:num w:numId="2">
    <w:abstractNumId w:val="9"/>
  </w:num>
  <w:num w:numId="3">
    <w:abstractNumId w:val="10"/>
  </w:num>
  <w:num w:numId="4">
    <w:abstractNumId w:val="1"/>
  </w:num>
  <w:num w:numId="5">
    <w:abstractNumId w:val="15"/>
  </w:num>
  <w:num w:numId="6">
    <w:abstractNumId w:val="3"/>
  </w:num>
  <w:num w:numId="7">
    <w:abstractNumId w:val="5"/>
  </w:num>
  <w:num w:numId="8">
    <w:abstractNumId w:val="2"/>
  </w:num>
  <w:num w:numId="9">
    <w:abstractNumId w:val="11"/>
  </w:num>
  <w:num w:numId="10">
    <w:abstractNumId w:val="6"/>
  </w:num>
  <w:num w:numId="11">
    <w:abstractNumId w:val="7"/>
  </w:num>
  <w:num w:numId="12">
    <w:abstractNumId w:val="0"/>
  </w:num>
  <w:num w:numId="13">
    <w:abstractNumId w:val="13"/>
  </w:num>
  <w:num w:numId="14">
    <w:abstractNumId w:val="4"/>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6A67C6"/>
    <w:rsid w:val="007D1BB9"/>
    <w:rsid w:val="00887050"/>
    <w:rsid w:val="00AA4D0B"/>
    <w:rsid w:val="00C1729B"/>
    <w:rsid w:val="00C3480A"/>
    <w:rsid w:val="00C84225"/>
    <w:rsid w:val="00CA6D76"/>
    <w:rsid w:val="00D16826"/>
    <w:rsid w:val="00D94572"/>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CBC5F98-A4D3-4D3C-99A8-6405CDC98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8" w:lineRule="auto"/>
      <w:outlineLvl w:val="0"/>
    </w:pPr>
    <w:rPr>
      <w:b/>
      <w:bCs/>
      <w:kern w:val="44"/>
      <w:sz w:val="44"/>
      <w:szCs w:val="44"/>
    </w:rPr>
  </w:style>
  <w:style w:type="paragraph" w:styleId="Heading2">
    <w:name w:val="heading 2"/>
    <w:basedOn w:val="Heading1"/>
    <w:next w:val="NormalIndent"/>
    <w:uiPriority w:val="9"/>
    <w:qFormat/>
    <w:pPr>
      <w:keepNext w:val="0"/>
      <w:keepLines w:val="0"/>
      <w:spacing w:before="0" w:after="0" w:line="360" w:lineRule="auto"/>
      <w:jc w:val="center"/>
      <w:outlineLvl w:val="1"/>
    </w:pPr>
    <w:rPr>
      <w:rFonts w:ascii="仿宋_GB2312" w:eastAsia="仿宋_GB2312" w:hAnsi="Times New Roman" w:cs="Times New Roman"/>
      <w:b w:val="0"/>
      <w:bCs w:val="0"/>
      <w:kern w:val="2"/>
      <w:sz w:val="28"/>
      <w:szCs w:val="20"/>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after="200" w:line="276" w:lineRule="auto"/>
      <w:jc w:val="both"/>
    </w:pPr>
    <w:rPr>
      <w:rFonts w:ascii="Calibri" w:hAnsi="Calibri" w:cs="Times New Roman"/>
      <w:kern w:val="2"/>
      <w:sz w:val="21"/>
      <w:szCs w:val="24"/>
    </w:rPr>
  </w:style>
  <w:style w:type="paragraph" w:styleId="PlainText">
    <w:name w:val="Plain Text"/>
    <w:basedOn w:val="Normal"/>
    <w:pPr>
      <w:spacing w:after="200" w:line="276" w:lineRule="auto"/>
    </w:pPr>
    <w:rPr>
      <w:rFonts w:ascii="宋体" w:hAnsi="Courier New"/>
      <w:szCs w:val="20"/>
    </w:rPr>
  </w:style>
  <w:style w:type="paragraph" w:styleId="TOC1">
    <w:name w:val="toc 1"/>
    <w:basedOn w:val="Normal"/>
    <w:next w:val="Normal0"/>
    <w:qFormat/>
    <w:pPr>
      <w:spacing w:after="200" w:line="276" w:lineRule="auto"/>
    </w:pPr>
    <w:rPr>
      <w:szCs w:val="24"/>
    </w:rPr>
  </w:style>
  <w:style w:type="paragraph" w:customStyle="1" w:styleId="1">
    <w:name w:val="高波1"/>
    <w:basedOn w:val="Heading1"/>
    <w:qFormat/>
    <w:pPr>
      <w:keepNext w:val="0"/>
      <w:keepLines w:val="0"/>
      <w:spacing w:before="0" w:after="0" w:line="440" w:lineRule="exact"/>
      <w:ind w:firstLine="560" w:firstLineChars="200"/>
    </w:pPr>
    <w:rPr>
      <w:rFonts w:ascii="宋体" w:hAnsi="宋体"/>
      <w:b w:val="0"/>
      <w:bCs w:val="0"/>
      <w:sz w:val="28"/>
      <w:szCs w:val="28"/>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wmf"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hyperlink" Target="https://d.book118.com/436223204145010055"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wmf"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2788</Words>
  <Characters>15898</Characters>
  <Application>Microsoft Office Word</Application>
  <DocSecurity>0</DocSecurity>
  <Lines>132</Lines>
  <Paragraphs>37</Paragraphs>
  <ScaleCrop>false</ScaleCrop>
  <Company/>
  <LinksUpToDate>false</LinksUpToDate>
  <CharactersWithSpaces>18649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