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spacing w:line="182" w:lineRule="auto"/>
      </w:pPr>
      <w:r>
        <w:pict>
          <v:rect id="_x0000_s1025" style="width:10in;height:540pt;margin-top:0;margin-left:0;mso-position-horizontal-relative:page;mso-position-vertical-relative:page;position:absolute;z-index:-251656192" filled="t" fillcolor="#b1db11" stroked="f">
            <v:fill type="solid"/>
          </v:rect>
        </w:pict>
      </w:r>
      <w:r>
        <w:drawing>
          <wp:anchor distT="0" distB="0" distL="0" distR="0" simplePos="0" relativeHeight="251658240" behindDoc="0" locked="0" layoutInCell="1" allowOverlap="1">
            <wp:simplePos x="0" y="0"/>
            <wp:positionH relativeFrom="page">
              <wp:posOffset>7380351</wp:posOffset>
            </wp:positionH>
            <wp:positionV relativeFrom="paragraph">
              <wp:posOffset>458021</wp:posOffset>
            </wp:positionV>
            <wp:extent cx="1407795" cy="624649"/>
            <wp:effectExtent l="0" t="0" r="0" b="0"/>
            <wp:wrapNone/>
            <wp:docPr id="1" name="image1.png" descr="E:\e\hyde\工作\VI\irg\irg [反白].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407795" cy="624649"/>
                    </a:xfrm>
                    <a:prstGeom prst="rect">
                      <a:avLst/>
                    </a:prstGeom>
                  </pic:spPr>
                </pic:pic>
              </a:graphicData>
            </a:graphic>
          </wp:anchor>
        </w:drawing>
      </w:r>
      <w:r>
        <w:rPr>
          <w:color w:val="EEFDCE"/>
        </w:rPr>
        <w:t>IRESEARCH CONSULTING GROUP</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7"/>
        <w:rPr>
          <w:rFonts w:ascii="Arial"/>
          <w:sz w:val="27"/>
        </w:rPr>
      </w:pPr>
    </w:p>
    <w:p>
      <w:pPr>
        <w:spacing w:before="0" w:line="1111" w:lineRule="exact"/>
        <w:ind w:left="4578" w:right="0" w:firstLine="0"/>
        <w:jc w:val="left"/>
        <w:rPr>
          <w:rFonts w:ascii="微软雅黑" w:eastAsia="微软雅黑" w:hint="eastAsia"/>
          <w:b/>
          <w:sz w:val="64"/>
        </w:rPr>
      </w:pPr>
      <w:r>
        <w:pict>
          <v:line id="_x0000_s1026" style="mso-position-horizontal-relative:page;position:absolute;z-index:251659264" from="229.6pt,55.05pt" to="688.8pt,55.05pt" stroked="t" strokecolor="white" strokeweight="2.25pt">
            <v:stroke dashstyle="solid"/>
          </v:line>
        </w:pict>
      </w:r>
      <w:r>
        <w:rPr>
          <w:rFonts w:ascii="微软雅黑" w:eastAsia="微软雅黑" w:hint="eastAsia"/>
          <w:b/>
          <w:color w:val="FFFFFF"/>
          <w:spacing w:val="-1"/>
          <w:sz w:val="64"/>
        </w:rPr>
        <w:t>中国电子支付市场月度监测报告</w:t>
      </w:r>
    </w:p>
    <w:p>
      <w:pPr>
        <w:spacing w:before="0" w:line="735" w:lineRule="exact"/>
        <w:ind w:left="0" w:right="155" w:firstLine="0"/>
        <w:jc w:val="right"/>
        <w:rPr>
          <w:rFonts w:ascii="微软雅黑" w:eastAsia="微软雅黑" w:hint="eastAsia"/>
          <w:b/>
          <w:sz w:val="40"/>
        </w:rPr>
      </w:pPr>
      <w:r>
        <w:rPr>
          <w:rFonts w:ascii="微软雅黑" w:eastAsia="微软雅黑" w:hint="eastAsia"/>
          <w:b/>
          <w:color w:val="FFFFFF"/>
          <w:sz w:val="40"/>
        </w:rPr>
        <w:t>2013年01月</w:t>
      </w:r>
    </w:p>
    <w:p>
      <w:pPr>
        <w:spacing w:after="0" w:line="735" w:lineRule="exact"/>
        <w:jc w:val="right"/>
        <w:rPr>
          <w:rFonts w:ascii="微软雅黑" w:eastAsia="微软雅黑" w:hint="eastAsia"/>
          <w:sz w:val="40"/>
        </w:rPr>
        <w:sectPr>
          <w:type w:val="continuous"/>
          <w:pgSz w:w="14400" w:h="10800" w:orient="landscape"/>
          <w:pgMar w:top="0" w:right="460" w:bottom="280" w:left="260" w:header="708" w:footer="708"/>
          <w:cols w:space="708"/>
        </w:sectPr>
      </w:pPr>
    </w:p>
    <w:p>
      <w:pPr>
        <w:pStyle w:val="BodyText"/>
        <w:rPr>
          <w:rFonts w:ascii="微软雅黑"/>
          <w:b/>
          <w:sz w:val="20"/>
        </w:rPr>
      </w:pPr>
      <w:r>
        <w:pict>
          <v:group id="_x0000_s1027" style="width:10in;height:54.55pt;margin-top:0;margin-left:0;mso-position-horizontal-relative:page;mso-position-vertical-relative:page;position:absolute;z-index:-251654144" coordorigin="0,0" coordsize="14400,1091">
            <v:rect id="_x0000_s1028" style="width:14400;height:1091;position:absolute;top:-1" filled="t" fillcolor="#b1db11" stroked="f">
              <v:fill type="solid"/>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alt="E:\e\hyde\工作\VI\irg\irg [反白].png" style="width:1558;height:692;left:632;position:absolute;top:254" stroked="f">
              <v:imagedata r:id="rId4" o:title=""/>
            </v:shape>
            <v:shapetype id="_x0000_t202" coordsize="21600,21600" o:spt="202" path="m,l,21600r21600,l21600,xe">
              <v:stroke joinstyle="miter"/>
              <v:path gradientshapeok="t" o:connecttype="rect"/>
            </v:shapetype>
            <v:shape id="_x0000_s1030" type="#_x0000_t202" style="width:740;height:476;left:12881;position:absolute;top:421" filled="f" stroked="f">
              <v:textbox inset="0,0,0,0">
                <w:txbxContent>
                  <w:p>
                    <w:pPr>
                      <w:spacing w:before="0" w:line="475" w:lineRule="exact"/>
                      <w:ind w:left="0" w:right="0" w:firstLine="0"/>
                      <w:jc w:val="left"/>
                      <w:rPr>
                        <w:rFonts w:ascii="微软雅黑" w:eastAsia="微软雅黑" w:hint="eastAsia"/>
                        <w:b/>
                        <w:sz w:val="36"/>
                      </w:rPr>
                    </w:pPr>
                    <w:r>
                      <w:rPr>
                        <w:rFonts w:ascii="微软雅黑" w:eastAsia="微软雅黑" w:hint="eastAsia"/>
                        <w:b/>
                        <w:color w:val="FFFFFF"/>
                        <w:sz w:val="36"/>
                      </w:rPr>
                      <w:t>目录</w:t>
                    </w:r>
                  </w:p>
                </w:txbxContent>
              </v:textbox>
            </v:shape>
          </v:group>
        </w:pic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10"/>
        <w:rPr>
          <w:rFonts w:ascii="微软雅黑"/>
          <w:b/>
          <w:sz w:val="15"/>
        </w:rPr>
      </w:pPr>
    </w:p>
    <w:p>
      <w:pPr>
        <w:pStyle w:val="Heading1"/>
        <w:spacing w:line="766" w:lineRule="exact"/>
      </w:pPr>
      <w:r>
        <w:pict>
          <v:group id="_x0000_s1031" style="width:196.6pt;height:18.55pt;margin-top:15.55pt;margin-left:141.48pt;mso-position-horizontal-relative:page;position:absolute;z-index:251661312" coordorigin="2830,311" coordsize="3932,371">
            <v:shape id="_x0000_s1032" type="#_x0000_t75" style="width:3932;height:309;left:2829;position:absolute;top:369" stroked="f">
              <v:imagedata r:id="rId5" o:title=""/>
            </v:shape>
            <v:shape id="_x0000_s1033" type="#_x0000_t202" style="width:3932;height:371;left:2829;position:absolute;top:310" filled="f" stroked="f">
              <v:textbox inset="0,0,0,0">
                <w:txbxContent>
                  <w:p>
                    <w:pPr>
                      <w:spacing w:before="0" w:line="371" w:lineRule="exact"/>
                      <w:ind w:left="-12" w:right="0" w:firstLine="0"/>
                      <w:jc w:val="left"/>
                      <w:rPr>
                        <w:rFonts w:ascii="微软雅黑" w:eastAsia="微软雅黑" w:hint="eastAsia"/>
                        <w:b/>
                        <w:sz w:val="28"/>
                      </w:rPr>
                    </w:pPr>
                    <w:r>
                      <w:rPr>
                        <w:rFonts w:ascii="微软雅黑" w:eastAsia="微软雅黑" w:hint="eastAsia"/>
                        <w:b/>
                        <w:color w:val="99CC00"/>
                        <w:sz w:val="28"/>
                      </w:rPr>
                      <w:t>中国电子支付市场月度动态监测</w:t>
                    </w:r>
                  </w:p>
                </w:txbxContent>
              </v:textbox>
            </v:shape>
          </v:group>
        </w:pict>
      </w:r>
      <w:r>
        <w:rPr>
          <w:color w:val="99CC00"/>
        </w:rPr>
        <w:t>3</w:t>
      </w:r>
    </w:p>
    <w:p>
      <w:pPr>
        <w:pStyle w:val="Heading2"/>
        <w:numPr>
          <w:ilvl w:val="0"/>
          <w:numId w:val="4"/>
        </w:numPr>
        <w:tabs>
          <w:tab w:val="left" w:pos="2558"/>
        </w:tabs>
        <w:spacing w:before="0" w:after="0" w:line="700" w:lineRule="exact"/>
        <w:ind w:left="2558" w:right="0" w:hanging="593"/>
        <w:jc w:val="left"/>
        <w:rPr>
          <w:rFonts w:ascii="微软雅黑" w:eastAsia="微软雅黑" w:hint="eastAsia"/>
        </w:rPr>
      </w:pPr>
      <w:r>
        <w:rPr>
          <w:rFonts w:ascii="微软雅黑" w:eastAsia="微软雅黑" w:hint="eastAsia"/>
          <w:color w:val="BEBEBE"/>
          <w:spacing w:val="-2"/>
        </w:rPr>
        <w:t>中国电子支付市场热点事件解析</w:t>
      </w:r>
    </w:p>
    <w:p>
      <w:pPr>
        <w:pStyle w:val="ListParagraph"/>
        <w:numPr>
          <w:ilvl w:val="0"/>
          <w:numId w:val="4"/>
        </w:numPr>
        <w:tabs>
          <w:tab w:val="left" w:pos="2558"/>
        </w:tabs>
        <w:spacing w:before="0" w:after="0" w:line="701" w:lineRule="exact"/>
        <w:ind w:left="2558" w:right="0" w:hanging="593"/>
        <w:jc w:val="left"/>
        <w:rPr>
          <w:b/>
          <w:sz w:val="28"/>
        </w:rPr>
      </w:pPr>
      <w:r>
        <w:rPr>
          <w:b/>
          <w:color w:val="BEBEBE"/>
          <w:spacing w:val="-1"/>
          <w:sz w:val="28"/>
        </w:rPr>
        <w:t>中国电子支付市场月度数据监测</w:t>
      </w:r>
    </w:p>
    <w:p>
      <w:pPr>
        <w:pStyle w:val="Heading2"/>
        <w:numPr>
          <w:ilvl w:val="0"/>
          <w:numId w:val="4"/>
        </w:numPr>
        <w:tabs>
          <w:tab w:val="left" w:pos="2558"/>
        </w:tabs>
        <w:spacing w:before="0" w:after="0" w:line="793" w:lineRule="exact"/>
        <w:ind w:left="2558" w:right="0" w:hanging="593"/>
        <w:jc w:val="left"/>
        <w:rPr>
          <w:rFonts w:ascii="微软雅黑" w:eastAsia="微软雅黑" w:hint="eastAsia"/>
        </w:rPr>
      </w:pPr>
      <w:r>
        <w:rPr>
          <w:rFonts w:ascii="微软雅黑" w:eastAsia="微软雅黑" w:hint="eastAsia"/>
          <w:color w:val="BEBEBE"/>
          <w:spacing w:val="-1"/>
        </w:rPr>
        <w:t>壹月专题：艾瑞咨询集团</w:t>
      </w:r>
      <w:r>
        <w:rPr>
          <w:rFonts w:ascii="微软雅黑" w:eastAsia="微软雅黑" w:hint="eastAsia"/>
          <w:color w:val="BEBEBE"/>
        </w:rPr>
        <w:t>2012</w:t>
      </w:r>
      <w:r>
        <w:rPr>
          <w:rFonts w:ascii="微软雅黑" w:eastAsia="微软雅黑" w:hint="eastAsia"/>
          <w:color w:val="BEBEBE"/>
          <w:spacing w:val="-3"/>
        </w:rPr>
        <w:t>年中国第三方支付行业核心数据发布</w: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4"/>
        <w:rPr>
          <w:rFonts w:ascii="微软雅黑"/>
          <w:b/>
          <w:sz w:val="11"/>
        </w:rPr>
      </w:pPr>
    </w:p>
    <w:p>
      <w:pPr>
        <w:tabs>
          <w:tab w:val="left" w:pos="566"/>
        </w:tabs>
        <w:spacing w:before="46"/>
        <w:ind w:left="0" w:right="170" w:firstLine="0"/>
        <w:jc w:val="righ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rPr>
          <w:rFonts w:ascii="微软雅黑"/>
          <w:b/>
          <w:color w:val="FFFFFF"/>
          <w:sz w:val="21"/>
          <w:shd w:val="clear" w:color="auto" w:fill="B1DB11"/>
        </w:rPr>
        <w:t>2</w:t>
        <w:tab/>
      </w:r>
    </w:p>
    <w:p>
      <w:pPr>
        <w:spacing w:after="0"/>
        <w:jc w:val="right"/>
        <w:rPr>
          <w:rFonts w:ascii="微软雅黑"/>
          <w:sz w:val="21"/>
        </w:rPr>
        <w:sectPr>
          <w:pgSz w:w="14400" w:h="10800" w:orient="landscape"/>
          <w:pgMar w:top="0" w:right="460" w:bottom="280" w:left="260" w:header="708" w:footer="708"/>
          <w:pgNumType w:start="2"/>
          <w:cols w:space="708"/>
        </w:sectPr>
      </w:pPr>
    </w:p>
    <w:p>
      <w:pPr>
        <w:pStyle w:val="BodyText"/>
        <w:spacing w:before="4"/>
        <w:rPr>
          <w:rFonts w:ascii="微软雅黑"/>
          <w:b/>
          <w:sz w:val="7"/>
        </w:rPr>
      </w:pPr>
    </w:p>
    <w:p>
      <w:pPr>
        <w:pStyle w:val="Heading2"/>
        <w:spacing w:before="28"/>
        <w:ind w:left="1396"/>
        <w:rPr>
          <w:rFonts w:ascii="Arial" w:eastAsia="Arial"/>
        </w:rPr>
      </w:pPr>
      <w:r>
        <w:t>人民银行：</w:t>
      </w:r>
      <w:r>
        <w:rPr>
          <w:rFonts w:ascii="Arial" w:eastAsia="Arial"/>
        </w:rPr>
        <w:t>2012</w:t>
      </w:r>
      <w:r>
        <w:t>年银行卡跨行交易总额</w:t>
      </w:r>
      <w:r>
        <w:rPr>
          <w:rFonts w:ascii="Arial" w:eastAsia="Arial"/>
          <w:color w:val="FF0000"/>
        </w:rPr>
        <w:t>21.8</w:t>
      </w:r>
      <w:r>
        <w:t>万亿元同比增长</w:t>
      </w:r>
      <w:r>
        <w:rPr>
          <w:rFonts w:ascii="Arial" w:eastAsia="Arial"/>
          <w:color w:val="FF0000"/>
        </w:rPr>
        <w:t>37%</w:t>
      </w:r>
    </w:p>
    <w:p>
      <w:pPr>
        <w:pStyle w:val="BodyText"/>
        <w:spacing w:before="24" w:line="271" w:lineRule="auto"/>
        <w:ind w:left="1396" w:right="1236"/>
        <w:jc w:val="both"/>
      </w:pPr>
      <w:r>
        <w:rPr>
          <w:rFonts w:ascii="Arial" w:eastAsia="Arial"/>
          <w:color w:val="404040"/>
        </w:rPr>
        <w:t>2012</w:t>
      </w:r>
      <w:r>
        <w:rPr>
          <w:color w:val="404040"/>
        </w:rPr>
        <w:t>年银行卡跨行交易总额</w:t>
      </w:r>
      <w:r>
        <w:rPr>
          <w:rFonts w:ascii="Arial" w:eastAsia="Arial"/>
          <w:color w:val="404040"/>
        </w:rPr>
        <w:t>21.8</w:t>
      </w:r>
      <w:r>
        <w:rPr>
          <w:color w:val="404040"/>
        </w:rPr>
        <w:t>万亿元，同比增长</w:t>
      </w:r>
      <w:r>
        <w:rPr>
          <w:rFonts w:ascii="Arial" w:eastAsia="Arial"/>
          <w:color w:val="404040"/>
        </w:rPr>
        <w:t>37%</w:t>
      </w:r>
      <w:r>
        <w:rPr>
          <w:color w:val="404040"/>
        </w:rPr>
        <w:t>。境内受理网络的快速拓展，以及用卡环境的不断优化，推动民生类消费以及旅游、交通等多类商户交易增长明显，创新支付加快深入日常生活。境外可用银联卡的国家和地区数增至</w:t>
      </w:r>
      <w:r>
        <w:rPr>
          <w:rFonts w:ascii="Arial" w:eastAsia="Arial"/>
          <w:color w:val="404040"/>
        </w:rPr>
        <w:t>141</w:t>
      </w:r>
      <w:r>
        <w:rPr>
          <w:color w:val="404040"/>
        </w:rPr>
        <w:t>个，银联网络服务境内外持卡人的能力不断提升。</w:t>
      </w:r>
    </w:p>
    <w:p>
      <w:pPr>
        <w:pStyle w:val="BodyText"/>
        <w:rPr>
          <w:sz w:val="27"/>
        </w:rPr>
      </w:pPr>
    </w:p>
    <w:p>
      <w:pPr>
        <w:pStyle w:val="Heading2"/>
        <w:spacing w:before="1"/>
        <w:ind w:left="1396"/>
      </w:pPr>
      <w:r>
        <w:t>苏宁易购：易付宝用户达</w:t>
      </w:r>
      <w:r>
        <w:rPr>
          <w:rFonts w:ascii="Arial" w:eastAsia="Arial"/>
          <w:color w:val="FF0000"/>
        </w:rPr>
        <w:t>2000</w:t>
      </w:r>
      <w:r>
        <w:t>万</w:t>
      </w:r>
    </w:p>
    <w:p>
      <w:pPr>
        <w:pStyle w:val="BodyText"/>
        <w:spacing w:before="21" w:line="273" w:lineRule="auto"/>
        <w:ind w:left="1396" w:right="957"/>
      </w:pPr>
      <w:r>
        <w:rPr>
          <w:rFonts w:ascii="Arial" w:eastAsia="Arial"/>
          <w:color w:val="404040"/>
        </w:rPr>
        <w:t>1</w:t>
      </w:r>
      <w:r>
        <w:rPr>
          <w:color w:val="404040"/>
        </w:rPr>
        <w:t>月</w:t>
      </w:r>
      <w:r>
        <w:rPr>
          <w:rFonts w:ascii="Arial" w:eastAsia="Arial"/>
          <w:color w:val="404040"/>
        </w:rPr>
        <w:t>20</w:t>
      </w:r>
      <w:r>
        <w:rPr>
          <w:color w:val="404040"/>
        </w:rPr>
        <w:t>日，苏宁易购正式公布了</w:t>
      </w:r>
      <w:r>
        <w:rPr>
          <w:rFonts w:ascii="Arial" w:eastAsia="Arial"/>
          <w:color w:val="404040"/>
        </w:rPr>
        <w:t>2012</w:t>
      </w:r>
      <w:r>
        <w:rPr>
          <w:color w:val="404040"/>
        </w:rPr>
        <w:t>年苏宁电商业务经营数据，其全年实现</w:t>
      </w:r>
      <w:r>
        <w:rPr>
          <w:rFonts w:ascii="Arial" w:eastAsia="Arial"/>
          <w:color w:val="404040"/>
        </w:rPr>
        <w:t>183.36</w:t>
      </w:r>
      <w:r>
        <w:rPr>
          <w:color w:val="404040"/>
        </w:rPr>
        <w:t>亿的目标。其中，苏宁易付宝活 跃用户将近</w:t>
      </w:r>
      <w:r>
        <w:rPr>
          <w:rFonts w:ascii="Arial" w:eastAsia="Arial"/>
          <w:color w:val="404040"/>
        </w:rPr>
        <w:t>2000</w:t>
      </w:r>
      <w:r>
        <w:rPr>
          <w:color w:val="404040"/>
        </w:rPr>
        <w:t>万人。据苏宁易购方面透露，</w:t>
      </w:r>
      <w:r>
        <w:rPr>
          <w:rFonts w:ascii="Arial" w:eastAsia="Arial"/>
          <w:color w:val="404040"/>
        </w:rPr>
        <w:t>2012</w:t>
      </w:r>
      <w:r>
        <w:rPr>
          <w:color w:val="404040"/>
        </w:rPr>
        <w:t>年，苏宁易购用户总量增长一倍多，加上红孩子</w:t>
      </w:r>
      <w:r>
        <w:rPr>
          <w:rFonts w:ascii="Arial" w:eastAsia="Arial"/>
          <w:color w:val="404040"/>
        </w:rPr>
        <w:t>800</w:t>
      </w:r>
      <w:r>
        <w:rPr>
          <w:color w:val="404040"/>
        </w:rPr>
        <w:t>万优质母婴、化妆品用户，苏宁易购线上用户数量达到近</w:t>
      </w:r>
      <w:r>
        <w:rPr>
          <w:rFonts w:ascii="Arial" w:eastAsia="Arial"/>
          <w:color w:val="404040"/>
        </w:rPr>
        <w:t>3000</w:t>
      </w:r>
      <w:r>
        <w:rPr>
          <w:color w:val="404040"/>
        </w:rPr>
        <w:t>万。</w:t>
      </w:r>
    </w:p>
    <w:p>
      <w:pPr>
        <w:pStyle w:val="BodyText"/>
        <w:spacing w:before="8"/>
        <w:rPr>
          <w:sz w:val="26"/>
        </w:rPr>
      </w:pPr>
    </w:p>
    <w:p>
      <w:pPr>
        <w:pStyle w:val="Heading2"/>
        <w:ind w:left="1396"/>
      </w:pPr>
      <w:r>
        <w:rPr>
          <w:rFonts w:ascii="Arial" w:eastAsia="Arial"/>
        </w:rPr>
        <w:t>PayPal</w:t>
      </w:r>
      <w:r>
        <w:t>：</w:t>
      </w:r>
      <w:r>
        <w:rPr>
          <w:rFonts w:ascii="Arial" w:eastAsia="Arial"/>
        </w:rPr>
        <w:t>2012</w:t>
      </w:r>
      <w:r>
        <w:t>年移动设备交易量达</w:t>
      </w:r>
      <w:r>
        <w:rPr>
          <w:rFonts w:ascii="Arial" w:eastAsia="Arial"/>
          <w:color w:val="FF0000"/>
        </w:rPr>
        <w:t>140</w:t>
      </w:r>
      <w:r>
        <w:t>亿美元</w:t>
      </w:r>
    </w:p>
    <w:p>
      <w:pPr>
        <w:pStyle w:val="BodyText"/>
        <w:spacing w:before="21" w:line="273" w:lineRule="auto"/>
        <w:ind w:left="1396" w:right="1393"/>
        <w:jc w:val="both"/>
      </w:pPr>
      <w:r>
        <w:rPr>
          <w:rFonts w:ascii="Arial" w:eastAsia="Arial"/>
          <w:color w:val="404040"/>
        </w:rPr>
        <w:t>PayPal</w:t>
      </w:r>
      <w:r>
        <w:rPr>
          <w:color w:val="404040"/>
        </w:rPr>
        <w:t>总裁马库斯在</w:t>
      </w:r>
      <w:r>
        <w:rPr>
          <w:rFonts w:ascii="Arial" w:eastAsia="Arial"/>
          <w:color w:val="404040"/>
        </w:rPr>
        <w:t>PayPal</w:t>
      </w:r>
      <w:r>
        <w:rPr>
          <w:color w:val="404040"/>
        </w:rPr>
        <w:t>官方博客透露，</w:t>
      </w:r>
      <w:r>
        <w:rPr>
          <w:rFonts w:ascii="Arial" w:eastAsia="Arial"/>
          <w:color w:val="404040"/>
        </w:rPr>
        <w:t>2012</w:t>
      </w:r>
      <w:r>
        <w:rPr>
          <w:color w:val="404040"/>
        </w:rPr>
        <w:t>年全年，</w:t>
      </w:r>
      <w:r>
        <w:rPr>
          <w:rFonts w:ascii="Arial" w:eastAsia="Arial"/>
          <w:color w:val="404040"/>
        </w:rPr>
        <w:t>PayPal</w:t>
      </w:r>
      <w:r>
        <w:rPr>
          <w:color w:val="404040"/>
        </w:rPr>
        <w:t>通过移动设备处理的交易量是</w:t>
      </w:r>
      <w:r>
        <w:rPr>
          <w:rFonts w:ascii="Arial" w:eastAsia="Arial"/>
          <w:color w:val="404040"/>
        </w:rPr>
        <w:t>140</w:t>
      </w:r>
      <w:r>
        <w:rPr>
          <w:color w:val="404040"/>
        </w:rPr>
        <w:t>亿美元，同比去年的</w:t>
      </w:r>
      <w:r>
        <w:rPr>
          <w:rFonts w:ascii="Arial" w:eastAsia="Arial"/>
          <w:color w:val="404040"/>
        </w:rPr>
        <w:t>40</w:t>
      </w:r>
      <w:r>
        <w:rPr>
          <w:color w:val="404040"/>
        </w:rPr>
        <w:t>亿美元，在原有基础上足足增长了</w:t>
      </w:r>
      <w:r>
        <w:rPr>
          <w:rFonts w:ascii="Arial" w:eastAsia="Arial"/>
          <w:color w:val="404040"/>
        </w:rPr>
        <w:t>250</w:t>
      </w:r>
      <w:r>
        <w:rPr>
          <w:color w:val="404040"/>
        </w:rPr>
        <w:t>个百分点。马库斯还透露，</w:t>
      </w:r>
      <w:r>
        <w:rPr>
          <w:rFonts w:ascii="Arial" w:eastAsia="Arial"/>
          <w:color w:val="404040"/>
        </w:rPr>
        <w:t>2012</w:t>
      </w:r>
      <w:r>
        <w:rPr>
          <w:color w:val="404040"/>
        </w:rPr>
        <w:t>年</w:t>
      </w:r>
      <w:r>
        <w:rPr>
          <w:rFonts w:ascii="Arial" w:eastAsia="Arial"/>
          <w:color w:val="404040"/>
        </w:rPr>
        <w:t>10</w:t>
      </w:r>
      <w:r>
        <w:rPr>
          <w:color w:val="404040"/>
        </w:rPr>
        <w:t>月到</w:t>
      </w:r>
      <w:r>
        <w:rPr>
          <w:rFonts w:ascii="Arial" w:eastAsia="Arial"/>
          <w:color w:val="404040"/>
        </w:rPr>
        <w:t>12</w:t>
      </w:r>
      <w:r>
        <w:rPr>
          <w:color w:val="404040"/>
        </w:rPr>
        <w:t>月间，</w:t>
      </w:r>
      <w:r>
        <w:rPr>
          <w:rFonts w:ascii="Arial" w:eastAsia="Arial"/>
          <w:color w:val="404040"/>
        </w:rPr>
        <w:t>PayPal</w:t>
      </w:r>
      <w:r>
        <w:rPr>
          <w:color w:val="404040"/>
        </w:rPr>
        <w:t>处理的交易量是</w:t>
      </w:r>
      <w:r>
        <w:rPr>
          <w:rFonts w:ascii="Arial" w:eastAsia="Arial"/>
          <w:color w:val="404040"/>
        </w:rPr>
        <w:t>6.92</w:t>
      </w:r>
      <w:r>
        <w:rPr>
          <w:color w:val="404040"/>
        </w:rPr>
        <w:t>亿笔，平均每分钟有</w:t>
      </w:r>
      <w:r>
        <w:rPr>
          <w:rFonts w:ascii="Arial" w:eastAsia="Arial"/>
          <w:color w:val="404040"/>
        </w:rPr>
        <w:t>5223</w:t>
      </w:r>
      <w:r>
        <w:rPr>
          <w:color w:val="404040"/>
        </w:rPr>
        <w:t>笔交易完成，此外，还有一个数据是：</w:t>
      </w:r>
      <w:r>
        <w:rPr>
          <w:rFonts w:ascii="Arial" w:eastAsia="Arial"/>
          <w:color w:val="404040"/>
        </w:rPr>
        <w:t>PayPal</w:t>
      </w:r>
      <w:r>
        <w:rPr>
          <w:color w:val="404040"/>
        </w:rPr>
        <w:t>的活跃用户量是</w:t>
      </w:r>
      <w:r>
        <w:rPr>
          <w:rFonts w:ascii="Arial" w:eastAsia="Arial"/>
          <w:color w:val="404040"/>
        </w:rPr>
        <w:t>1.23</w:t>
      </w:r>
      <w:r>
        <w:rPr>
          <w:color w:val="404040"/>
        </w:rPr>
        <w:t>亿。</w:t>
      </w:r>
    </w:p>
    <w:p>
      <w:pPr>
        <w:pStyle w:val="BodyText"/>
        <w:spacing w:before="6"/>
        <w:rPr>
          <w:sz w:val="26"/>
        </w:rPr>
      </w:pPr>
    </w:p>
    <w:p>
      <w:pPr>
        <w:pStyle w:val="Heading2"/>
        <w:ind w:left="1396"/>
      </w:pPr>
      <w:r>
        <w:t>支付宝：</w:t>
      </w:r>
      <w:r>
        <w:rPr>
          <w:rFonts w:ascii="Arial" w:eastAsia="Arial"/>
        </w:rPr>
        <w:t>2012</w:t>
      </w:r>
      <w:r>
        <w:t>年集分宝抵现金额</w:t>
      </w:r>
      <w:r>
        <w:rPr>
          <w:rFonts w:ascii="Arial" w:eastAsia="Arial"/>
          <w:color w:val="FF0000"/>
        </w:rPr>
        <w:t>2.1</w:t>
      </w:r>
      <w:r>
        <w:t>亿元</w:t>
      </w:r>
    </w:p>
    <w:p>
      <w:pPr>
        <w:pStyle w:val="BodyText"/>
        <w:spacing w:before="24" w:line="271" w:lineRule="auto"/>
        <w:ind w:left="1396" w:right="1307"/>
      </w:pPr>
      <w:r>
        <w:rPr>
          <w:rFonts w:ascii="Arial" w:eastAsia="Arial"/>
          <w:color w:val="404040"/>
        </w:rPr>
        <w:t>2012</w:t>
      </w:r>
      <w:r>
        <w:rPr>
          <w:color w:val="404040"/>
        </w:rPr>
        <w:t>年，全国有</w:t>
      </w:r>
      <w:r>
        <w:rPr>
          <w:rFonts w:ascii="Arial" w:eastAsia="Arial"/>
          <w:color w:val="404040"/>
        </w:rPr>
        <w:t>3405</w:t>
      </w:r>
      <w:r>
        <w:rPr>
          <w:color w:val="404040"/>
        </w:rPr>
        <w:t>万人赚到过集分宝，通过集分宝抵现的金额达到</w:t>
      </w:r>
      <w:r>
        <w:rPr>
          <w:rFonts w:ascii="Arial" w:eastAsia="Arial"/>
          <w:color w:val="404040"/>
        </w:rPr>
        <w:t>2.1</w:t>
      </w:r>
      <w:r>
        <w:rPr>
          <w:color w:val="404040"/>
        </w:rPr>
        <w:t>亿元，这意味着，用户因为集分宝一年节省了</w:t>
      </w:r>
      <w:r>
        <w:rPr>
          <w:rFonts w:ascii="Arial" w:eastAsia="Arial"/>
          <w:color w:val="404040"/>
        </w:rPr>
        <w:t>2.1</w:t>
      </w:r>
      <w:r>
        <w:rPr>
          <w:color w:val="404040"/>
        </w:rPr>
        <w:t>亿元。</w:t>
      </w:r>
    </w:p>
    <w:p>
      <w:pPr>
        <w:pStyle w:val="BodyText"/>
        <w:spacing w:before="10"/>
        <w:rPr>
          <w:sz w:val="24"/>
        </w:rPr>
      </w:pPr>
    </w:p>
    <w:p>
      <w:pPr>
        <w:pStyle w:val="Heading2"/>
        <w:spacing w:before="28"/>
        <w:ind w:left="1396"/>
      </w:pPr>
      <w:r>
        <w:t>工商银行去年银行卡消费额逾</w:t>
      </w:r>
      <w:r>
        <w:rPr>
          <w:rFonts w:ascii="Arial" w:eastAsia="Arial"/>
          <w:color w:val="FF0000"/>
        </w:rPr>
        <w:t>4</w:t>
      </w:r>
      <w:r>
        <w:t>万亿元</w:t>
      </w:r>
    </w:p>
    <w:p>
      <w:pPr>
        <w:pStyle w:val="BodyText"/>
        <w:spacing w:before="21" w:line="273" w:lineRule="auto"/>
        <w:ind w:left="1396" w:right="1318"/>
        <w:jc w:val="both"/>
      </w:pPr>
      <w:r>
        <w:rPr>
          <w:rFonts w:ascii="Arial" w:eastAsia="Arial"/>
          <w:color w:val="404040"/>
        </w:rPr>
        <w:t>2012</w:t>
      </w:r>
      <w:r>
        <w:rPr>
          <w:color w:val="404040"/>
        </w:rPr>
        <w:t>年中国工商银行客户使用银行卡支付的消费金额超过了</w:t>
      </w:r>
      <w:r>
        <w:rPr>
          <w:rFonts w:ascii="Arial" w:eastAsia="Arial"/>
          <w:color w:val="404040"/>
        </w:rPr>
        <w:t>4</w:t>
      </w:r>
      <w:r>
        <w:rPr>
          <w:color w:val="404040"/>
        </w:rPr>
        <w:t>万亿元，达到</w:t>
      </w:r>
      <w:r>
        <w:rPr>
          <w:rFonts w:ascii="Arial" w:eastAsia="Arial"/>
          <w:color w:val="404040"/>
        </w:rPr>
        <w:t>4.13</w:t>
      </w:r>
      <w:r>
        <w:rPr>
          <w:color w:val="404040"/>
        </w:rPr>
        <w:t>万亿元，比上年度增长了</w:t>
      </w:r>
      <w:r>
        <w:rPr>
          <w:rFonts w:ascii="Arial" w:eastAsia="Arial"/>
          <w:color w:val="404040"/>
        </w:rPr>
        <w:t>30%</w:t>
      </w:r>
      <w:r>
        <w:rPr>
          <w:color w:val="404040"/>
        </w:rPr>
        <w:t>，继续成为国内消费金额最大的银行。其中工行芯片银行卡的消费额达到了</w:t>
      </w:r>
      <w:r>
        <w:rPr>
          <w:rFonts w:ascii="Arial" w:eastAsia="Arial"/>
          <w:color w:val="404040"/>
        </w:rPr>
        <w:t>8724</w:t>
      </w:r>
      <w:r>
        <w:rPr>
          <w:color w:val="404040"/>
        </w:rPr>
        <w:t>亿元，比上年度大幅增长了</w:t>
      </w:r>
      <w:r>
        <w:rPr>
          <w:rFonts w:ascii="Arial" w:eastAsia="Arial"/>
          <w:color w:val="404040"/>
        </w:rPr>
        <w:t>163%</w:t>
      </w:r>
      <w:r>
        <w:rPr>
          <w:color w:val="404040"/>
        </w:rPr>
        <w:t>，有力地拉动了银行卡消费的快速增长。</w:t>
      </w:r>
    </w:p>
    <w:p>
      <w:pPr>
        <w:tabs>
          <w:tab w:val="left" w:pos="12940"/>
        </w:tabs>
        <w:spacing w:before="0" w:line="372" w:lineRule="exact"/>
        <w:ind w:left="1416" w:right="0" w:firstLine="0"/>
        <w:jc w:val="both"/>
        <w:rPr>
          <w:rFonts w:ascii="微软雅黑" w:eastAsia="微软雅黑" w:hint="eastAsia"/>
          <w:b/>
          <w:sz w:val="21"/>
        </w:rPr>
      </w:pPr>
      <w:r>
        <w:rPr>
          <w:color w:val="7E7E7E"/>
          <w:sz w:val="16"/>
        </w:rPr>
        <w:t>来源：根据市场公开数</w:t>
      </w:r>
      <w:r>
        <w:rPr>
          <w:color w:val="7E7E7E"/>
          <w:spacing w:val="-3"/>
          <w:sz w:val="16"/>
        </w:rPr>
        <w:t>据</w:t>
      </w:r>
      <w:r>
        <w:rPr>
          <w:color w:val="7E7E7E"/>
          <w:sz w:val="16"/>
        </w:rPr>
        <w:t>整理</w:t>
      </w:r>
      <w:r>
        <w:rPr>
          <w:color w:val="7E7E7E"/>
          <w:spacing w:val="-3"/>
          <w:sz w:val="16"/>
        </w:rPr>
        <w:t>，</w:t>
      </w:r>
      <w:r>
        <w:rPr>
          <w:color w:val="7E7E7E"/>
          <w:sz w:val="16"/>
        </w:rPr>
        <w:t>未经</w:t>
      </w:r>
      <w:r>
        <w:rPr>
          <w:color w:val="7E7E7E"/>
          <w:spacing w:val="-3"/>
          <w:sz w:val="16"/>
        </w:rPr>
        <w:t>艾</w:t>
      </w:r>
      <w:r>
        <w:rPr>
          <w:color w:val="7E7E7E"/>
          <w:sz w:val="16"/>
        </w:rPr>
        <w:t>瑞审</w:t>
      </w:r>
      <w:r>
        <w:rPr>
          <w:color w:val="7E7E7E"/>
          <w:spacing w:val="-3"/>
          <w:sz w:val="16"/>
        </w:rPr>
        <w:t>核</w:t>
      </w:r>
      <w:r>
        <w:rPr>
          <w:color w:val="7E7E7E"/>
          <w:sz w:val="16"/>
        </w:rPr>
        <w:t>，仅</w:t>
      </w:r>
      <w:r>
        <w:rPr>
          <w:color w:val="7E7E7E"/>
          <w:spacing w:val="-3"/>
          <w:sz w:val="16"/>
        </w:rPr>
        <w:t>供</w:t>
      </w:r>
      <w:r>
        <w:rPr>
          <w:color w:val="7E7E7E"/>
          <w:sz w:val="16"/>
        </w:rPr>
        <w:t>参考。</w:t>
        <w:tab/>
      </w:r>
      <w:r>
        <w:rPr>
          <w:rFonts w:ascii="微软雅黑" w:eastAsia="微软雅黑" w:hint="eastAsia"/>
          <w:b/>
          <w:color w:val="FFFFFF"/>
          <w:position w:val="6"/>
          <w:sz w:val="21"/>
          <w:shd w:val="clear" w:color="auto" w:fill="B1DB11"/>
        </w:rPr>
        <w:t xml:space="preserve">3  </w:t>
      </w:r>
      <w:r>
        <w:rPr>
          <w:rFonts w:ascii="微软雅黑" w:eastAsia="微软雅黑" w:hint="eastAsia"/>
          <w:b/>
          <w:color w:val="FFFFFF"/>
          <w:spacing w:val="20"/>
          <w:position w:val="6"/>
          <w:sz w:val="21"/>
          <w:shd w:val="clear" w:color="auto" w:fill="B1DB11"/>
        </w:rPr>
        <w:t xml:space="preserve"> </w:t>
      </w:r>
    </w:p>
    <w:p>
      <w:pPr>
        <w:spacing w:after="0" w:line="372" w:lineRule="exact"/>
        <w:jc w:val="both"/>
        <w:rPr>
          <w:rFonts w:ascii="微软雅黑" w:eastAsia="微软雅黑" w:hint="eastAsia"/>
          <w:sz w:val="21"/>
        </w:rPr>
        <w:sectPr>
          <w:headerReference w:type="default" r:id="rId6"/>
          <w:pgSz w:w="14400" w:h="10800" w:orient="landscape"/>
          <w:pgMar w:top="1060" w:right="460" w:bottom="280" w:left="260" w:header="266" w:footer="0"/>
          <w:pgNumType w:start="3"/>
          <w:cols w:space="708"/>
        </w:sectPr>
      </w:pPr>
    </w:p>
    <w:p>
      <w:pPr>
        <w:pStyle w:val="BodyText"/>
        <w:spacing w:before="15"/>
        <w:rPr>
          <w:rFonts w:ascii="微软雅黑"/>
          <w:b/>
          <w:sz w:val="9"/>
        </w:rPr>
      </w:pPr>
    </w:p>
    <w:p>
      <w:pPr>
        <w:pStyle w:val="Heading2"/>
        <w:spacing w:before="29"/>
      </w:pPr>
      <w:r>
        <w:t>建行正式启动电商平台</w:t>
      </w:r>
    </w:p>
    <w:p>
      <w:pPr>
        <w:pStyle w:val="BodyText"/>
        <w:spacing w:before="60" w:line="273" w:lineRule="auto"/>
        <w:ind w:left="1416" w:right="1285"/>
        <w:jc w:val="both"/>
      </w:pPr>
      <w:r>
        <w:rPr>
          <w:color w:val="404040"/>
        </w:rPr>
        <w:t>银行“触电”正在扩大化。</w:t>
      </w:r>
      <w:r>
        <w:rPr>
          <w:rFonts w:ascii="Arial" w:eastAsia="Arial" w:hAnsi="Arial"/>
          <w:color w:val="404040"/>
        </w:rPr>
        <w:t>1</w:t>
      </w:r>
      <w:r>
        <w:rPr>
          <w:color w:val="404040"/>
        </w:rPr>
        <w:t>月</w:t>
      </w:r>
      <w:r>
        <w:rPr>
          <w:rFonts w:ascii="Arial" w:eastAsia="Arial" w:hAnsi="Arial"/>
          <w:color w:val="404040"/>
        </w:rPr>
        <w:t>18</w:t>
      </w:r>
      <w:r>
        <w:rPr>
          <w:color w:val="404040"/>
        </w:rPr>
        <w:t>日，试运行半年的建行电子商务平台</w:t>
      </w:r>
      <w:r>
        <w:rPr>
          <w:rFonts w:ascii="Arial" w:eastAsia="Arial" w:hAnsi="Arial"/>
          <w:color w:val="404040"/>
        </w:rPr>
        <w:t>——</w:t>
      </w:r>
      <w:r>
        <w:rPr>
          <w:color w:val="404040"/>
        </w:rPr>
        <w:t>“善融商务”正式启动。在建行之外， 交行也推出了具有</w:t>
      </w:r>
      <w:r>
        <w:rPr>
          <w:rFonts w:ascii="Arial" w:eastAsia="Arial" w:hAnsi="Arial"/>
          <w:color w:val="404040"/>
        </w:rPr>
        <w:t>B2B</w:t>
      </w:r>
      <w:r>
        <w:rPr>
          <w:color w:val="404040"/>
        </w:rPr>
        <w:t>和</w:t>
      </w:r>
      <w:r>
        <w:rPr>
          <w:rFonts w:ascii="Arial" w:eastAsia="Arial" w:hAnsi="Arial"/>
          <w:color w:val="404040"/>
        </w:rPr>
        <w:t>B2C</w:t>
      </w:r>
      <w:r>
        <w:rPr>
          <w:color w:val="404040"/>
        </w:rPr>
        <w:t>两种电商模式的“交博汇”，中行尝试性地做了“云购物”平台；民生和中信银行正计划今年推出类似平台。</w:t>
      </w:r>
    </w:p>
    <w:p>
      <w:pPr>
        <w:pStyle w:val="BodyText"/>
        <w:spacing w:before="5"/>
        <w:rPr>
          <w:sz w:val="26"/>
        </w:rPr>
      </w:pPr>
    </w:p>
    <w:p>
      <w:pPr>
        <w:pStyle w:val="Heading2"/>
      </w:pPr>
      <w:r>
        <w:t>监管再议电商</w:t>
      </w:r>
      <w:r>
        <w:rPr>
          <w:rFonts w:ascii="Arial" w:eastAsia="Arial" w:hAnsi="Arial"/>
        </w:rPr>
        <w:t>“</w:t>
      </w:r>
      <w:r>
        <w:t>销售</w:t>
      </w:r>
      <w:r>
        <w:rPr>
          <w:rFonts w:ascii="Arial" w:eastAsia="Arial" w:hAnsi="Arial"/>
        </w:rPr>
        <w:t>”</w:t>
      </w:r>
      <w:r>
        <w:t>基金模式，区别于传统代销</w:t>
      </w:r>
    </w:p>
    <w:p>
      <w:pPr>
        <w:pStyle w:val="BodyText"/>
        <w:spacing w:before="24" w:line="271" w:lineRule="auto"/>
        <w:ind w:left="1416" w:right="1228"/>
      </w:pPr>
      <w:r>
        <w:rPr>
          <w:rFonts w:ascii="Arial" w:eastAsia="Arial"/>
          <w:color w:val="404040"/>
        </w:rPr>
        <w:t>1</w:t>
      </w:r>
      <w:r>
        <w:rPr>
          <w:color w:val="404040"/>
        </w:rPr>
        <w:t>月</w:t>
      </w:r>
      <w:r>
        <w:rPr>
          <w:rFonts w:ascii="Arial" w:eastAsia="Arial"/>
          <w:color w:val="404040"/>
        </w:rPr>
        <w:t>9</w:t>
      </w:r>
      <w:r>
        <w:rPr>
          <w:color w:val="404040"/>
        </w:rPr>
        <w:t>日，证监会基金监管部门再次召集各大电商，共同商讨基金在第三方平台销售的模式属性问题。目前看来，监管机构对淘宝和支付宝设计的业务模式已初步认可，不存在代销问题。</w:t>
      </w:r>
    </w:p>
    <w:p>
      <w:pPr>
        <w:pStyle w:val="BodyText"/>
        <w:rPr>
          <w:sz w:val="27"/>
        </w:rPr>
      </w:pPr>
    </w:p>
    <w:p>
      <w:pPr>
        <w:pStyle w:val="Heading2"/>
      </w:pPr>
      <w:r>
        <w:t>支付宝发布新版客户端“支付宝钱包”</w:t>
      </w:r>
    </w:p>
    <w:p>
      <w:pPr>
        <w:pStyle w:val="BodyText"/>
        <w:spacing w:before="22" w:line="271" w:lineRule="auto"/>
        <w:ind w:left="1416" w:right="1300"/>
      </w:pPr>
      <w:r>
        <w:rPr>
          <w:rFonts w:ascii="Arial" w:eastAsia="Arial" w:hAnsi="Arial"/>
          <w:color w:val="404040"/>
        </w:rPr>
        <w:t>2013</w:t>
      </w:r>
      <w:r>
        <w:rPr>
          <w:color w:val="404040"/>
        </w:rPr>
        <w:t>年</w:t>
      </w:r>
      <w:r>
        <w:rPr>
          <w:rFonts w:ascii="Arial" w:eastAsia="Arial" w:hAnsi="Arial"/>
          <w:color w:val="404040"/>
        </w:rPr>
        <w:t>1</w:t>
      </w:r>
      <w:r>
        <w:rPr>
          <w:color w:val="404040"/>
        </w:rPr>
        <w:t>月，支付宝正式发布了新版客户端“支付宝钱包”。新版客户端强调“电子钱包”概念，并在其中新增了优惠卡券管理及声波支付等功能。</w:t>
      </w:r>
    </w:p>
    <w:p>
      <w:pPr>
        <w:pStyle w:val="BodyText"/>
        <w:spacing w:before="12"/>
        <w:rPr>
          <w:sz w:val="26"/>
        </w:rPr>
      </w:pPr>
    </w:p>
    <w:p>
      <w:pPr>
        <w:pStyle w:val="Heading2"/>
      </w:pPr>
      <w:r>
        <w:t>中国银联发布供应链综合服务平台</w:t>
      </w:r>
    </w:p>
    <w:p>
      <w:pPr>
        <w:pStyle w:val="BodyText"/>
        <w:spacing w:before="23" w:line="273" w:lineRule="auto"/>
        <w:ind w:left="1416" w:right="1040"/>
      </w:pPr>
      <w:r>
        <w:rPr>
          <w:rFonts w:ascii="Arial" w:eastAsia="Arial" w:hAnsi="Arial"/>
          <w:color w:val="404040"/>
        </w:rPr>
        <w:t>1</w:t>
      </w:r>
      <w:r>
        <w:rPr>
          <w:color w:val="404040"/>
        </w:rPr>
        <w:t>月</w:t>
      </w:r>
      <w:r>
        <w:rPr>
          <w:rFonts w:ascii="Arial" w:eastAsia="Arial" w:hAnsi="Arial"/>
          <w:color w:val="404040"/>
        </w:rPr>
        <w:t>30</w:t>
      </w:r>
      <w:r>
        <w:rPr>
          <w:color w:val="404040"/>
        </w:rPr>
        <w:t>日，中国银联与中国快递协会双发共同发布了服务供应链各环节企业的新产品</w:t>
      </w:r>
      <w:r>
        <w:rPr>
          <w:rFonts w:ascii="Arial" w:eastAsia="Arial" w:hAnsi="Arial"/>
          <w:color w:val="404040"/>
        </w:rPr>
        <w:t>——</w:t>
      </w:r>
      <w:r>
        <w:rPr>
          <w:color w:val="404040"/>
        </w:rPr>
        <w:t>银联供应链综合服务平台。银联供应链综合服务平台由中国银联联合中国快递协会打造，通过物流、信息流、资金流多流合一的一体化服务平台，为供应链各环节商家和企业提供支付管理、账务管理、资金清算管理以及供应链信息协同等综合服务。</w:t>
      </w:r>
    </w:p>
    <w:p>
      <w:pPr>
        <w:pStyle w:val="BodyText"/>
        <w:spacing w:before="4"/>
        <w:rPr>
          <w:sz w:val="24"/>
        </w:rPr>
      </w:pPr>
    </w:p>
    <w:p>
      <w:pPr>
        <w:pStyle w:val="Heading2"/>
        <w:spacing w:before="28"/>
      </w:pPr>
      <w:r>
        <w:t>中信银行成立网络银行部</w:t>
      </w:r>
    </w:p>
    <w:p>
      <w:pPr>
        <w:pStyle w:val="BodyText"/>
        <w:spacing w:before="22" w:line="273" w:lineRule="auto"/>
        <w:ind w:left="1416" w:right="1251"/>
        <w:jc w:val="both"/>
      </w:pPr>
      <w:r>
        <w:rPr>
          <w:color w:val="404040"/>
        </w:rPr>
        <w:t>近日，中信银行成立网络银行部，并提出“再造一个网上中信银行”的目标。网络银行部是独立于对公条线和对私条线的部门，可以独立开展存贷汇业务。中信银行的网络银行还将突破远程开户和网络授信核查等关键技术难关， 重点突破电子商务、移动支付和网络贷款等产品领域。</w:t>
      </w:r>
    </w:p>
    <w:p>
      <w:pPr>
        <w:tabs>
          <w:tab w:val="left" w:pos="12940"/>
          <w:tab w:val="left" w:pos="13507"/>
        </w:tabs>
        <w:spacing w:before="218"/>
        <w:ind w:left="1416" w:right="0" w:firstLine="0"/>
        <w:jc w:val="left"/>
        <w:rPr>
          <w:rFonts w:ascii="微软雅黑" w:eastAsia="微软雅黑" w:hint="eastAsia"/>
          <w:b/>
          <w:sz w:val="21"/>
        </w:rPr>
      </w:pPr>
      <w:r>
        <w:rPr>
          <w:color w:val="7E7E7E"/>
          <w:sz w:val="16"/>
        </w:rPr>
        <w:t>来源：根据市场公开信</w:t>
      </w:r>
      <w:r>
        <w:rPr>
          <w:color w:val="7E7E7E"/>
          <w:spacing w:val="-3"/>
          <w:sz w:val="16"/>
        </w:rPr>
        <w:t>息</w:t>
      </w:r>
      <w:r>
        <w:rPr>
          <w:color w:val="7E7E7E"/>
          <w:sz w:val="16"/>
        </w:rPr>
        <w:t>整理</w:t>
      </w:r>
      <w:r>
        <w:rPr>
          <w:color w:val="7E7E7E"/>
          <w:spacing w:val="-3"/>
          <w:sz w:val="16"/>
        </w:rPr>
        <w:t>，</w:t>
      </w:r>
      <w:r>
        <w:rPr>
          <w:color w:val="7E7E7E"/>
          <w:sz w:val="16"/>
        </w:rPr>
        <w:t>仅供</w:t>
      </w:r>
      <w:r>
        <w:rPr>
          <w:color w:val="7E7E7E"/>
          <w:spacing w:val="-3"/>
          <w:sz w:val="16"/>
        </w:rPr>
        <w:t>参</w:t>
      </w:r>
      <w:r>
        <w:rPr>
          <w:color w:val="7E7E7E"/>
          <w:sz w:val="16"/>
        </w:rPr>
        <w:t>考。</w:t>
        <w:tab/>
      </w:r>
      <w:r>
        <w:rPr>
          <w:rFonts w:ascii="微软雅黑" w:eastAsia="微软雅黑" w:hint="eastAsia"/>
          <w:b/>
          <w:color w:val="FFFFFF"/>
          <w:position w:val="6"/>
          <w:sz w:val="21"/>
          <w:shd w:val="clear" w:color="auto" w:fill="B1DB11"/>
        </w:rPr>
        <w:t>4</w:t>
        <w:tab/>
      </w:r>
    </w:p>
    <w:p>
      <w:pPr>
        <w:spacing w:after="0"/>
        <w:jc w:val="left"/>
        <w:rPr>
          <w:rFonts w:ascii="微软雅黑" w:eastAsia="微软雅黑" w:hint="eastAsia"/>
          <w:sz w:val="21"/>
        </w:rPr>
        <w:sectPr>
          <w:headerReference w:type="default" r:id="rId7"/>
          <w:pgSz w:w="14400" w:h="10800" w:orient="landscape"/>
          <w:pgMar w:top="1060" w:right="460" w:bottom="280" w:left="260" w:header="266" w:footer="0"/>
          <w:pgNumType w:start="4"/>
          <w:cols w:space="708"/>
        </w:sectPr>
      </w:pPr>
    </w:p>
    <w:p>
      <w:pPr>
        <w:pStyle w:val="BodyText"/>
        <w:spacing w:before="15"/>
        <w:rPr>
          <w:rFonts w:ascii="微软雅黑"/>
          <w:b/>
          <w:sz w:val="9"/>
        </w:rPr>
      </w:pPr>
    </w:p>
    <w:p>
      <w:pPr>
        <w:pStyle w:val="Heading2"/>
        <w:spacing w:before="29"/>
      </w:pPr>
      <w:r>
        <w:rPr>
          <w:rFonts w:ascii="Arial" w:eastAsia="Arial"/>
        </w:rPr>
        <w:t>Google Wallet</w:t>
      </w:r>
      <w:r>
        <w:t>再度更新</w:t>
      </w:r>
    </w:p>
    <w:p>
      <w:pPr>
        <w:pStyle w:val="BodyText"/>
        <w:spacing w:before="60" w:line="273" w:lineRule="auto"/>
        <w:ind w:left="1416" w:right="1159"/>
      </w:pPr>
      <w:r>
        <w:rPr>
          <w:rFonts w:ascii="Arial" w:eastAsia="Arial"/>
          <w:color w:val="404040"/>
        </w:rPr>
        <w:t>2013</w:t>
      </w:r>
      <w:r>
        <w:rPr>
          <w:color w:val="404040"/>
        </w:rPr>
        <w:t>年</w:t>
      </w:r>
      <w:r>
        <w:rPr>
          <w:rFonts w:ascii="Arial" w:eastAsia="Arial"/>
          <w:color w:val="404040"/>
        </w:rPr>
        <w:t>1</w:t>
      </w:r>
      <w:r>
        <w:rPr>
          <w:color w:val="404040"/>
          <w:spacing w:val="-1"/>
        </w:rPr>
        <w:t>月，谷歌发布了全新的</w:t>
      </w:r>
      <w:r>
        <w:rPr>
          <w:rFonts w:ascii="Arial" w:eastAsia="Arial"/>
          <w:color w:val="404040"/>
        </w:rPr>
        <w:t>Google</w:t>
      </w:r>
      <w:r>
        <w:rPr>
          <w:rFonts w:ascii="Arial" w:eastAsia="Arial"/>
          <w:color w:val="404040"/>
          <w:spacing w:val="2"/>
        </w:rPr>
        <w:t xml:space="preserve">  </w:t>
      </w:r>
      <w:r>
        <w:rPr>
          <w:rFonts w:ascii="Arial" w:eastAsia="Arial"/>
          <w:color w:val="404040"/>
        </w:rPr>
        <w:t>Wallet</w:t>
      </w:r>
      <w:r>
        <w:rPr>
          <w:color w:val="404040"/>
          <w:spacing w:val="-2"/>
        </w:rPr>
        <w:t>，更新了应用界面及</w:t>
      </w:r>
      <w:r>
        <w:rPr>
          <w:rFonts w:ascii="Arial" w:eastAsia="Arial"/>
          <w:color w:val="404040"/>
        </w:rPr>
        <w:t>UI</w:t>
      </w:r>
      <w:r>
        <w:rPr>
          <w:color w:val="404040"/>
          <w:spacing w:val="-1"/>
        </w:rPr>
        <w:t>标准。而在</w:t>
      </w:r>
      <w:r>
        <w:rPr>
          <w:rFonts w:ascii="Arial" w:eastAsia="Arial"/>
          <w:color w:val="404040"/>
        </w:rPr>
        <w:t>2012</w:t>
      </w:r>
      <w:r>
        <w:rPr>
          <w:color w:val="404040"/>
          <w:spacing w:val="-3"/>
        </w:rPr>
        <w:t>年月至今，在可加载的银行卡、适用机型等方面，</w:t>
      </w:r>
      <w:r>
        <w:rPr>
          <w:rFonts w:ascii="Arial" w:eastAsia="Arial"/>
          <w:color w:val="404040"/>
          <w:spacing w:val="-3"/>
        </w:rPr>
        <w:t>Google</w:t>
      </w:r>
      <w:r>
        <w:rPr>
          <w:rFonts w:ascii="Arial" w:eastAsia="Arial"/>
          <w:color w:val="404040"/>
          <w:spacing w:val="-6"/>
        </w:rPr>
        <w:t xml:space="preserve"> </w:t>
      </w:r>
      <w:r>
        <w:rPr>
          <w:rFonts w:ascii="Arial" w:eastAsia="Arial"/>
          <w:color w:val="404040"/>
        </w:rPr>
        <w:t>Wallet</w:t>
      </w:r>
      <w:r>
        <w:rPr>
          <w:color w:val="404040"/>
          <w:spacing w:val="-3"/>
        </w:rPr>
        <w:t>做出了更多的努力。目前，</w:t>
      </w:r>
      <w:r>
        <w:rPr>
          <w:rFonts w:ascii="Arial" w:eastAsia="Arial"/>
          <w:color w:val="404040"/>
        </w:rPr>
        <w:t>Google</w:t>
      </w:r>
      <w:r>
        <w:rPr>
          <w:rFonts w:ascii="Arial" w:eastAsia="Arial"/>
          <w:color w:val="404040"/>
          <w:spacing w:val="-5"/>
        </w:rPr>
        <w:t xml:space="preserve"> </w:t>
      </w:r>
      <w:r>
        <w:rPr>
          <w:rFonts w:ascii="Arial" w:eastAsia="Arial"/>
          <w:color w:val="404040"/>
        </w:rPr>
        <w:t>Wallet</w:t>
      </w:r>
      <w:r>
        <w:rPr>
          <w:color w:val="404040"/>
          <w:spacing w:val="-1"/>
        </w:rPr>
        <w:t>已经可以支持</w:t>
      </w:r>
      <w:r>
        <w:rPr>
          <w:rFonts w:ascii="Arial" w:eastAsia="Arial"/>
          <w:color w:val="404040"/>
        </w:rPr>
        <w:t>Visa</w:t>
      </w:r>
      <w:r>
        <w:rPr>
          <w:color w:val="404040"/>
        </w:rPr>
        <w:t>、</w:t>
      </w:r>
      <w:r>
        <w:rPr>
          <w:rFonts w:ascii="Arial" w:eastAsia="Arial"/>
          <w:color w:val="404040"/>
        </w:rPr>
        <w:t>Discover</w:t>
      </w:r>
      <w:r>
        <w:rPr>
          <w:color w:val="404040"/>
        </w:rPr>
        <w:t>、</w:t>
      </w:r>
      <w:r>
        <w:rPr>
          <w:rFonts w:ascii="Arial" w:eastAsia="Arial"/>
          <w:color w:val="404040"/>
        </w:rPr>
        <w:t>American</w:t>
      </w:r>
      <w:r>
        <w:rPr>
          <w:rFonts w:ascii="Arial" w:eastAsia="Arial"/>
          <w:color w:val="404040"/>
          <w:spacing w:val="-3"/>
        </w:rPr>
        <w:t xml:space="preserve"> </w:t>
      </w:r>
      <w:r>
        <w:rPr>
          <w:rFonts w:ascii="Arial" w:eastAsia="Arial"/>
          <w:color w:val="404040"/>
        </w:rPr>
        <w:t>Express</w:t>
      </w:r>
      <w:r>
        <w:rPr>
          <w:color w:val="404040"/>
          <w:spacing w:val="-3"/>
        </w:rPr>
        <w:t>等发卡企业发型的所有信用卡、借记卡；适配机型方面，目前包括</w:t>
      </w:r>
      <w:r>
        <w:rPr>
          <w:rFonts w:ascii="Arial" w:eastAsia="Arial"/>
          <w:color w:val="404040"/>
        </w:rPr>
        <w:t>Samsung</w:t>
      </w:r>
      <w:r>
        <w:rPr>
          <w:rFonts w:ascii="Arial" w:eastAsia="Arial"/>
          <w:color w:val="404040"/>
          <w:spacing w:val="-6"/>
        </w:rPr>
        <w:t xml:space="preserve"> </w:t>
      </w:r>
      <w:r>
        <w:rPr>
          <w:rFonts w:ascii="Arial" w:eastAsia="Arial"/>
          <w:color w:val="404040"/>
        </w:rPr>
        <w:t>Galaxy</w:t>
      </w:r>
      <w:r>
        <w:rPr>
          <w:rFonts w:ascii="Arial" w:eastAsia="Arial"/>
          <w:color w:val="404040"/>
          <w:spacing w:val="-1"/>
        </w:rPr>
        <w:t xml:space="preserve"> </w:t>
      </w:r>
      <w:r>
        <w:rPr>
          <w:rFonts w:ascii="Arial" w:eastAsia="Arial"/>
          <w:color w:val="404040"/>
        </w:rPr>
        <w:t>S3, Samsung</w:t>
      </w:r>
      <w:r>
        <w:rPr>
          <w:rFonts w:ascii="Arial" w:eastAsia="Arial"/>
          <w:color w:val="404040"/>
          <w:spacing w:val="-2"/>
        </w:rPr>
        <w:t xml:space="preserve"> </w:t>
      </w:r>
      <w:r>
        <w:rPr>
          <w:rFonts w:ascii="Arial" w:eastAsia="Arial"/>
          <w:color w:val="404040"/>
        </w:rPr>
        <w:t>Galaxy</w:t>
      </w:r>
      <w:r>
        <w:rPr>
          <w:rFonts w:ascii="Arial" w:eastAsia="Arial"/>
          <w:color w:val="404040"/>
          <w:spacing w:val="-3"/>
        </w:rPr>
        <w:t xml:space="preserve"> </w:t>
      </w:r>
      <w:r>
        <w:rPr>
          <w:rFonts w:ascii="Arial" w:eastAsia="Arial"/>
          <w:color w:val="404040"/>
        </w:rPr>
        <w:t>Nexus</w:t>
      </w:r>
      <w:r>
        <w:rPr>
          <w:color w:val="404040"/>
        </w:rPr>
        <w:t>、</w:t>
      </w:r>
      <w:r>
        <w:rPr>
          <w:rFonts w:ascii="Arial" w:eastAsia="Arial"/>
          <w:color w:val="404040"/>
        </w:rPr>
        <w:t>LG</w:t>
      </w:r>
      <w:r>
        <w:rPr>
          <w:rFonts w:ascii="Arial" w:eastAsia="Arial"/>
          <w:color w:val="404040"/>
          <w:spacing w:val="-1"/>
        </w:rPr>
        <w:t xml:space="preserve"> </w:t>
      </w:r>
      <w:r>
        <w:rPr>
          <w:rFonts w:ascii="Arial" w:eastAsia="Arial"/>
          <w:color w:val="404040"/>
        </w:rPr>
        <w:t>Viper</w:t>
      </w:r>
      <w:r>
        <w:rPr>
          <w:color w:val="404040"/>
        </w:rPr>
        <w:t>、</w:t>
      </w:r>
      <w:r>
        <w:rPr>
          <w:rFonts w:ascii="Arial" w:eastAsia="Arial"/>
          <w:color w:val="404040"/>
        </w:rPr>
        <w:t>LG</w:t>
      </w:r>
      <w:r>
        <w:rPr>
          <w:rFonts w:ascii="Arial" w:eastAsia="Arial"/>
          <w:color w:val="404040"/>
          <w:spacing w:val="-4"/>
        </w:rPr>
        <w:t xml:space="preserve"> </w:t>
      </w:r>
      <w:r>
        <w:rPr>
          <w:rFonts w:ascii="Arial" w:eastAsia="Arial"/>
          <w:color w:val="404040"/>
        </w:rPr>
        <w:t>Optimus</w:t>
      </w:r>
      <w:r>
        <w:rPr>
          <w:rFonts w:ascii="Arial" w:eastAsia="Arial"/>
          <w:color w:val="404040"/>
          <w:spacing w:val="1"/>
        </w:rPr>
        <w:t xml:space="preserve"> </w:t>
      </w:r>
      <w:r>
        <w:rPr>
          <w:rFonts w:ascii="Arial" w:eastAsia="Arial"/>
          <w:color w:val="404040"/>
        </w:rPr>
        <w:t>Elite</w:t>
      </w:r>
      <w:r>
        <w:rPr>
          <w:color w:val="404040"/>
        </w:rPr>
        <w:t>及</w:t>
      </w:r>
      <w:r>
        <w:rPr>
          <w:rFonts w:ascii="Arial" w:eastAsia="Arial"/>
          <w:color w:val="404040"/>
        </w:rPr>
        <w:t>HTC</w:t>
      </w:r>
      <w:r>
        <w:rPr>
          <w:rFonts w:ascii="Arial" w:eastAsia="Arial"/>
          <w:color w:val="404040"/>
          <w:spacing w:val="-1"/>
        </w:rPr>
        <w:t xml:space="preserve"> </w:t>
      </w:r>
      <w:r>
        <w:rPr>
          <w:rFonts w:ascii="Arial" w:eastAsia="Arial"/>
          <w:color w:val="404040"/>
        </w:rPr>
        <w:t>EVO 4G</w:t>
      </w:r>
      <w:r>
        <w:rPr>
          <w:color w:val="404040"/>
          <w:spacing w:val="-3"/>
        </w:rPr>
        <w:t>等</w:t>
      </w:r>
      <w:r>
        <w:rPr>
          <w:rFonts w:ascii="Arial" w:eastAsia="Arial"/>
          <w:color w:val="404040"/>
        </w:rPr>
        <w:t>8</w:t>
      </w:r>
      <w:r>
        <w:rPr>
          <w:color w:val="404040"/>
          <w:spacing w:val="-3"/>
        </w:rPr>
        <w:t>款移动终端；合作运营商拓展至</w:t>
      </w:r>
      <w:r>
        <w:rPr>
          <w:rFonts w:ascii="Arial" w:eastAsia="Arial"/>
          <w:color w:val="404040"/>
        </w:rPr>
        <w:t>Sprint</w:t>
      </w:r>
      <w:r>
        <w:rPr>
          <w:color w:val="404040"/>
        </w:rPr>
        <w:t>、</w:t>
      </w:r>
      <w:r>
        <w:rPr>
          <w:rFonts w:ascii="Arial" w:eastAsia="Arial"/>
          <w:color w:val="404040"/>
        </w:rPr>
        <w:t>Virgin</w:t>
      </w:r>
      <w:r>
        <w:rPr>
          <w:color w:val="404040"/>
        </w:rPr>
        <w:t>、</w:t>
      </w:r>
      <w:r>
        <w:rPr>
          <w:rFonts w:ascii="Arial" w:eastAsia="Arial"/>
          <w:color w:val="404040"/>
        </w:rPr>
        <w:t>AT&amp;T</w:t>
      </w:r>
      <w:r>
        <w:rPr>
          <w:color w:val="404040"/>
        </w:rPr>
        <w:t>、</w:t>
      </w:r>
      <w:r>
        <w:rPr>
          <w:rFonts w:ascii="Arial" w:eastAsia="Arial"/>
          <w:color w:val="404040"/>
        </w:rPr>
        <w:t>T-Mobile</w:t>
      </w:r>
      <w:r>
        <w:rPr>
          <w:color w:val="404040"/>
        </w:rPr>
        <w:t>等。</w:t>
      </w:r>
    </w:p>
    <w:p>
      <w:pPr>
        <w:pStyle w:val="BodyText"/>
        <w:spacing w:before="3"/>
        <w:rPr>
          <w:sz w:val="26"/>
        </w:rPr>
      </w:pPr>
    </w:p>
    <w:p>
      <w:pPr>
        <w:pStyle w:val="Heading2"/>
      </w:pPr>
      <w:r>
        <w:rPr>
          <w:rFonts w:ascii="Arial" w:eastAsia="Arial"/>
        </w:rPr>
        <w:t>Square</w:t>
      </w:r>
      <w:r>
        <w:t>取消刷卡固定收费</w:t>
      </w:r>
    </w:p>
    <w:p>
      <w:pPr>
        <w:pStyle w:val="BodyText"/>
        <w:spacing w:before="22" w:line="273" w:lineRule="auto"/>
        <w:ind w:left="1416" w:right="1215"/>
      </w:pPr>
      <w:r>
        <w:rPr>
          <w:rFonts w:ascii="Arial" w:eastAsia="Arial"/>
          <w:color w:val="404040"/>
        </w:rPr>
        <w:t>Square</w:t>
      </w:r>
      <w:r>
        <w:rPr>
          <w:color w:val="404040"/>
        </w:rPr>
        <w:t>宣布取消商户每次刷卡时的</w:t>
      </w:r>
      <w:r>
        <w:rPr>
          <w:rFonts w:ascii="Arial" w:eastAsia="Arial"/>
          <w:color w:val="404040"/>
        </w:rPr>
        <w:t>15</w:t>
      </w:r>
      <w:r>
        <w:rPr>
          <w:color w:val="404040"/>
        </w:rPr>
        <w:t>美分固定费用，将只需要支付相当于支付金额</w:t>
      </w:r>
      <w:r>
        <w:rPr>
          <w:rFonts w:ascii="Arial" w:eastAsia="Arial"/>
          <w:color w:val="404040"/>
        </w:rPr>
        <w:t>2.75%</w:t>
      </w:r>
      <w:r>
        <w:rPr>
          <w:color w:val="404040"/>
        </w:rPr>
        <w:t>的手续费。目前，除了按支付金额收取手续费之外，</w:t>
      </w:r>
      <w:r>
        <w:rPr>
          <w:rFonts w:ascii="Arial" w:eastAsia="Arial"/>
          <w:color w:val="404040"/>
        </w:rPr>
        <w:t>GoPayment</w:t>
      </w:r>
      <w:r>
        <w:rPr>
          <w:color w:val="404040"/>
        </w:rPr>
        <w:t>、</w:t>
      </w:r>
      <w:r>
        <w:rPr>
          <w:rFonts w:ascii="Arial" w:eastAsia="Arial"/>
          <w:color w:val="404040"/>
        </w:rPr>
        <w:t>Payware</w:t>
      </w:r>
      <w:r>
        <w:rPr>
          <w:color w:val="404040"/>
        </w:rPr>
        <w:t>等服务商分别收取每次交易</w:t>
      </w:r>
      <w:r>
        <w:rPr>
          <w:rFonts w:ascii="Arial" w:eastAsia="Arial"/>
          <w:color w:val="404040"/>
        </w:rPr>
        <w:t>15</w:t>
      </w:r>
      <w:r>
        <w:rPr>
          <w:color w:val="404040"/>
        </w:rPr>
        <w:t>美分和</w:t>
      </w:r>
      <w:r>
        <w:rPr>
          <w:rFonts w:ascii="Arial" w:eastAsia="Arial"/>
          <w:color w:val="404040"/>
        </w:rPr>
        <w:t>17</w:t>
      </w:r>
      <w:r>
        <w:rPr>
          <w:color w:val="404040"/>
        </w:rPr>
        <w:t>美分的固定费用。</w:t>
      </w:r>
    </w:p>
    <w:p>
      <w:pPr>
        <w:pStyle w:val="BodyText"/>
        <w:spacing w:before="7"/>
        <w:rPr>
          <w:sz w:val="26"/>
        </w:rPr>
      </w:pPr>
    </w:p>
    <w:p>
      <w:pPr>
        <w:pStyle w:val="Heading2"/>
      </w:pPr>
      <w:r>
        <w:rPr>
          <w:rFonts w:ascii="Arial" w:eastAsia="Arial"/>
        </w:rPr>
        <w:t>Visa</w:t>
      </w:r>
      <w:r>
        <w:t>移动支付进驻德国</w:t>
      </w:r>
      <w:r>
        <w:rPr>
          <w:rFonts w:ascii="Arial" w:eastAsia="Arial"/>
        </w:rPr>
        <w:t>Douglas</w:t>
      </w:r>
      <w:r>
        <w:t>旗下</w:t>
      </w:r>
      <w:r>
        <w:rPr>
          <w:rFonts w:ascii="Arial" w:eastAsia="Arial"/>
        </w:rPr>
        <w:t>1500</w:t>
      </w:r>
      <w:r>
        <w:t>家连锁店</w:t>
      </w:r>
    </w:p>
    <w:p>
      <w:pPr>
        <w:pStyle w:val="BodyText"/>
        <w:spacing w:before="24" w:line="271" w:lineRule="auto"/>
        <w:ind w:left="1416" w:right="1071"/>
      </w:pPr>
      <w:r>
        <w:rPr>
          <w:rFonts w:ascii="Arial" w:eastAsia="Arial"/>
          <w:color w:val="404040"/>
          <w:spacing w:val="-1"/>
        </w:rPr>
        <w:t>Douglas</w:t>
      </w:r>
      <w:r>
        <w:rPr>
          <w:color w:val="404040"/>
          <w:spacing w:val="-2"/>
        </w:rPr>
        <w:t>集团在欧洲拥有</w:t>
      </w:r>
      <w:r>
        <w:rPr>
          <w:rFonts w:ascii="Arial" w:eastAsia="Arial"/>
          <w:color w:val="404040"/>
        </w:rPr>
        <w:t>1500</w:t>
      </w:r>
      <w:r>
        <w:rPr>
          <w:color w:val="404040"/>
          <w:spacing w:val="-3"/>
        </w:rPr>
        <w:t>家连锁店，该公司透露，将在其德国境内所有的连锁店中受理</w:t>
      </w:r>
      <w:r>
        <w:rPr>
          <w:rFonts w:ascii="Arial" w:eastAsia="Arial"/>
          <w:color w:val="404040"/>
        </w:rPr>
        <w:t>Visa</w:t>
      </w:r>
      <w:r>
        <w:rPr>
          <w:color w:val="404040"/>
          <w:spacing w:val="-2"/>
        </w:rPr>
        <w:t>的非接和移动支付。</w:t>
      </w:r>
      <w:r>
        <w:rPr>
          <w:color w:val="404040"/>
          <w:spacing w:val="-3"/>
        </w:rPr>
        <w:t>这里所谓的非接和移动支付是指</w:t>
      </w:r>
      <w:r>
        <w:rPr>
          <w:rFonts w:ascii="Arial" w:eastAsia="Arial"/>
          <w:color w:val="404040"/>
        </w:rPr>
        <w:t>Visa</w:t>
      </w:r>
      <w:r>
        <w:rPr>
          <w:color w:val="404040"/>
        </w:rPr>
        <w:t>的</w:t>
      </w:r>
      <w:r>
        <w:rPr>
          <w:rFonts w:ascii="Arial" w:eastAsia="Arial"/>
          <w:color w:val="404040"/>
        </w:rPr>
        <w:t>payWave</w:t>
      </w:r>
      <w:r>
        <w:rPr>
          <w:color w:val="404040"/>
          <w:spacing w:val="-3"/>
        </w:rPr>
        <w:t>技术，允许消费者在支付</w:t>
      </w:r>
      <w:r>
        <w:rPr>
          <w:rFonts w:ascii="Arial" w:eastAsia="Arial"/>
          <w:color w:val="404040"/>
        </w:rPr>
        <w:t>25</w:t>
      </w:r>
      <w:r>
        <w:rPr>
          <w:color w:val="404040"/>
          <w:spacing w:val="-3"/>
        </w:rPr>
        <w:t>欧元以下的物品时无需输入</w:t>
      </w:r>
      <w:r>
        <w:rPr>
          <w:rFonts w:ascii="Arial" w:eastAsia="Arial"/>
          <w:color w:val="404040"/>
        </w:rPr>
        <w:t>PIN</w:t>
      </w:r>
      <w:r>
        <w:rPr>
          <w:color w:val="404040"/>
        </w:rPr>
        <w:t xml:space="preserve">码或者 </w:t>
      </w:r>
      <w:r>
        <w:rPr>
          <w:color w:val="404040"/>
          <w:spacing w:val="-3"/>
        </w:rPr>
        <w:t>签名。消费者只需要持有非接触卡或者智能手机在终端前进行点触，就可在一秒内完成支付。</w:t>
      </w:r>
    </w:p>
    <w:p>
      <w:pPr>
        <w:pStyle w:val="BodyText"/>
        <w:spacing w:before="1"/>
        <w:rPr>
          <w:sz w:val="27"/>
        </w:rPr>
      </w:pPr>
    </w:p>
    <w:p>
      <w:pPr>
        <w:pStyle w:val="Heading2"/>
      </w:pPr>
      <w:r>
        <w:rPr>
          <w:rFonts w:ascii="Arial" w:eastAsia="Arial"/>
        </w:rPr>
        <w:t>Orange</w:t>
      </w:r>
      <w:r>
        <w:t>与</w:t>
      </w:r>
      <w:r>
        <w:rPr>
          <w:rFonts w:ascii="Arial" w:eastAsia="Arial"/>
        </w:rPr>
        <w:t>MFS</w:t>
      </w:r>
      <w:r>
        <w:t>合作在非洲马里推国际手机货币转账服务</w:t>
      </w:r>
    </w:p>
    <w:p>
      <w:pPr>
        <w:pStyle w:val="BodyText"/>
        <w:spacing w:before="22"/>
        <w:ind w:left="1416"/>
        <w:jc w:val="both"/>
      </w:pPr>
      <w:r>
        <w:rPr>
          <w:color w:val="404040"/>
        </w:rPr>
        <w:t>法电</w:t>
      </w:r>
      <w:r>
        <w:rPr>
          <w:rFonts w:ascii="Arial" w:eastAsia="Arial"/>
          <w:color w:val="404040"/>
        </w:rPr>
        <w:t>Orange</w:t>
      </w:r>
      <w:r>
        <w:rPr>
          <w:color w:val="404040"/>
        </w:rPr>
        <w:t>与非洲技术提供者</w:t>
      </w:r>
      <w:r>
        <w:rPr>
          <w:rFonts w:ascii="Arial" w:eastAsia="Arial"/>
          <w:color w:val="404040"/>
        </w:rPr>
        <w:t>MFS</w:t>
      </w:r>
      <w:r>
        <w:rPr>
          <w:color w:val="404040"/>
        </w:rPr>
        <w:t>非洲（</w:t>
      </w:r>
      <w:r>
        <w:rPr>
          <w:rFonts w:ascii="Arial" w:eastAsia="Arial"/>
          <w:color w:val="404040"/>
        </w:rPr>
        <w:t>MFS Africa</w:t>
      </w:r>
      <w:r>
        <w:rPr>
          <w:color w:val="404040"/>
        </w:rPr>
        <w:t>）取得合作，共同为非洲马里提供国际</w:t>
      </w:r>
      <w:r>
        <w:rPr>
          <w:rFonts w:ascii="Arial" w:eastAsia="Arial"/>
          <w:color w:val="404040"/>
        </w:rPr>
        <w:t>Orange</w:t>
      </w:r>
      <w:r>
        <w:rPr>
          <w:color w:val="404040"/>
        </w:rPr>
        <w:t>货币转账服务</w:t>
      </w:r>
    </w:p>
    <w:p>
      <w:pPr>
        <w:pStyle w:val="BodyText"/>
        <w:spacing w:before="39" w:line="271" w:lineRule="auto"/>
        <w:ind w:left="1416" w:right="1320"/>
        <w:jc w:val="both"/>
      </w:pPr>
      <w:r>
        <w:rPr>
          <w:color w:val="404040"/>
        </w:rPr>
        <w:t>（</w:t>
      </w:r>
      <w:r>
        <w:rPr>
          <w:rFonts w:ascii="Arial" w:eastAsia="Arial" w:hAnsi="Arial"/>
          <w:color w:val="404040"/>
        </w:rPr>
        <w:t xml:space="preserve">Orange Money Transfer International </w:t>
      </w:r>
      <w:r>
        <w:rPr>
          <w:color w:val="404040"/>
        </w:rPr>
        <w:t>简称“</w:t>
      </w:r>
      <w:r>
        <w:rPr>
          <w:rFonts w:ascii="Arial" w:eastAsia="Arial" w:hAnsi="Arial"/>
          <w:color w:val="404040"/>
        </w:rPr>
        <w:t>OMTI</w:t>
      </w:r>
      <w:r>
        <w:rPr>
          <w:color w:val="404040"/>
        </w:rPr>
        <w:t>”），</w:t>
      </w:r>
      <w:r>
        <w:rPr>
          <w:color w:val="404040"/>
          <w:spacing w:val="-3"/>
        </w:rPr>
        <w:t>消费者将可以在马里使用</w:t>
      </w:r>
      <w:r>
        <w:rPr>
          <w:rFonts w:ascii="Arial" w:eastAsia="Arial" w:hAnsi="Arial"/>
          <w:color w:val="404040"/>
        </w:rPr>
        <w:t>Orange Money</w:t>
      </w:r>
      <w:r>
        <w:rPr>
          <w:color w:val="404040"/>
        </w:rPr>
        <w:t>电子钱包。协议之下，马里</w:t>
      </w:r>
      <w:r>
        <w:rPr>
          <w:rFonts w:ascii="Arial" w:eastAsia="Arial" w:hAnsi="Arial"/>
          <w:color w:val="404040"/>
        </w:rPr>
        <w:t>Orange Money</w:t>
      </w:r>
      <w:r>
        <w:rPr>
          <w:color w:val="404040"/>
          <w:spacing w:val="-3"/>
        </w:rPr>
        <w:t>的消费者将可以直接通过国际汇款的方式为其电子钱包账户充值。为了能在马里进行资金转账，消费者必须在</w:t>
      </w:r>
      <w:r>
        <w:rPr>
          <w:rFonts w:ascii="Arial" w:eastAsia="Arial" w:hAnsi="Arial"/>
          <w:color w:val="404040"/>
          <w:spacing w:val="-3"/>
        </w:rPr>
        <w:t>OMTI</w:t>
      </w:r>
      <w:r>
        <w:rPr>
          <w:color w:val="404040"/>
          <w:spacing w:val="-3"/>
        </w:rPr>
        <w:t>门户中注册，使用它们的银行卡账户进行支付，汇款资金可以通过手机进行接收。</w:t>
      </w:r>
    </w:p>
    <w:p>
      <w:pPr>
        <w:pStyle w:val="BodyText"/>
        <w:rPr>
          <w:sz w:val="20"/>
        </w:rPr>
      </w:pPr>
    </w:p>
    <w:p>
      <w:pPr>
        <w:pStyle w:val="BodyText"/>
        <w:rPr>
          <w:sz w:val="20"/>
        </w:rPr>
      </w:pPr>
    </w:p>
    <w:p>
      <w:pPr>
        <w:pStyle w:val="BodyText"/>
        <w:spacing w:before="9"/>
        <w:rPr>
          <w:sz w:val="17"/>
        </w:rPr>
      </w:pPr>
    </w:p>
    <w:p>
      <w:pPr>
        <w:tabs>
          <w:tab w:val="left" w:pos="12940"/>
          <w:tab w:val="left" w:pos="13507"/>
        </w:tabs>
        <w:spacing w:before="47"/>
        <w:ind w:left="1416" w:right="0" w:firstLine="0"/>
        <w:jc w:val="left"/>
        <w:rPr>
          <w:rFonts w:ascii="微软雅黑" w:eastAsia="微软雅黑" w:hint="eastAsia"/>
          <w:b/>
          <w:sz w:val="21"/>
        </w:rPr>
      </w:pPr>
      <w:r>
        <w:rPr>
          <w:color w:val="7E7E7E"/>
          <w:sz w:val="16"/>
        </w:rPr>
        <w:t>来源：根据市场公开信</w:t>
      </w:r>
      <w:r>
        <w:rPr>
          <w:color w:val="7E7E7E"/>
          <w:spacing w:val="-3"/>
          <w:sz w:val="16"/>
        </w:rPr>
        <w:t>息</w:t>
      </w:r>
      <w:r>
        <w:rPr>
          <w:color w:val="7E7E7E"/>
          <w:sz w:val="16"/>
        </w:rPr>
        <w:t>整理</w:t>
      </w:r>
      <w:r>
        <w:rPr>
          <w:color w:val="7E7E7E"/>
          <w:spacing w:val="-3"/>
          <w:sz w:val="16"/>
        </w:rPr>
        <w:t>，</w:t>
      </w:r>
      <w:r>
        <w:rPr>
          <w:color w:val="7E7E7E"/>
          <w:sz w:val="16"/>
        </w:rPr>
        <w:t>仅供</w:t>
      </w:r>
      <w:r>
        <w:rPr>
          <w:color w:val="7E7E7E"/>
          <w:spacing w:val="-3"/>
          <w:sz w:val="16"/>
        </w:rPr>
        <w:t>参</w:t>
      </w:r>
      <w:r>
        <w:rPr>
          <w:color w:val="7E7E7E"/>
          <w:sz w:val="16"/>
        </w:rPr>
        <w:t>考。</w:t>
        <w:tab/>
      </w:r>
      <w:r>
        <w:rPr>
          <w:rFonts w:ascii="微软雅黑" w:eastAsia="微软雅黑" w:hint="eastAsia"/>
          <w:b/>
          <w:color w:val="FFFFFF"/>
          <w:position w:val="6"/>
          <w:sz w:val="21"/>
          <w:shd w:val="clear" w:color="auto" w:fill="B1DB11"/>
        </w:rPr>
        <w:t>5</w:t>
        <w:tab/>
      </w:r>
    </w:p>
    <w:p>
      <w:pPr>
        <w:spacing w:after="0"/>
        <w:jc w:val="left"/>
        <w:rPr>
          <w:rFonts w:ascii="微软雅黑" w:eastAsia="微软雅黑" w:hint="eastAsia"/>
          <w:sz w:val="21"/>
        </w:rPr>
        <w:sectPr>
          <w:headerReference w:type="default" r:id="rId8"/>
          <w:pgSz w:w="14400" w:h="10800" w:orient="landscape"/>
          <w:pgMar w:top="1060" w:right="460" w:bottom="280" w:left="260" w:header="266" w:footer="0"/>
          <w:pgNumType w:start="5"/>
          <w:cols w:space="708"/>
        </w:sectPr>
      </w:pPr>
    </w:p>
    <w:p>
      <w:pPr>
        <w:pStyle w:val="BodyText"/>
        <w:rPr>
          <w:rFonts w:ascii="微软雅黑"/>
          <w:b/>
          <w:sz w:val="20"/>
        </w:rPr>
      </w:pPr>
      <w:r>
        <w:pict>
          <v:group id="_x0000_s1034" style="width:10in;height:54.55pt;margin-top:0;margin-left:0;mso-position-horizontal-relative:page;mso-position-vertical-relative:page;position:absolute;z-index:-251652096" coordorigin="0,0" coordsize="14400,1091">
            <v:rect id="_x0000_s1035" style="width:14400;height:1091;position:absolute;top:-1" filled="t" fillcolor="#b1db11" stroked="f">
              <v:fill type="solid"/>
            </v:rect>
            <v:shape id="_x0000_s1036" type="#_x0000_t75" alt="E:\e\hyde\工作\VI\irg\irg [反白].png" style="width:1558;height:692;left:632;position:absolute;top:254" stroked="f">
              <v:imagedata r:id="rId4" o:title=""/>
            </v:shape>
            <v:shape id="_x0000_s1037" type="#_x0000_t202" style="width:740;height:476;left:12881;position:absolute;top:421" filled="f" stroked="f">
              <v:textbox inset="0,0,0,0">
                <w:txbxContent>
                  <w:p>
                    <w:pPr>
                      <w:spacing w:before="0" w:line="475" w:lineRule="exact"/>
                      <w:ind w:left="0" w:right="0" w:firstLine="0"/>
                      <w:jc w:val="left"/>
                      <w:rPr>
                        <w:rFonts w:ascii="微软雅黑" w:eastAsia="微软雅黑" w:hint="eastAsia"/>
                        <w:b/>
                        <w:sz w:val="36"/>
                      </w:rPr>
                    </w:pPr>
                    <w:r>
                      <w:rPr>
                        <w:rFonts w:ascii="微软雅黑" w:eastAsia="微软雅黑" w:hint="eastAsia"/>
                        <w:b/>
                        <w:color w:val="FFFFFF"/>
                        <w:sz w:val="36"/>
                      </w:rPr>
                      <w:t>目录</w:t>
                    </w:r>
                  </w:p>
                </w:txbxContent>
              </v:textbox>
            </v:shape>
          </v:group>
        </w:pic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10"/>
        <w:rPr>
          <w:rFonts w:ascii="微软雅黑"/>
          <w:b/>
          <w:sz w:val="15"/>
        </w:rPr>
      </w:pPr>
    </w:p>
    <w:p>
      <w:pPr>
        <w:spacing w:before="0" w:line="766" w:lineRule="exact"/>
        <w:ind w:left="1965" w:right="0" w:firstLine="0"/>
        <w:jc w:val="left"/>
        <w:rPr>
          <w:rFonts w:ascii="微软雅黑" w:eastAsia="微软雅黑" w:hint="eastAsia"/>
          <w:b/>
          <w:sz w:val="28"/>
        </w:rPr>
      </w:pPr>
      <w:r>
        <w:rPr>
          <w:rFonts w:ascii="微软雅黑" w:eastAsia="微软雅黑" w:hint="eastAsia"/>
          <w:b/>
          <w:color w:val="99CC00"/>
          <w:sz w:val="48"/>
        </w:rPr>
        <w:t xml:space="preserve">3 </w:t>
      </w:r>
      <w:r>
        <w:rPr>
          <w:rFonts w:ascii="微软雅黑" w:eastAsia="微软雅黑" w:hint="eastAsia"/>
          <w:b/>
          <w:color w:val="BEBEBE"/>
          <w:sz w:val="28"/>
        </w:rPr>
        <w:t>中国电子支付市场月度动态监测</w:t>
      </w:r>
    </w:p>
    <w:p>
      <w:pPr>
        <w:pStyle w:val="Heading1"/>
      </w:pPr>
      <w:r>
        <w:pict>
          <v:group id="_x0000_s1038" style="width:197.3pt;height:18.6pt;margin-top:12.15pt;margin-left:141.48pt;mso-position-horizontal-relative:page;position:absolute;z-index:251663360" coordorigin="2830,243" coordsize="3946,372">
            <v:shape id="_x0000_s1039" type="#_x0000_t75" style="width:3946;height:309;left:2829;position:absolute;top:301" stroked="f">
              <v:imagedata r:id="rId9" o:title=""/>
            </v:shape>
            <v:shape id="_x0000_s1040" type="#_x0000_t202" style="width:3946;height:372;left:2829;position:absolute;top:243" filled="f" stroked="f">
              <v:textbox inset="0,0,0,0">
                <w:txbxContent>
                  <w:p>
                    <w:pPr>
                      <w:spacing w:before="0" w:line="371" w:lineRule="exact"/>
                      <w:ind w:left="-12" w:right="0" w:firstLine="0"/>
                      <w:jc w:val="left"/>
                      <w:rPr>
                        <w:rFonts w:ascii="微软雅黑" w:eastAsia="微软雅黑" w:hint="eastAsia"/>
                        <w:b/>
                        <w:sz w:val="28"/>
                      </w:rPr>
                    </w:pPr>
                    <w:r>
                      <w:rPr>
                        <w:rFonts w:ascii="微软雅黑" w:eastAsia="微软雅黑" w:hint="eastAsia"/>
                        <w:b/>
                        <w:color w:val="99CC00"/>
                        <w:sz w:val="28"/>
                      </w:rPr>
                      <w:t>中国电子支付市场热点事件解析</w:t>
                    </w:r>
                  </w:p>
                </w:txbxContent>
              </v:textbox>
            </v:shape>
          </v:group>
        </w:pict>
      </w:r>
      <w:r>
        <w:rPr>
          <w:color w:val="99CC00"/>
          <w:w w:val="100"/>
        </w:rPr>
        <w:t>4</w:t>
      </w:r>
    </w:p>
    <w:p>
      <w:pPr>
        <w:pStyle w:val="Heading2"/>
        <w:numPr>
          <w:ilvl w:val="0"/>
          <w:numId w:val="3"/>
        </w:numPr>
        <w:tabs>
          <w:tab w:val="left" w:pos="2558"/>
        </w:tabs>
        <w:spacing w:before="0" w:after="0" w:line="701" w:lineRule="exact"/>
        <w:ind w:left="2558" w:right="0" w:hanging="593"/>
        <w:jc w:val="left"/>
        <w:rPr>
          <w:rFonts w:ascii="微软雅黑" w:eastAsia="微软雅黑" w:hint="eastAsia"/>
        </w:rPr>
      </w:pPr>
      <w:r>
        <w:rPr>
          <w:rFonts w:ascii="微软雅黑" w:eastAsia="微软雅黑" w:hint="eastAsia"/>
          <w:color w:val="BEBEBE"/>
          <w:spacing w:val="-1"/>
        </w:rPr>
        <w:t>中国电子支付市场月度数据监测</w:t>
      </w:r>
    </w:p>
    <w:p>
      <w:pPr>
        <w:pStyle w:val="ListParagraph"/>
        <w:numPr>
          <w:ilvl w:val="0"/>
          <w:numId w:val="3"/>
        </w:numPr>
        <w:tabs>
          <w:tab w:val="left" w:pos="2558"/>
        </w:tabs>
        <w:spacing w:before="0" w:after="0" w:line="793" w:lineRule="exact"/>
        <w:ind w:left="2558" w:right="0" w:hanging="593"/>
        <w:jc w:val="left"/>
        <w:rPr>
          <w:b/>
          <w:sz w:val="28"/>
        </w:rPr>
      </w:pPr>
      <w:r>
        <w:rPr>
          <w:b/>
          <w:color w:val="BEBEBE"/>
          <w:spacing w:val="-1"/>
          <w:sz w:val="28"/>
        </w:rPr>
        <w:t>壹月热点：艾瑞咨询集团</w:t>
      </w:r>
      <w:r>
        <w:rPr>
          <w:b/>
          <w:color w:val="BEBEBE"/>
          <w:sz w:val="28"/>
        </w:rPr>
        <w:t>2012</w:t>
      </w:r>
      <w:r>
        <w:rPr>
          <w:b/>
          <w:color w:val="BEBEBE"/>
          <w:spacing w:val="-3"/>
          <w:sz w:val="28"/>
        </w:rPr>
        <w:t>年中国第三方支付行业核心数据发布</w: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4"/>
        <w:rPr>
          <w:rFonts w:ascii="微软雅黑"/>
          <w:b/>
          <w:sz w:val="11"/>
        </w:rPr>
      </w:pPr>
    </w:p>
    <w:p>
      <w:pPr>
        <w:tabs>
          <w:tab w:val="left" w:pos="566"/>
        </w:tabs>
        <w:spacing w:before="46"/>
        <w:ind w:left="0" w:right="170" w:firstLine="0"/>
        <w:jc w:val="righ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rPr>
          <w:rFonts w:ascii="微软雅黑"/>
          <w:b/>
          <w:color w:val="FFFFFF"/>
          <w:sz w:val="21"/>
          <w:shd w:val="clear" w:color="auto" w:fill="B1DB11"/>
        </w:rPr>
        <w:t>6</w:t>
        <w:tab/>
      </w:r>
    </w:p>
    <w:p>
      <w:pPr>
        <w:spacing w:after="0"/>
        <w:jc w:val="right"/>
        <w:rPr>
          <w:rFonts w:ascii="微软雅黑"/>
          <w:sz w:val="21"/>
        </w:rPr>
        <w:sectPr>
          <w:headerReference w:type="default" r:id="rId10"/>
          <w:pgSz w:w="14400" w:h="10800" w:orient="landscape"/>
          <w:pgMar w:top="0" w:right="460" w:bottom="280" w:left="260" w:header="0" w:footer="0"/>
          <w:pgNumType w:start="6"/>
          <w:cols w:space="708"/>
        </w:sectPr>
      </w:pPr>
    </w:p>
    <w:p>
      <w:pPr>
        <w:pStyle w:val="BodyText"/>
        <w:spacing w:before="15"/>
        <w:rPr>
          <w:rFonts w:ascii="微软雅黑"/>
          <w:b/>
          <w:sz w:val="9"/>
        </w:rPr>
      </w:pPr>
    </w:p>
    <w:p>
      <w:pPr>
        <w:pStyle w:val="Heading2"/>
        <w:spacing w:before="29" w:line="509" w:lineRule="exact"/>
      </w:pPr>
      <w:r>
        <w:t>金融机构与电商的相互渗透成趋势，核心在于数据的获取及运用</w:t>
      </w:r>
    </w:p>
    <w:p>
      <w:pPr>
        <w:pStyle w:val="BodyText"/>
        <w:spacing w:before="5" w:line="230" w:lineRule="auto"/>
        <w:ind w:left="1416" w:right="1347"/>
      </w:pPr>
      <w:r>
        <w:rPr>
          <w:rFonts w:ascii="Microsoft JhengHei" w:eastAsia="Microsoft JhengHei" w:hint="eastAsia"/>
          <w:b/>
          <w:color w:val="404040"/>
        </w:rPr>
        <w:t>电商京东商城将组建金融公司：</w:t>
      </w:r>
      <w:r>
        <w:rPr>
          <w:color w:val="404040"/>
        </w:rPr>
        <w:t>刘强东在</w:t>
      </w:r>
      <w:r>
        <w:rPr>
          <w:rFonts w:ascii="Arial" w:eastAsia="Arial"/>
          <w:color w:val="404040"/>
        </w:rPr>
        <w:t>2013</w:t>
      </w:r>
      <w:r>
        <w:rPr>
          <w:color w:val="404040"/>
        </w:rPr>
        <w:t>年</w:t>
      </w:r>
      <w:r>
        <w:rPr>
          <w:rFonts w:ascii="Arial" w:eastAsia="Arial"/>
          <w:color w:val="404040"/>
        </w:rPr>
        <w:t>1</w:t>
      </w:r>
      <w:r>
        <w:rPr>
          <w:color w:val="404040"/>
        </w:rPr>
        <w:t>月</w:t>
      </w:r>
      <w:r>
        <w:rPr>
          <w:rFonts w:ascii="Arial" w:eastAsia="Arial"/>
          <w:color w:val="404040"/>
        </w:rPr>
        <w:t>1</w:t>
      </w:r>
      <w:r>
        <w:rPr>
          <w:color w:val="404040"/>
        </w:rPr>
        <w:t>日的公司内部年会上表示，在</w:t>
      </w:r>
      <w:r>
        <w:rPr>
          <w:rFonts w:ascii="Arial" w:eastAsia="Arial"/>
          <w:color w:val="404040"/>
        </w:rPr>
        <w:t>2014</w:t>
      </w:r>
      <w:r>
        <w:rPr>
          <w:color w:val="404040"/>
        </w:rPr>
        <w:t>年，将组建京东商城的金融公司，提供各种不同的金融产品。</w:t>
      </w:r>
    </w:p>
    <w:p>
      <w:pPr>
        <w:pStyle w:val="BodyText"/>
        <w:spacing w:before="50" w:line="252" w:lineRule="auto"/>
        <w:ind w:left="1416" w:right="1285"/>
        <w:jc w:val="both"/>
      </w:pPr>
      <w:r>
        <w:rPr>
          <w:rFonts w:ascii="Microsoft JhengHei" w:eastAsia="Microsoft JhengHei" w:hAnsi="Microsoft JhengHei" w:hint="eastAsia"/>
          <w:b/>
          <w:color w:val="404040"/>
        </w:rPr>
        <w:t>建行正式启动电商平台：</w:t>
      </w:r>
      <w:r>
        <w:rPr>
          <w:rFonts w:ascii="Arial" w:eastAsia="Arial" w:hAnsi="Arial"/>
          <w:color w:val="404040"/>
        </w:rPr>
        <w:t>1</w:t>
      </w:r>
      <w:r>
        <w:rPr>
          <w:color w:val="404040"/>
        </w:rPr>
        <w:t>月</w:t>
      </w:r>
      <w:r>
        <w:rPr>
          <w:rFonts w:ascii="Arial" w:eastAsia="Arial" w:hAnsi="Arial"/>
          <w:color w:val="404040"/>
        </w:rPr>
        <w:t>18</w:t>
      </w:r>
      <w:r>
        <w:rPr>
          <w:color w:val="404040"/>
        </w:rPr>
        <w:t>日，试运行半年的建行电子商务平台</w:t>
      </w:r>
      <w:r>
        <w:rPr>
          <w:rFonts w:ascii="Arial" w:eastAsia="Arial" w:hAnsi="Arial"/>
          <w:color w:val="404040"/>
        </w:rPr>
        <w:t>——</w:t>
      </w:r>
      <w:r>
        <w:rPr>
          <w:color w:val="404040"/>
        </w:rPr>
        <w:t>“善融商务”正式启动。在建行之外，交行也推出了具有</w:t>
      </w:r>
      <w:r>
        <w:rPr>
          <w:rFonts w:ascii="Arial" w:eastAsia="Arial" w:hAnsi="Arial"/>
          <w:color w:val="404040"/>
        </w:rPr>
        <w:t>B2B</w:t>
      </w:r>
      <w:r>
        <w:rPr>
          <w:color w:val="404040"/>
        </w:rPr>
        <w:t>和</w:t>
      </w:r>
      <w:r>
        <w:rPr>
          <w:rFonts w:ascii="Arial" w:eastAsia="Arial" w:hAnsi="Arial"/>
          <w:color w:val="404040"/>
        </w:rPr>
        <w:t>B2C</w:t>
      </w:r>
      <w:r>
        <w:rPr>
          <w:color w:val="404040"/>
        </w:rPr>
        <w:t>两种电商模式的“交博汇”，中行尝试性地做了“云购物”平台；民生和中信银行正计划今年推出类似平台。</w:t>
      </w:r>
    </w:p>
    <w:p>
      <w:pPr>
        <w:pStyle w:val="BodyText"/>
        <w:spacing w:before="12"/>
        <w:rPr>
          <w:sz w:val="27"/>
        </w:rPr>
      </w:pPr>
    </w:p>
    <w:p>
      <w:pPr>
        <w:pStyle w:val="Heading2"/>
        <w:spacing w:line="491" w:lineRule="exact"/>
      </w:pPr>
      <w:r>
        <w:t>艾瑞点评：</w:t>
      </w:r>
    </w:p>
    <w:p>
      <w:pPr>
        <w:pStyle w:val="BodyText"/>
        <w:spacing w:line="374" w:lineRule="exact"/>
        <w:ind w:left="1416"/>
      </w:pPr>
      <w:r>
        <w:rPr>
          <w:rFonts w:ascii="Microsoft JhengHei" w:eastAsia="Microsoft JhengHei" w:hint="eastAsia"/>
          <w:b/>
          <w:color w:val="404040"/>
        </w:rPr>
        <w:t>现象原因：</w:t>
      </w:r>
      <w:r>
        <w:rPr>
          <w:color w:val="404040"/>
        </w:rPr>
        <w:t>电商企业在向金融服务渗透的同时，以银行为代表的金融机构也在加速向电子商务靠拢。艾瑞咨询认为，</w:t>
      </w:r>
    </w:p>
    <w:p>
      <w:pPr>
        <w:pStyle w:val="BodyText"/>
        <w:spacing w:line="271" w:lineRule="auto"/>
        <w:ind w:left="1416" w:right="1252"/>
      </w:pPr>
      <w:r>
        <w:rPr>
          <w:color w:val="404040"/>
        </w:rPr>
        <w:t>电商平台上的众多商家在经营过程中所积攒下的商品、物流以及用户数据的价值正在逐步被市场所发掘。而将以上数据进行变现的方式将主要体现在两个方面，即精准营销和金融服务，而后者则是金融机构和电商平台所看重的。</w:t>
      </w:r>
    </w:p>
    <w:p>
      <w:pPr>
        <w:pStyle w:val="BodyText"/>
        <w:spacing w:before="6"/>
        <w:rPr>
          <w:sz w:val="32"/>
        </w:rPr>
      </w:pPr>
    </w:p>
    <w:p>
      <w:pPr>
        <w:pStyle w:val="BodyText"/>
        <w:spacing w:before="1" w:line="230" w:lineRule="auto"/>
        <w:ind w:left="1416" w:right="1041"/>
      </w:pPr>
      <w:r>
        <w:rPr>
          <w:rFonts w:ascii="Microsoft JhengHei" w:eastAsia="Microsoft JhengHei" w:hint="eastAsia"/>
          <w:b/>
          <w:color w:val="404040"/>
        </w:rPr>
        <w:t>核心目的：</w:t>
      </w:r>
      <w:r>
        <w:rPr>
          <w:color w:val="404040"/>
          <w:spacing w:val="-3"/>
        </w:rPr>
        <w:t>电商平台的核心目的在于一方面提升产业链合作方的资金周转效率，提升平台销量；另一方面也是拓宽 营收渠道的重要方式。商业银行的核心目的则在于通过在电商平台上所搭载的金融服务来为自身提供核心业务收入。</w:t>
      </w:r>
    </w:p>
    <w:p>
      <w:pPr>
        <w:pStyle w:val="BodyText"/>
        <w:spacing w:before="12"/>
        <w:rPr>
          <w:sz w:val="34"/>
        </w:rPr>
      </w:pPr>
    </w:p>
    <w:p>
      <w:pPr>
        <w:pStyle w:val="BodyText"/>
        <w:spacing w:line="252" w:lineRule="auto"/>
        <w:ind w:left="1416" w:right="1252"/>
        <w:jc w:val="both"/>
      </w:pPr>
      <w:r>
        <w:pict>
          <v:group id="_x0000_s1041" style="width:143.3pt;height:70.6pt;margin-top:54.01pt;margin-left:80.04pt;mso-position-horizontal-relative:page;mso-wrap-distance-left:0;mso-wrap-distance-right:0;position:absolute;z-index:-251648000" coordorigin="1601,1080" coordsize="2866,1412">
            <v:shape id="_x0000_s1042" type="#_x0000_t75" style="width:2823;height:713;left:1622;position:absolute;top:1080" stroked="f">
              <v:imagedata r:id="rId11" o:title=""/>
            </v:shape>
            <v:shape id="_x0000_s1043" style="width:2609;height:539;left:1729;position:absolute;top:1167" coordorigin="1730,1167" coordsize="2609,539" path="m4248,1167l1819,1167,1784,1174,1756,1194,1737,1222,1730,1257,1730,1616,1737,1651,1756,1680,1784,1699,1819,1706,4248,1706,4283,1699,4312,1680,4331,1651,4338,1616,4338,1257,4331,1222,4312,1194,4283,1174,4248,1167xe" filled="t" fillcolor="yellow" stroked="f">
              <v:fill type="solid"/>
              <v:path arrowok="t"/>
            </v:shape>
            <v:shape id="_x0000_s1044" type="#_x0000_t75" style="width:2866;height:756;left:1600;position:absolute;top:1735" stroked="f">
              <v:imagedata r:id="rId12" o:title=""/>
            </v:shape>
            <v:shape id="_x0000_s1045" style="width:2609;height:539;left:1729;position:absolute;top:1843" coordorigin="1730,1844" coordsize="2609,539" path="m4248,1844l1819,1844,1784,1851,1756,1870,1737,1898,1730,1933,1730,2293,1737,2328,1756,2356,1784,2375,1819,2382,4248,2382,4283,2375,4312,2356,4331,2328,4338,2293,4338,1933,4331,1898,4312,1870,4283,1851,4248,1844xe" filled="t" fillcolor="#b1db11" stroked="f">
              <v:fill type="solid"/>
              <v:path arrowok="t"/>
            </v:shape>
            <v:shape id="_x0000_s1046" type="#_x0000_t202" style="width:2866;height:1412;left:1600;position:absolute;top:1080" filled="f" stroked="f">
              <v:textbox inset="0,0,0,0">
                <w:txbxContent>
                  <w:p>
                    <w:pPr>
                      <w:spacing w:before="90"/>
                      <w:ind w:left="870" w:right="0" w:firstLine="0"/>
                      <w:jc w:val="left"/>
                      <w:rPr>
                        <w:rFonts w:ascii="微软雅黑" w:eastAsia="微软雅黑" w:hint="eastAsia"/>
                        <w:b/>
                        <w:sz w:val="28"/>
                      </w:rPr>
                    </w:pPr>
                    <w:r>
                      <w:rPr>
                        <w:rFonts w:ascii="微软雅黑" w:eastAsia="微软雅黑" w:hint="eastAsia"/>
                        <w:b/>
                        <w:color w:val="404040"/>
                        <w:spacing w:val="-1"/>
                        <w:sz w:val="28"/>
                      </w:rPr>
                      <w:t>电商平台</w:t>
                    </w:r>
                  </w:p>
                  <w:p>
                    <w:pPr>
                      <w:spacing w:before="160"/>
                      <w:ind w:left="870" w:right="0" w:firstLine="0"/>
                      <w:jc w:val="left"/>
                      <w:rPr>
                        <w:rFonts w:ascii="微软雅黑" w:eastAsia="微软雅黑" w:hint="eastAsia"/>
                        <w:b/>
                        <w:sz w:val="28"/>
                      </w:rPr>
                    </w:pPr>
                    <w:r>
                      <w:rPr>
                        <w:rFonts w:ascii="微软雅黑" w:eastAsia="微软雅黑" w:hint="eastAsia"/>
                        <w:b/>
                        <w:color w:val="FFFFFF"/>
                        <w:sz w:val="28"/>
                      </w:rPr>
                      <w:t>获取需求</w:t>
                    </w:r>
                  </w:p>
                </w:txbxContent>
              </v:textbox>
            </v:shape>
            <w10:wrap type="topAndBottom"/>
          </v:group>
        </w:pict>
      </w:r>
      <w:r>
        <w:pict>
          <v:group id="_x0000_s1047" style="width:42.15pt;height:26.3pt;margin-top:58.69pt;margin-left:230.88pt;mso-position-horizontal-relative:page;mso-wrap-distance-left:0;mso-wrap-distance-right:0;position:absolute;z-index:-251646976" coordorigin="4618,1174" coordsize="843,526">
            <v:shape id="_x0000_s1048" type="#_x0000_t75" style="width:843;height:526;left:4617;position:absolute;top:1173" stroked="f">
              <v:imagedata r:id="rId13" o:title=""/>
            </v:shape>
            <v:shape id="_x0000_s1049" style="width:681;height:397;left:4705;position:absolute;top:1238" coordorigin="4705,1238" coordsize="681,397" path="m4718,1337l4705,1337,4705,1536,4718,1536,4718,1337xm4755,1337l4730,1337,4730,1536,4755,1536,4755,1337xm5187,1238l5187,1337,4767,1337,4767,1536,5187,1536,5187,1635,5386,1436,5187,1238xe" filled="t" fillcolor="#006fc0" stroked="f">
              <v:fill type="solid"/>
              <v:path arrowok="t"/>
            </v:shape>
            <w10:wrap type="topAndBottom"/>
          </v:group>
        </w:pict>
      </w:r>
      <w:r>
        <w:pict>
          <v:group id="_x0000_s1050" style="width:143.9pt;height:70.6pt;margin-top:54.01pt;margin-left:284.52pt;mso-position-horizontal-relative:page;mso-wrap-distance-left:0;mso-wrap-distance-right:0;position:absolute;z-index:-251645952" coordorigin="5690,1080" coordsize="2878,1412">
            <v:shape id="_x0000_s1051" type="#_x0000_t75" style="width:2825;height:713;left:5743;position:absolute;top:1080" stroked="f">
              <v:imagedata r:id="rId14" o:title=""/>
            </v:shape>
            <v:shape id="_x0000_s1052" style="width:2609;height:539;left:5851;position:absolute;top:1167" coordorigin="5852,1167" coordsize="2609,539" path="m8370,1167l5942,1167,5907,1174,5878,1194,5859,1222,5852,1257,5852,1616,5859,1651,5878,1680,5907,1699,5942,1706,8370,1706,8405,1699,8434,1680,8453,1651,8460,1616,8460,1257,8453,1222,8434,1194,8405,1174,8370,1167xe" filled="t" fillcolor="#b1db11" stroked="f">
              <v:fill type="solid"/>
              <v:path arrowok="t"/>
            </v:shape>
            <v:shape id="_x0000_s1053" type="#_x0000_t75" style="width:2868;height:756;left:5690;position:absolute;top:1735" stroked="f">
              <v:imagedata r:id="rId15" o:title=""/>
            </v:shape>
            <v:shape id="_x0000_s1054" style="width:2609;height:539;left:5820;position:absolute;top:1843" coordorigin="5821,1844" coordsize="2609,539" path="m8339,1844l5910,1844,5875,1851,5847,1870,5828,1898,5821,1933,5821,2293,5828,2328,5847,2356,5875,2375,5910,2382,8339,2382,8374,2375,8402,2356,8422,2328,8429,2293,8429,1933,8422,1898,8402,1870,8374,1851,8339,1844xe" filled="t" fillcolor="#b1db11" stroked="f">
              <v:fill type="solid"/>
              <v:path arrowok="t"/>
            </v:shape>
            <v:shape id="_x0000_s1055" type="#_x0000_t202" style="width:2878;height:1412;left:5690;position:absolute;top:1080" filled="f" stroked="f">
              <v:textbox inset="0,0,0,0">
                <w:txbxContent>
                  <w:p>
                    <w:pPr>
                      <w:spacing w:before="90"/>
                      <w:ind w:left="855" w:right="802" w:firstLine="0"/>
                      <w:jc w:val="center"/>
                      <w:rPr>
                        <w:rFonts w:ascii="微软雅黑" w:eastAsia="微软雅黑" w:hint="eastAsia"/>
                        <w:b/>
                        <w:sz w:val="28"/>
                      </w:rPr>
                    </w:pPr>
                    <w:r>
                      <w:rPr>
                        <w:rFonts w:ascii="微软雅黑" w:eastAsia="微软雅黑" w:hint="eastAsia"/>
                        <w:b/>
                        <w:color w:val="FFFFFF"/>
                        <w:sz w:val="28"/>
                      </w:rPr>
                      <w:t>数据</w:t>
                    </w:r>
                  </w:p>
                  <w:p>
                    <w:pPr>
                      <w:spacing w:before="160"/>
                      <w:ind w:left="855" w:right="862" w:firstLine="0"/>
                      <w:jc w:val="center"/>
                      <w:rPr>
                        <w:rFonts w:ascii="微软雅黑" w:eastAsia="微软雅黑" w:hint="eastAsia"/>
                        <w:b/>
                        <w:sz w:val="28"/>
                      </w:rPr>
                    </w:pPr>
                    <w:r>
                      <w:rPr>
                        <w:rFonts w:ascii="微软雅黑" w:eastAsia="微软雅黑" w:hint="eastAsia"/>
                        <w:b/>
                        <w:color w:val="FFFFFF"/>
                        <w:sz w:val="28"/>
                      </w:rPr>
                      <w:t>信用评级</w:t>
                    </w:r>
                  </w:p>
                </w:txbxContent>
              </v:textbox>
            </v:shape>
            <w10:wrap type="topAndBottom"/>
          </v:group>
        </w:pict>
      </w:r>
      <w:r>
        <w:pict>
          <v:group id="_x0000_s1056" style="width:42.15pt;height:26.3pt;margin-top:58.69pt;margin-left:439.8pt;mso-position-horizontal-relative:page;mso-wrap-distance-left:0;mso-wrap-distance-right:0;position:absolute;z-index:-251644928" coordorigin="8796,1174" coordsize="843,526">
            <v:shape id="_x0000_s1057" type="#_x0000_t75" style="width:843;height:526;left:8796;position:absolute;top:1173" stroked="f">
              <v:imagedata r:id="rId16" o:title=""/>
            </v:shape>
            <v:shape id="_x0000_s1058" style="width:681;height:397;left:8884;position:absolute;top:1238" coordorigin="8884,1238" coordsize="681,397" path="m8897,1337l8884,1337,8884,1536,8897,1536,8897,1337xm8934,1337l8909,1337,8909,1536,8934,1536,8934,1337xm9366,1238l9366,1337,8946,1337,8946,1536,9366,1536,9366,1635,9565,1436,9366,1238xe" filled="t" fillcolor="#006fc0" stroked="f">
              <v:fill type="solid"/>
              <v:path arrowok="t"/>
            </v:shape>
            <w10:wrap type="topAndBottom"/>
          </v:group>
        </w:pict>
      </w:r>
      <w:r>
        <w:pict>
          <v:group id="_x0000_s1059" style="width:143.65pt;height:70.6pt;margin-top:54.01pt;margin-left:486.6pt;mso-position-horizontal-relative:page;position:absolute;z-index:251665408" coordorigin="9732,1080" coordsize="2873,1412">
            <v:shape id="_x0000_s1060" type="#_x0000_t75" style="width:2823;height:713;left:9782;position:absolute;top:1080" stroked="f">
              <v:imagedata r:id="rId17" o:title=""/>
            </v:shape>
            <v:shape id="_x0000_s1061" style="width:2609;height:539;left:9889;position:absolute;top:1167" coordorigin="9889,1167" coordsize="2609,539" path="m12407,1167l9979,1167,9944,1174,9915,1194,9896,1222,9889,1257,9889,1616,9896,1651,9915,1680,9944,1699,9979,1706,12407,1706,12442,1699,12471,1680,12490,1651,12497,1616,12497,1257,12490,1222,12471,1194,12442,1174,12407,1167xe" filled="t" fillcolor="#c00" stroked="f">
              <v:fill type="solid"/>
              <v:path arrowok="t"/>
            </v:shape>
            <v:shape id="_x0000_s1062" type="#_x0000_t75" style="width:2868;height:756;left:9732;position:absolute;top:1735" stroked="f">
              <v:imagedata r:id="rId15" o:title=""/>
            </v:shape>
            <v:shape id="_x0000_s1063" style="width:2608;height:539;left:9862;position:absolute;top:1843" coordorigin="9862,1844" coordsize="2608,539" path="m12381,1844l9952,1844,9917,1851,9889,1870,9869,1898,9862,1933,9862,2293,9869,2328,9889,2356,9917,2375,9952,2382,12381,2382,12416,2375,12444,2356,12463,2328,12470,2293,12470,1933,12463,1898,12444,1870,12416,1851,12381,1844xe" filled="t" fillcolor="#b1db11" stroked="f">
              <v:fill type="solid"/>
              <v:path arrowok="t"/>
            </v:shape>
            <v:shape id="_x0000_s1064" type="#_x0000_t202" style="width:2873;height:1412;left:9732;position:absolute;top:1080" filled="f" stroked="f">
              <v:textbox inset="0,0,0,0">
                <w:txbxContent>
                  <w:p>
                    <w:pPr>
                      <w:spacing w:before="90"/>
                      <w:ind w:left="900" w:right="0" w:firstLine="0"/>
                      <w:jc w:val="left"/>
                      <w:rPr>
                        <w:rFonts w:ascii="微软雅黑" w:eastAsia="微软雅黑" w:hint="eastAsia"/>
                        <w:b/>
                        <w:sz w:val="28"/>
                      </w:rPr>
                    </w:pPr>
                    <w:r>
                      <w:rPr>
                        <w:rFonts w:ascii="微软雅黑" w:eastAsia="微软雅黑" w:hint="eastAsia"/>
                        <w:b/>
                        <w:color w:val="FFFFFF"/>
                        <w:spacing w:val="-1"/>
                        <w:sz w:val="28"/>
                      </w:rPr>
                      <w:t>金融服务</w:t>
                    </w:r>
                  </w:p>
                  <w:p>
                    <w:pPr>
                      <w:spacing w:before="160"/>
                      <w:ind w:left="873" w:right="0" w:firstLine="0"/>
                      <w:jc w:val="left"/>
                      <w:rPr>
                        <w:rFonts w:ascii="微软雅黑" w:eastAsia="微软雅黑" w:hint="eastAsia"/>
                        <w:b/>
                        <w:sz w:val="28"/>
                      </w:rPr>
                    </w:pPr>
                    <w:r>
                      <w:rPr>
                        <w:rFonts w:ascii="微软雅黑" w:eastAsia="微软雅黑" w:hint="eastAsia"/>
                        <w:b/>
                        <w:color w:val="FFFFFF"/>
                        <w:sz w:val="28"/>
                      </w:rPr>
                      <w:t>风险控制</w:t>
                    </w:r>
                  </w:p>
                </w:txbxContent>
              </v:textbox>
            </v:shape>
          </v:group>
        </w:pict>
      </w:r>
      <w:r>
        <w:rPr>
          <w:rFonts w:ascii="Microsoft JhengHei" w:eastAsia="Microsoft JhengHei" w:hint="eastAsia"/>
          <w:b/>
          <w:color w:val="404040"/>
        </w:rPr>
        <w:t>数据的价值：</w:t>
      </w:r>
      <w:r>
        <w:rPr>
          <w:color w:val="404040"/>
        </w:rPr>
        <w:t>数据对于金融服务的价值主要体现在三个方面，首先是获取企业及个人用户对于资金的稀缺程度，以获得用户基础需求；其次在于通过用户的日常资金流往来确定用户的信用程度，已进行贷前的信用评级；最后在于通过电商平台监控用户的资金用途、物流及商品信息，以此来进行贷后的风险控制。</w:t>
      </w:r>
    </w:p>
    <w:p>
      <w:pPr>
        <w:pStyle w:val="BodyText"/>
        <w:spacing w:before="6"/>
      </w:pPr>
    </w:p>
    <w:p>
      <w:pPr>
        <w:tabs>
          <w:tab w:val="left" w:pos="566"/>
        </w:tabs>
        <w:spacing w:before="46"/>
        <w:ind w:left="0" w:right="170" w:firstLine="0"/>
        <w:jc w:val="right"/>
        <w:rPr>
          <w:rFonts w:ascii="微软雅黑"/>
          <w:b/>
          <w:sz w:val="21"/>
        </w:rPr>
      </w:pPr>
      <w:r>
        <w:pict>
          <v:group id="_x0000_s1065" style="width:42.15pt;height:26.3pt;margin-top:-47.92pt;margin-left:438.36pt;mso-position-horizontal-relative:page;position:absolute;z-index:251666432" coordorigin="8767,-958" coordsize="843,526">
            <v:shape id="_x0000_s1066" type="#_x0000_t75" style="width:843;height:526;left:8767;position:absolute;top:-959" stroked="f">
              <v:imagedata r:id="rId18" o:title=""/>
            </v:shape>
            <v:shape id="_x0000_s1067" style="width:681;height:397;left:8855;position:absolute;top:-895" coordorigin="8855,-895" coordsize="681,397" path="m8867,-795l8855,-795,8855,-597,8867,-597,8867,-795xm8905,-795l8880,-795,8880,-597,8905,-597,8905,-795xm9337,-895l9337,-795,8917,-795,8917,-597,9337,-597,9337,-498,9535,-696,9337,-895xe" filled="t" fillcolor="#006fc0" stroked="f">
              <v:fill type="solid"/>
              <v:path arrowok="t"/>
            </v:shape>
          </v:group>
        </w:pict>
      </w:r>
      <w:r>
        <w:pict>
          <v:group id="_x0000_s1068" style="width:42.15pt;height:26.3pt;margin-top:-47.92pt;margin-left:230.88pt;mso-position-horizontal-relative:page;position:absolute;z-index:251667456" coordorigin="4618,-958" coordsize="843,526">
            <v:shape id="_x0000_s1069" type="#_x0000_t75" style="width:843;height:526;left:4617;position:absolute;top:-959" stroked="f">
              <v:imagedata r:id="rId19" o:title=""/>
            </v:shape>
            <v:shape id="_x0000_s1070" style="width:681;height:397;left:4705;position:absolute;top:-895" coordorigin="4705,-895" coordsize="681,397" path="m4718,-795l4705,-795,4705,-597,4718,-597,4718,-795xm4755,-795l4730,-795,4730,-597,4755,-597,4755,-795xm5187,-895l5187,-795,4767,-795,4767,-597,5187,-597,5187,-498,5386,-696,5187,-895xe" filled="t" fillcolor="#006fc0" stroked="f">
              <v:fill type="solid"/>
              <v:path arrowok="t"/>
            </v:shape>
          </v:group>
        </w:pict>
      </w: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rPr>
          <w:rFonts w:ascii="微软雅黑"/>
          <w:b/>
          <w:color w:val="FFFFFF"/>
          <w:sz w:val="21"/>
          <w:shd w:val="clear" w:color="auto" w:fill="B1DB11"/>
        </w:rPr>
        <w:t>7</w:t>
        <w:tab/>
      </w:r>
    </w:p>
    <w:p>
      <w:pPr>
        <w:spacing w:after="0"/>
        <w:jc w:val="right"/>
        <w:rPr>
          <w:rFonts w:ascii="微软雅黑"/>
          <w:sz w:val="21"/>
        </w:rPr>
        <w:sectPr>
          <w:headerReference w:type="default" r:id="rId20"/>
          <w:pgSz w:w="14400" w:h="10800" w:orient="landscape"/>
          <w:pgMar w:top="1060" w:right="460" w:bottom="280" w:left="260" w:header="266" w:footer="0"/>
          <w:pgNumType w:start="7"/>
          <w:cols w:space="708"/>
        </w:sectPr>
      </w:pPr>
    </w:p>
    <w:p>
      <w:pPr>
        <w:pStyle w:val="BodyText"/>
        <w:spacing w:before="15"/>
        <w:rPr>
          <w:rFonts w:ascii="微软雅黑"/>
          <w:b/>
          <w:sz w:val="9"/>
        </w:rPr>
      </w:pPr>
    </w:p>
    <w:p>
      <w:pPr>
        <w:pStyle w:val="Heading2"/>
        <w:spacing w:before="29"/>
      </w:pPr>
      <w:r>
        <w:t>支付宝发布新版客户端“支付宝钱包”</w:t>
      </w:r>
    </w:p>
    <w:p>
      <w:pPr>
        <w:pStyle w:val="BodyText"/>
        <w:spacing w:before="60" w:line="271" w:lineRule="auto"/>
        <w:ind w:left="1416" w:right="1300"/>
      </w:pPr>
      <w:r>
        <w:rPr>
          <w:rFonts w:ascii="Arial" w:eastAsia="Arial" w:hAnsi="Arial"/>
          <w:color w:val="404040"/>
        </w:rPr>
        <w:t>2013</w:t>
      </w:r>
      <w:r>
        <w:rPr>
          <w:color w:val="404040"/>
        </w:rPr>
        <w:t>年</w:t>
      </w:r>
      <w:r>
        <w:rPr>
          <w:rFonts w:ascii="Arial" w:eastAsia="Arial" w:hAnsi="Arial"/>
          <w:color w:val="404040"/>
        </w:rPr>
        <w:t>1</w:t>
      </w:r>
      <w:r>
        <w:rPr>
          <w:color w:val="404040"/>
        </w:rPr>
        <w:t>月，支付宝正式发布了新版客户端“支付宝钱包”。新版客户端强调“电子钱包”概念，并在其中新增了优惠卡券管理及声波支付等功能。</w:t>
      </w:r>
    </w:p>
    <w:p>
      <w:pPr>
        <w:pStyle w:val="BodyText"/>
        <w:rPr>
          <w:sz w:val="27"/>
        </w:rPr>
      </w:pPr>
    </w:p>
    <w:p>
      <w:pPr>
        <w:pStyle w:val="Heading2"/>
        <w:spacing w:line="489" w:lineRule="exact"/>
      </w:pPr>
      <w:r>
        <w:t>艾瑞点评：</w:t>
      </w:r>
    </w:p>
    <w:p>
      <w:pPr>
        <w:pStyle w:val="BodyText"/>
        <w:spacing w:line="374" w:lineRule="exact"/>
        <w:ind w:left="1416"/>
      </w:pPr>
      <w:r>
        <w:rPr>
          <w:rFonts w:ascii="Microsoft JhengHei" w:eastAsia="Microsoft JhengHei" w:hAnsi="Microsoft JhengHei" w:hint="eastAsia"/>
          <w:b/>
          <w:color w:val="404040"/>
        </w:rPr>
        <w:t>产品特点：</w:t>
      </w:r>
      <w:r>
        <w:rPr>
          <w:color w:val="404040"/>
        </w:rPr>
        <w:t>艾瑞咨询认为，“支付宝钱包”的特点明悉，并代表着支付宝短时间内的产品方向。特点一，不改造终</w:t>
      </w:r>
    </w:p>
    <w:p>
      <w:pPr>
        <w:pStyle w:val="BodyText"/>
        <w:spacing w:line="271" w:lineRule="auto"/>
        <w:ind w:left="1416" w:right="1229"/>
        <w:jc w:val="both"/>
      </w:pPr>
      <w:r>
        <w:rPr>
          <w:color w:val="404040"/>
        </w:rPr>
        <w:t>端，以移动互联网技术实现线下支付。在目前</w:t>
      </w:r>
      <w:r>
        <w:rPr>
          <w:rFonts w:ascii="Arial" w:eastAsia="Arial"/>
          <w:color w:val="404040"/>
        </w:rPr>
        <w:t>NFC</w:t>
      </w:r>
      <w:r>
        <w:rPr>
          <w:color w:val="404040"/>
        </w:rPr>
        <w:t>终端普及程度极低的情况下，降低用户的使用门槛及企业成本， 以软件改造形式实现线下支付，充分运用自身的创新优势并规避线下受理终端、移动终端等层面的劣势及大规模的资金投入。特点二，集合卡券、积分消费及管理。</w:t>
      </w:r>
      <w:r>
        <w:rPr>
          <w:rFonts w:ascii="Arial" w:eastAsia="Arial"/>
          <w:color w:val="404040"/>
        </w:rPr>
        <w:t>O2O</w:t>
      </w:r>
      <w:r>
        <w:rPr>
          <w:color w:val="404040"/>
        </w:rPr>
        <w:t>市场的巨大需求和移动支付技术的升级正逐步打开庞大线下市场的大门。二维码为代表的技术形态的迅速普及，使得卡券、积分消费的用户体验得到迅速优化，</w:t>
      </w:r>
      <w:r>
        <w:rPr>
          <w:rFonts w:ascii="Arial" w:eastAsia="Arial"/>
          <w:color w:val="404040"/>
        </w:rPr>
        <w:t>O2O</w:t>
      </w:r>
      <w:r>
        <w:rPr>
          <w:color w:val="404040"/>
        </w:rPr>
        <w:t>电子商务的技术壁垒正在被逐步消除。</w:t>
      </w:r>
    </w:p>
    <w:p>
      <w:pPr>
        <w:pStyle w:val="BodyText"/>
        <w:spacing w:before="7"/>
        <w:rPr>
          <w:sz w:val="32"/>
        </w:rPr>
      </w:pPr>
    </w:p>
    <w:p>
      <w:pPr>
        <w:pStyle w:val="BodyText"/>
        <w:spacing w:line="232" w:lineRule="auto"/>
        <w:ind w:left="1416" w:right="1229"/>
      </w:pPr>
      <w:r>
        <w:rPr>
          <w:rFonts w:ascii="Microsoft JhengHei" w:eastAsia="Microsoft JhengHei" w:hAnsi="Microsoft JhengHei" w:hint="eastAsia"/>
          <w:b/>
          <w:color w:val="404040"/>
        </w:rPr>
        <w:t>战略方向：</w:t>
      </w:r>
      <w:r>
        <w:rPr>
          <w:color w:val="404040"/>
        </w:rPr>
        <w:t>新版“支付宝钱包”并不代表支付宝未来的移动支付产品将主要依靠声波形态，也不代表支付宝将就此发展自己的</w:t>
      </w:r>
      <w:r>
        <w:rPr>
          <w:rFonts w:ascii="Arial" w:eastAsia="Arial" w:hAnsi="Arial"/>
          <w:color w:val="404040"/>
        </w:rPr>
        <w:t>O2O</w:t>
      </w:r>
      <w:r>
        <w:rPr>
          <w:color w:val="404040"/>
        </w:rPr>
        <w:t>闭环。一方面，在现有的市场和技术环境下，整体移动市场中并未出现成熟的产品形态，各大支付</w:t>
      </w:r>
    </w:p>
    <w:p>
      <w:pPr>
        <w:pStyle w:val="BodyText"/>
        <w:spacing w:before="39" w:line="273" w:lineRule="auto"/>
        <w:ind w:left="1416" w:right="1237"/>
        <w:jc w:val="both"/>
      </w:pPr>
      <w:r>
        <w:rPr>
          <w:color w:val="404040"/>
          <w:spacing w:val="-2"/>
        </w:rPr>
        <w:t>公司均处于全面的试错阶段，现有的</w:t>
      </w:r>
      <w:r>
        <w:rPr>
          <w:rFonts w:ascii="Arial" w:eastAsia="Arial"/>
          <w:color w:val="404040"/>
        </w:rPr>
        <w:t>NFC</w:t>
      </w:r>
      <w:r>
        <w:rPr>
          <w:color w:val="404040"/>
          <w:spacing w:val="-3"/>
        </w:rPr>
        <w:t>类产品、二维码支付产品及声波支付产品均包含在内。另一方面，支付企业作为独立的第三方，若涉及产业链上游的业务都会带来核心业务层面的障碍，因此，在依靠现有的阿里体系内的卡券服务之后，未来将面对的是整体的</w:t>
      </w:r>
      <w:r>
        <w:rPr>
          <w:rFonts w:ascii="Arial" w:eastAsia="Arial"/>
          <w:color w:val="404040"/>
        </w:rPr>
        <w:t>O2O</w:t>
      </w:r>
      <w:r>
        <w:rPr>
          <w:color w:val="404040"/>
          <w:spacing w:val="-3"/>
        </w:rPr>
        <w:t>电子商务市场。</w:t>
      </w:r>
    </w:p>
    <w:p>
      <w:pPr>
        <w:pStyle w:val="BodyText"/>
        <w:spacing w:before="10"/>
        <w:rPr>
          <w:sz w:val="23"/>
        </w:rPr>
      </w:pPr>
    </w:p>
    <w:p>
      <w:pPr>
        <w:pStyle w:val="BodyText"/>
        <w:spacing w:line="398" w:lineRule="exact"/>
        <w:ind w:left="1417"/>
      </w:pPr>
      <w:r>
        <w:drawing>
          <wp:anchor distT="0" distB="0" distL="0" distR="0" simplePos="0" relativeHeight="251672576" behindDoc="0" locked="0" layoutInCell="1" allowOverlap="1">
            <wp:simplePos x="0" y="0"/>
            <wp:positionH relativeFrom="page">
              <wp:posOffset>6045580</wp:posOffset>
            </wp:positionH>
            <wp:positionV relativeFrom="paragraph">
              <wp:posOffset>-13451</wp:posOffset>
            </wp:positionV>
            <wp:extent cx="1910727" cy="952792"/>
            <wp:effectExtent l="0" t="0" r="0" b="0"/>
            <wp:wrapNone/>
            <wp:docPr id="1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4.png"/>
                    <pic:cNvPicPr/>
                  </pic:nvPicPr>
                  <pic:blipFill>
                    <a:blip xmlns:r="http://schemas.openxmlformats.org/officeDocument/2006/relationships" r:embed="rId21" cstate="print"/>
                    <a:stretch>
                      <a:fillRect/>
                    </a:stretch>
                  </pic:blipFill>
                  <pic:spPr>
                    <a:xfrm>
                      <a:off x="0" y="0"/>
                      <a:ext cx="1910727" cy="952792"/>
                    </a:xfrm>
                    <a:prstGeom prst="rect">
                      <a:avLst/>
                    </a:prstGeom>
                  </pic:spPr>
                </pic:pic>
              </a:graphicData>
            </a:graphic>
          </wp:anchor>
        </w:drawing>
      </w:r>
      <w:r>
        <w:drawing>
          <wp:anchor distT="0" distB="0" distL="0" distR="0" simplePos="0" relativeHeight="251673600" behindDoc="0" locked="0" layoutInCell="1" allowOverlap="1">
            <wp:simplePos x="0" y="0"/>
            <wp:positionH relativeFrom="page">
              <wp:posOffset>5002021</wp:posOffset>
            </wp:positionH>
            <wp:positionV relativeFrom="paragraph">
              <wp:posOffset>-13451</wp:posOffset>
            </wp:positionV>
            <wp:extent cx="977874" cy="952792"/>
            <wp:effectExtent l="0" t="0" r="0" b="0"/>
            <wp:wrapNone/>
            <wp:docPr id="15"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5.jpeg"/>
                    <pic:cNvPicPr/>
                  </pic:nvPicPr>
                  <pic:blipFill>
                    <a:blip xmlns:r="http://schemas.openxmlformats.org/officeDocument/2006/relationships" r:embed="rId22" cstate="print"/>
                    <a:stretch>
                      <a:fillRect/>
                    </a:stretch>
                  </pic:blipFill>
                  <pic:spPr>
                    <a:xfrm>
                      <a:off x="0" y="0"/>
                      <a:ext cx="977874" cy="952792"/>
                    </a:xfrm>
                    <a:prstGeom prst="rect">
                      <a:avLst/>
                    </a:prstGeom>
                  </pic:spPr>
                </pic:pic>
              </a:graphicData>
            </a:graphic>
          </wp:anchor>
        </w:drawing>
      </w:r>
      <w:r>
        <w:rPr>
          <w:rFonts w:ascii="Microsoft JhengHei" w:eastAsia="Microsoft JhengHei" w:hint="eastAsia"/>
          <w:b/>
          <w:color w:val="404040"/>
          <w:spacing w:val="-1"/>
        </w:rPr>
        <w:t>行业趋势：</w:t>
      </w:r>
      <w:r>
        <w:rPr>
          <w:color w:val="404040"/>
          <w:spacing w:val="-3"/>
        </w:rPr>
        <w:t>在近端支付被银行、银联、运营商所主导的情况</w:t>
      </w:r>
    </w:p>
    <w:p>
      <w:pPr>
        <w:pStyle w:val="BodyText"/>
        <w:spacing w:line="273" w:lineRule="auto"/>
        <w:ind w:left="1417" w:right="6319"/>
      </w:pPr>
      <w:r>
        <w:rPr>
          <w:color w:val="404040"/>
          <w:spacing w:val="-5"/>
        </w:rPr>
        <w:t>下，支付宝的模式代表着移动支付产业发展的核心方向之一。</w:t>
      </w:r>
      <w:r>
        <w:rPr>
          <w:color w:val="404040"/>
        </w:rPr>
        <w:t>但在</w:t>
      </w:r>
      <w:r>
        <w:rPr>
          <w:rFonts w:ascii="Arial" w:eastAsia="Arial"/>
          <w:color w:val="404040"/>
        </w:rPr>
        <w:t>NFC</w:t>
      </w:r>
      <w:r>
        <w:rPr>
          <w:color w:val="404040"/>
          <w:spacing w:val="-3"/>
        </w:rPr>
        <w:t>终端得到普及的情况下，依靠用户及创新优势后发 制人也是第三方支付企业发展移动支付的又一个选择。</w:t>
      </w:r>
    </w:p>
    <w:p>
      <w:pPr>
        <w:pStyle w:val="BodyText"/>
        <w:rPr>
          <w:sz w:val="30"/>
        </w:rPr>
      </w:pPr>
    </w:p>
    <w:p>
      <w:pPr>
        <w:pStyle w:val="BodyText"/>
        <w:spacing w:before="6"/>
        <w:rPr>
          <w:sz w:val="25"/>
        </w:rPr>
      </w:pPr>
    </w:p>
    <w:p>
      <w:pPr>
        <w:tabs>
          <w:tab w:val="left" w:pos="566"/>
        </w:tabs>
        <w:spacing w:before="0"/>
        <w:ind w:left="0" w:right="170" w:firstLine="0"/>
        <w:jc w:val="righ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rPr>
          <w:rFonts w:ascii="微软雅黑"/>
          <w:b/>
          <w:color w:val="FFFFFF"/>
          <w:sz w:val="21"/>
          <w:shd w:val="clear" w:color="auto" w:fill="B1DB11"/>
        </w:rPr>
        <w:t>8</w:t>
        <w:tab/>
      </w:r>
    </w:p>
    <w:p>
      <w:pPr>
        <w:spacing w:after="0"/>
        <w:jc w:val="right"/>
        <w:rPr>
          <w:rFonts w:ascii="微软雅黑"/>
          <w:sz w:val="21"/>
        </w:rPr>
        <w:sectPr>
          <w:headerReference w:type="default" r:id="rId23"/>
          <w:pgSz w:w="14400" w:h="10800" w:orient="landscape"/>
          <w:pgMar w:top="1060" w:right="460" w:bottom="280" w:left="260" w:header="266" w:footer="0"/>
          <w:pgNumType w:start="8"/>
          <w:cols w:space="708"/>
        </w:sectPr>
      </w:pPr>
    </w:p>
    <w:p>
      <w:pPr>
        <w:pStyle w:val="BodyText"/>
        <w:spacing w:before="2"/>
        <w:rPr>
          <w:rFonts w:ascii="微软雅黑"/>
          <w:b/>
          <w:sz w:val="4"/>
        </w:rPr>
      </w:pPr>
      <w:r>
        <w:pict>
          <v:shape id="_x0000_s1071" type="#_x0000_t202" style="width:522.95pt;height:445.5pt;margin-top:76.72pt;margin-left:97.61pt;mso-position-horizontal-relative:page;mso-position-vertical-relative:page;position:absolute;z-index:251674624" filled="f" stroked="f">
            <v:textbox inset="0,0,0,0">
              <w:txbxContent>
                <w:tbl>
                  <w:tblPr>
                    <w:tblStyle w:val="TableNormal0"/>
                    <w:tblW w:w="0" w:type="auto"/>
                    <w:jc w:val="left"/>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top w:w="0" w:type="dxa"/>
                      <w:left w:w="0" w:type="dxa"/>
                      <w:bottom w:w="0" w:type="dxa"/>
                      <w:right w:w="0" w:type="dxa"/>
                    </w:tblCellMar>
                    <w:tblLook w:val="01E0"/>
                  </w:tblPr>
                  <w:tblGrid>
                    <w:gridCol w:w="4107"/>
                    <w:gridCol w:w="1275"/>
                    <w:gridCol w:w="1613"/>
                    <w:gridCol w:w="3432"/>
                  </w:tblGrid>
                  <w:tr>
                    <w:tblPrEx>
                      <w:tblW w:w="0" w:type="auto"/>
                      <w:jc w:val="left"/>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top w:w="0" w:type="dxa"/>
                        <w:left w:w="0" w:type="dxa"/>
                        <w:bottom w:w="0" w:type="dxa"/>
                        <w:right w:w="0" w:type="dxa"/>
                      </w:tblCellMar>
                      <w:tblLook w:val="01E0"/>
                    </w:tblPrEx>
                    <w:trPr>
                      <w:trHeight w:val="266"/>
                      <w:jc w:val="left"/>
                    </w:trPr>
                    <w:tc>
                      <w:tcPr>
                        <w:tcW w:w="4107" w:type="dxa"/>
                        <w:shd w:val="clear" w:color="auto" w:fill="99CC00"/>
                      </w:tcPr>
                      <w:p>
                        <w:pPr>
                          <w:pStyle w:val="TableParagraph"/>
                          <w:spacing w:line="247" w:lineRule="exact"/>
                          <w:ind w:left="434" w:right="411"/>
                          <w:rPr>
                            <w:rFonts w:ascii="Microsoft JhengHei" w:eastAsia="Microsoft JhengHei" w:hint="eastAsia"/>
                            <w:b/>
                            <w:sz w:val="20"/>
                          </w:rPr>
                        </w:pPr>
                        <w:r>
                          <w:rPr>
                            <w:rFonts w:ascii="Microsoft JhengHei" w:eastAsia="Microsoft JhengHei" w:hint="eastAsia"/>
                            <w:b/>
                            <w:color w:val="FFFFFF"/>
                            <w:sz w:val="20"/>
                          </w:rPr>
                          <w:t>企业名称</w:t>
                        </w:r>
                      </w:p>
                    </w:tc>
                    <w:tc>
                      <w:tcPr>
                        <w:tcW w:w="1275" w:type="dxa"/>
                        <w:shd w:val="clear" w:color="auto" w:fill="99CC00"/>
                      </w:tcPr>
                      <w:p>
                        <w:pPr>
                          <w:pStyle w:val="TableParagraph"/>
                          <w:spacing w:line="247" w:lineRule="exact"/>
                          <w:ind w:left="217" w:right="197"/>
                          <w:rPr>
                            <w:rFonts w:ascii="Microsoft JhengHei" w:eastAsia="Microsoft JhengHei" w:hint="eastAsia"/>
                            <w:b/>
                            <w:sz w:val="20"/>
                          </w:rPr>
                        </w:pPr>
                        <w:r>
                          <w:rPr>
                            <w:rFonts w:ascii="Microsoft JhengHei" w:eastAsia="Microsoft JhengHei" w:hint="eastAsia"/>
                            <w:b/>
                            <w:color w:val="FFFFFF"/>
                            <w:sz w:val="20"/>
                          </w:rPr>
                          <w:t>公司驻地</w:t>
                        </w:r>
                      </w:p>
                    </w:tc>
                    <w:tc>
                      <w:tcPr>
                        <w:tcW w:w="1613" w:type="dxa"/>
                        <w:shd w:val="clear" w:color="auto" w:fill="99CC00"/>
                      </w:tcPr>
                      <w:p>
                        <w:pPr>
                          <w:pStyle w:val="TableParagraph"/>
                          <w:spacing w:line="247" w:lineRule="exact"/>
                          <w:ind w:left="188" w:right="164"/>
                          <w:rPr>
                            <w:rFonts w:ascii="Microsoft JhengHei" w:eastAsia="Microsoft JhengHei" w:hint="eastAsia"/>
                            <w:b/>
                            <w:sz w:val="20"/>
                          </w:rPr>
                        </w:pPr>
                        <w:r>
                          <w:rPr>
                            <w:rFonts w:ascii="Microsoft JhengHei" w:eastAsia="Microsoft JhengHei" w:hint="eastAsia"/>
                            <w:b/>
                            <w:color w:val="FFFFFF"/>
                            <w:sz w:val="20"/>
                          </w:rPr>
                          <w:t>业务覆盖范围</w:t>
                        </w:r>
                      </w:p>
                    </w:tc>
                    <w:tc>
                      <w:tcPr>
                        <w:tcW w:w="3432" w:type="dxa"/>
                        <w:shd w:val="clear" w:color="auto" w:fill="99CC00"/>
                      </w:tcPr>
                      <w:p>
                        <w:pPr>
                          <w:pStyle w:val="TableParagraph"/>
                          <w:spacing w:line="247" w:lineRule="exact"/>
                          <w:ind w:left="76" w:right="52"/>
                          <w:rPr>
                            <w:rFonts w:ascii="Microsoft JhengHei" w:eastAsia="Microsoft JhengHei" w:hint="eastAsia"/>
                            <w:b/>
                            <w:sz w:val="20"/>
                          </w:rPr>
                        </w:pPr>
                        <w:r>
                          <w:rPr>
                            <w:rFonts w:ascii="Microsoft JhengHei" w:eastAsia="Microsoft JhengHei" w:hint="eastAsia"/>
                            <w:b/>
                            <w:color w:val="FFFFFF"/>
                            <w:sz w:val="20"/>
                          </w:rPr>
                          <w:t>业务类型</w:t>
                        </w:r>
                      </w:p>
                    </w:tc>
                  </w:tr>
                  <w:tr>
                    <w:tblPrEx>
                      <w:tblW w:w="0" w:type="auto"/>
                      <w:jc w:val="left"/>
                      <w:tblInd w:w="10" w:type="dxa"/>
                      <w:tblLayout w:type="fixed"/>
                      <w:tblCellMar>
                        <w:top w:w="0" w:type="dxa"/>
                        <w:left w:w="0" w:type="dxa"/>
                        <w:bottom w:w="0" w:type="dxa"/>
                        <w:right w:w="0" w:type="dxa"/>
                      </w:tblCellMar>
                      <w:tblLook w:val="01E0"/>
                    </w:tblPrEx>
                    <w:trPr>
                      <w:trHeight w:val="267"/>
                      <w:jc w:val="left"/>
                    </w:trPr>
                    <w:tc>
                      <w:tcPr>
                        <w:tcW w:w="4107" w:type="dxa"/>
                      </w:tcPr>
                      <w:p>
                        <w:pPr>
                          <w:pStyle w:val="TableParagraph"/>
                          <w:spacing w:line="247" w:lineRule="exact"/>
                          <w:ind w:left="434" w:right="411"/>
                          <w:rPr>
                            <w:sz w:val="20"/>
                          </w:rPr>
                        </w:pPr>
                        <w:r>
                          <w:rPr>
                            <w:color w:val="404040"/>
                            <w:sz w:val="20"/>
                          </w:rPr>
                          <w:t>广东汇卡商务服务有限公司</w:t>
                        </w:r>
                      </w:p>
                    </w:tc>
                    <w:tc>
                      <w:tcPr>
                        <w:tcW w:w="1275" w:type="dxa"/>
                      </w:tcPr>
                      <w:p>
                        <w:pPr>
                          <w:pStyle w:val="TableParagraph"/>
                          <w:spacing w:line="247" w:lineRule="exact"/>
                          <w:ind w:left="217" w:right="197"/>
                          <w:rPr>
                            <w:sz w:val="20"/>
                          </w:rPr>
                        </w:pPr>
                        <w:r>
                          <w:rPr>
                            <w:color w:val="404040"/>
                            <w:sz w:val="20"/>
                          </w:rPr>
                          <w:t>广州</w:t>
                        </w:r>
                      </w:p>
                    </w:tc>
                    <w:tc>
                      <w:tcPr>
                        <w:tcW w:w="1613" w:type="dxa"/>
                      </w:tcPr>
                      <w:p>
                        <w:pPr>
                          <w:pStyle w:val="TableParagraph"/>
                          <w:spacing w:line="247" w:lineRule="exact"/>
                          <w:ind w:left="188" w:right="114"/>
                          <w:rPr>
                            <w:sz w:val="20"/>
                          </w:rPr>
                        </w:pPr>
                        <w:r>
                          <w:rPr>
                            <w:color w:val="404040"/>
                            <w:sz w:val="20"/>
                          </w:rPr>
                          <w:t>广东省</w:t>
                        </w:r>
                      </w:p>
                    </w:tc>
                    <w:tc>
                      <w:tcPr>
                        <w:tcW w:w="3432" w:type="dxa"/>
                      </w:tcPr>
                      <w:p>
                        <w:pPr>
                          <w:pStyle w:val="TableParagraph"/>
                          <w:spacing w:line="247" w:lineRule="exact"/>
                          <w:ind w:left="74" w:right="52"/>
                          <w:rPr>
                            <w:sz w:val="20"/>
                          </w:rPr>
                        </w:pPr>
                        <w:r>
                          <w:rPr>
                            <w:color w:val="404040"/>
                            <w:sz w:val="20"/>
                          </w:rPr>
                          <w:t>银行卡收单</w:t>
                        </w:r>
                      </w:p>
                    </w:tc>
                  </w:tr>
                  <w:tr>
                    <w:tblPrEx>
                      <w:tblW w:w="0" w:type="auto"/>
                      <w:jc w:val="left"/>
                      <w:tblInd w:w="10" w:type="dxa"/>
                      <w:tblLayout w:type="fixed"/>
                      <w:tblCellMar>
                        <w:top w:w="0" w:type="dxa"/>
                        <w:left w:w="0" w:type="dxa"/>
                        <w:bottom w:w="0" w:type="dxa"/>
                        <w:right w:w="0" w:type="dxa"/>
                      </w:tblCellMar>
                      <w:tblLook w:val="01E0"/>
                    </w:tblPrEx>
                    <w:trPr>
                      <w:trHeight w:val="266"/>
                      <w:jc w:val="left"/>
                    </w:trPr>
                    <w:tc>
                      <w:tcPr>
                        <w:tcW w:w="4107" w:type="dxa"/>
                        <w:shd w:val="clear" w:color="auto" w:fill="F1F1F1"/>
                      </w:tcPr>
                      <w:p>
                        <w:pPr>
                          <w:pStyle w:val="TableParagraph"/>
                          <w:spacing w:line="247" w:lineRule="exact"/>
                          <w:ind w:left="434" w:right="413"/>
                          <w:rPr>
                            <w:sz w:val="20"/>
                          </w:rPr>
                        </w:pPr>
                        <w:r>
                          <w:rPr>
                            <w:color w:val="404040"/>
                            <w:sz w:val="20"/>
                          </w:rPr>
                          <w:t>湖南财信金通电子商务有限责任公司</w:t>
                        </w:r>
                      </w:p>
                    </w:tc>
                    <w:tc>
                      <w:tcPr>
                        <w:tcW w:w="1275" w:type="dxa"/>
                        <w:shd w:val="clear" w:color="auto" w:fill="F1F1F1"/>
                      </w:tcPr>
                      <w:p>
                        <w:pPr>
                          <w:pStyle w:val="TableParagraph"/>
                          <w:spacing w:line="247" w:lineRule="exact"/>
                          <w:ind w:left="217" w:right="197"/>
                          <w:rPr>
                            <w:sz w:val="20"/>
                          </w:rPr>
                        </w:pPr>
                        <w:r>
                          <w:rPr>
                            <w:color w:val="404040"/>
                            <w:sz w:val="20"/>
                          </w:rPr>
                          <w:t>长沙</w:t>
                        </w:r>
                      </w:p>
                    </w:tc>
                    <w:tc>
                      <w:tcPr>
                        <w:tcW w:w="1613" w:type="dxa"/>
                        <w:shd w:val="clear" w:color="auto" w:fill="F1F1F1"/>
                      </w:tcPr>
                      <w:p>
                        <w:pPr>
                          <w:pStyle w:val="TableParagraph"/>
                          <w:spacing w:line="247" w:lineRule="exact"/>
                          <w:ind w:left="185" w:right="164"/>
                          <w:rPr>
                            <w:sz w:val="20"/>
                          </w:rPr>
                        </w:pPr>
                        <w:r>
                          <w:rPr>
                            <w:color w:val="404040"/>
                            <w:sz w:val="20"/>
                          </w:rPr>
                          <w:t>湖南省</w:t>
                        </w:r>
                      </w:p>
                    </w:tc>
                    <w:tc>
                      <w:tcPr>
                        <w:tcW w:w="3432" w:type="dxa"/>
                        <w:shd w:val="clear" w:color="auto" w:fill="F1F1F1"/>
                      </w:tcPr>
                      <w:p>
                        <w:pPr>
                          <w:pStyle w:val="TableParagraph"/>
                          <w:spacing w:line="247" w:lineRule="exact"/>
                          <w:ind w:left="76" w:right="52"/>
                          <w:rPr>
                            <w:sz w:val="20"/>
                          </w:rPr>
                        </w:pPr>
                        <w:r>
                          <w:rPr>
                            <w:color w:val="404040"/>
                            <w:sz w:val="20"/>
                          </w:rPr>
                          <w:t>预付卡发行与受理</w:t>
                        </w:r>
                      </w:p>
                    </w:tc>
                  </w:tr>
                  <w:tr>
                    <w:tblPrEx>
                      <w:tblW w:w="0" w:type="auto"/>
                      <w:jc w:val="left"/>
                      <w:tblInd w:w="10" w:type="dxa"/>
                      <w:tblLayout w:type="fixed"/>
                      <w:tblCellMar>
                        <w:top w:w="0" w:type="dxa"/>
                        <w:left w:w="0" w:type="dxa"/>
                        <w:bottom w:w="0" w:type="dxa"/>
                        <w:right w:w="0" w:type="dxa"/>
                      </w:tblCellMar>
                      <w:tblLook w:val="01E0"/>
                    </w:tblPrEx>
                    <w:trPr>
                      <w:trHeight w:val="267"/>
                      <w:jc w:val="left"/>
                    </w:trPr>
                    <w:tc>
                      <w:tcPr>
                        <w:tcW w:w="4107" w:type="dxa"/>
                      </w:tcPr>
                      <w:p>
                        <w:pPr>
                          <w:pStyle w:val="TableParagraph"/>
                          <w:spacing w:line="247" w:lineRule="exact"/>
                          <w:ind w:left="434" w:right="411"/>
                          <w:rPr>
                            <w:sz w:val="20"/>
                          </w:rPr>
                        </w:pPr>
                        <w:r>
                          <w:rPr>
                            <w:color w:val="404040"/>
                            <w:sz w:val="20"/>
                          </w:rPr>
                          <w:t>上海千悦企业管理有限公司</w:t>
                        </w:r>
                      </w:p>
                    </w:tc>
                    <w:tc>
                      <w:tcPr>
                        <w:tcW w:w="1275" w:type="dxa"/>
                      </w:tcPr>
                      <w:p>
                        <w:pPr>
                          <w:pStyle w:val="TableParagraph"/>
                          <w:spacing w:line="247" w:lineRule="exact"/>
                          <w:ind w:left="217" w:right="194"/>
                          <w:rPr>
                            <w:sz w:val="20"/>
                          </w:rPr>
                        </w:pPr>
                        <w:r>
                          <w:rPr>
                            <w:color w:val="404040"/>
                            <w:sz w:val="20"/>
                          </w:rPr>
                          <w:t>上海市</w:t>
                        </w:r>
                      </w:p>
                    </w:tc>
                    <w:tc>
                      <w:tcPr>
                        <w:tcW w:w="1613" w:type="dxa"/>
                      </w:tcPr>
                      <w:p>
                        <w:pPr>
                          <w:pStyle w:val="TableParagraph"/>
                          <w:spacing w:line="247" w:lineRule="exact"/>
                          <w:ind w:left="185" w:right="164"/>
                          <w:rPr>
                            <w:sz w:val="20"/>
                          </w:rPr>
                        </w:pPr>
                        <w:r>
                          <w:rPr>
                            <w:color w:val="404040"/>
                            <w:sz w:val="20"/>
                          </w:rPr>
                          <w:t>上海市</w:t>
                        </w:r>
                      </w:p>
                    </w:tc>
                    <w:tc>
                      <w:tcPr>
                        <w:tcW w:w="3432" w:type="dxa"/>
                      </w:tcPr>
                      <w:p>
                        <w:pPr>
                          <w:pStyle w:val="TableParagraph"/>
                          <w:spacing w:line="247" w:lineRule="exact"/>
                          <w:ind w:left="76" w:right="52"/>
                          <w:rPr>
                            <w:sz w:val="20"/>
                          </w:rPr>
                        </w:pPr>
                        <w:r>
                          <w:rPr>
                            <w:color w:val="404040"/>
                            <w:sz w:val="20"/>
                          </w:rPr>
                          <w:t>预付卡发行与受理</w:t>
                        </w:r>
                      </w:p>
                    </w:tc>
                  </w:tr>
                  <w:tr>
                    <w:tblPrEx>
                      <w:tblW w:w="0" w:type="auto"/>
                      <w:jc w:val="left"/>
                      <w:tblInd w:w="10" w:type="dxa"/>
                      <w:tblLayout w:type="fixed"/>
                      <w:tblCellMar>
                        <w:top w:w="0" w:type="dxa"/>
                        <w:left w:w="0" w:type="dxa"/>
                        <w:bottom w:w="0" w:type="dxa"/>
                        <w:right w:w="0" w:type="dxa"/>
                      </w:tblCellMar>
                      <w:tblLook w:val="01E0"/>
                    </w:tblPrEx>
                    <w:trPr>
                      <w:trHeight w:val="267"/>
                      <w:jc w:val="left"/>
                    </w:trPr>
                    <w:tc>
                      <w:tcPr>
                        <w:tcW w:w="4107" w:type="dxa"/>
                        <w:shd w:val="clear" w:color="auto" w:fill="F1F1F1"/>
                      </w:tcPr>
                      <w:p>
                        <w:pPr>
                          <w:pStyle w:val="TableParagraph"/>
                          <w:spacing w:line="247" w:lineRule="exact"/>
                          <w:ind w:left="433" w:right="413"/>
                          <w:rPr>
                            <w:sz w:val="20"/>
                          </w:rPr>
                        </w:pPr>
                        <w:r>
                          <w:rPr>
                            <w:color w:val="404040"/>
                            <w:sz w:val="20"/>
                          </w:rPr>
                          <w:t>天津中汇富科技有限公司</w:t>
                        </w:r>
                      </w:p>
                    </w:tc>
                    <w:tc>
                      <w:tcPr>
                        <w:tcW w:w="1275" w:type="dxa"/>
                        <w:shd w:val="clear" w:color="auto" w:fill="F1F1F1"/>
                      </w:tcPr>
                      <w:p>
                        <w:pPr>
                          <w:pStyle w:val="TableParagraph"/>
                          <w:spacing w:line="247" w:lineRule="exact"/>
                          <w:ind w:left="217" w:right="197"/>
                          <w:rPr>
                            <w:sz w:val="20"/>
                          </w:rPr>
                        </w:pPr>
                        <w:r>
                          <w:rPr>
                            <w:color w:val="404040"/>
                            <w:sz w:val="20"/>
                          </w:rPr>
                          <w:t>天津</w:t>
                        </w:r>
                      </w:p>
                    </w:tc>
                    <w:tc>
                      <w:tcPr>
                        <w:tcW w:w="1613" w:type="dxa"/>
                        <w:shd w:val="clear" w:color="auto" w:fill="F1F1F1"/>
                      </w:tcPr>
                      <w:p>
                        <w:pPr>
                          <w:pStyle w:val="TableParagraph"/>
                          <w:spacing w:line="247" w:lineRule="exact"/>
                          <w:ind w:left="188" w:right="164"/>
                          <w:rPr>
                            <w:sz w:val="20"/>
                          </w:rPr>
                        </w:pPr>
                        <w:r>
                          <w:rPr>
                            <w:color w:val="404040"/>
                            <w:sz w:val="20"/>
                          </w:rPr>
                          <w:t>全国</w:t>
                        </w:r>
                      </w:p>
                    </w:tc>
                    <w:tc>
                      <w:tcPr>
                        <w:tcW w:w="3432" w:type="dxa"/>
                        <w:shd w:val="clear" w:color="auto" w:fill="F1F1F1"/>
                      </w:tcPr>
                      <w:p>
                        <w:pPr>
                          <w:pStyle w:val="TableParagraph"/>
                          <w:spacing w:line="247" w:lineRule="exact"/>
                          <w:ind w:left="73" w:right="52"/>
                          <w:rPr>
                            <w:sz w:val="20"/>
                          </w:rPr>
                        </w:pPr>
                        <w:r>
                          <w:rPr>
                            <w:color w:val="404040"/>
                            <w:sz w:val="20"/>
                          </w:rPr>
                          <w:t>互联网支付、银行卡收单</w:t>
                        </w:r>
                      </w:p>
                    </w:tc>
                  </w:tr>
                  <w:tr>
                    <w:tblPrEx>
                      <w:tblW w:w="0" w:type="auto"/>
                      <w:jc w:val="left"/>
                      <w:tblInd w:w="10" w:type="dxa"/>
                      <w:tblLayout w:type="fixed"/>
                      <w:tblCellMar>
                        <w:top w:w="0" w:type="dxa"/>
                        <w:left w:w="0" w:type="dxa"/>
                        <w:bottom w:w="0" w:type="dxa"/>
                        <w:right w:w="0" w:type="dxa"/>
                      </w:tblCellMar>
                      <w:tblLook w:val="01E0"/>
                    </w:tblPrEx>
                    <w:trPr>
                      <w:trHeight w:val="266"/>
                      <w:jc w:val="left"/>
                    </w:trPr>
                    <w:tc>
                      <w:tcPr>
                        <w:tcW w:w="4107" w:type="dxa"/>
                      </w:tcPr>
                      <w:p>
                        <w:pPr>
                          <w:pStyle w:val="TableParagraph"/>
                          <w:spacing w:line="247" w:lineRule="exact"/>
                          <w:ind w:left="434" w:right="411"/>
                          <w:rPr>
                            <w:sz w:val="20"/>
                          </w:rPr>
                        </w:pPr>
                        <w:r>
                          <w:rPr>
                            <w:color w:val="404040"/>
                            <w:sz w:val="20"/>
                          </w:rPr>
                          <w:t>辽宁新天数字科技有限公司</w:t>
                        </w:r>
                      </w:p>
                    </w:tc>
                    <w:tc>
                      <w:tcPr>
                        <w:tcW w:w="1275" w:type="dxa"/>
                      </w:tcPr>
                      <w:p>
                        <w:pPr>
                          <w:pStyle w:val="TableParagraph"/>
                          <w:spacing w:line="247" w:lineRule="exact"/>
                          <w:ind w:left="217" w:right="197"/>
                          <w:rPr>
                            <w:sz w:val="20"/>
                          </w:rPr>
                        </w:pPr>
                        <w:r>
                          <w:rPr>
                            <w:color w:val="404040"/>
                            <w:sz w:val="20"/>
                          </w:rPr>
                          <w:t>铁岭</w:t>
                        </w:r>
                      </w:p>
                    </w:tc>
                    <w:tc>
                      <w:tcPr>
                        <w:tcW w:w="1613" w:type="dxa"/>
                      </w:tcPr>
                      <w:p>
                        <w:pPr>
                          <w:pStyle w:val="TableParagraph"/>
                          <w:spacing w:line="247" w:lineRule="exact"/>
                          <w:ind w:left="185" w:right="164"/>
                          <w:rPr>
                            <w:sz w:val="20"/>
                          </w:rPr>
                        </w:pPr>
                        <w:r>
                          <w:rPr>
                            <w:color w:val="404040"/>
                            <w:sz w:val="20"/>
                          </w:rPr>
                          <w:t>辽宁省</w:t>
                        </w:r>
                      </w:p>
                    </w:tc>
                    <w:tc>
                      <w:tcPr>
                        <w:tcW w:w="3432" w:type="dxa"/>
                      </w:tcPr>
                      <w:p>
                        <w:pPr>
                          <w:pStyle w:val="TableParagraph"/>
                          <w:spacing w:line="247" w:lineRule="exact"/>
                          <w:ind w:left="76" w:right="52"/>
                          <w:rPr>
                            <w:sz w:val="20"/>
                          </w:rPr>
                        </w:pPr>
                        <w:r>
                          <w:rPr>
                            <w:color w:val="404040"/>
                            <w:sz w:val="20"/>
                          </w:rPr>
                          <w:t>预付卡发行与受理</w:t>
                        </w:r>
                      </w:p>
                    </w:tc>
                  </w:tr>
                  <w:tr>
                    <w:tblPrEx>
                      <w:tblW w:w="0" w:type="auto"/>
                      <w:jc w:val="left"/>
                      <w:tblInd w:w="10" w:type="dxa"/>
                      <w:tblLayout w:type="fixed"/>
                      <w:tblCellMar>
                        <w:top w:w="0" w:type="dxa"/>
                        <w:left w:w="0" w:type="dxa"/>
                        <w:bottom w:w="0" w:type="dxa"/>
                        <w:right w:w="0" w:type="dxa"/>
                      </w:tblCellMar>
                      <w:tblLook w:val="01E0"/>
                    </w:tblPrEx>
                    <w:trPr>
                      <w:trHeight w:val="267"/>
                      <w:jc w:val="left"/>
                    </w:trPr>
                    <w:tc>
                      <w:tcPr>
                        <w:tcW w:w="4107" w:type="dxa"/>
                        <w:shd w:val="clear" w:color="auto" w:fill="F1F1F1"/>
                      </w:tcPr>
                      <w:p>
                        <w:pPr>
                          <w:pStyle w:val="TableParagraph"/>
                          <w:spacing w:line="247" w:lineRule="exact"/>
                          <w:ind w:left="434" w:right="413"/>
                          <w:rPr>
                            <w:sz w:val="20"/>
                          </w:rPr>
                        </w:pPr>
                        <w:r>
                          <w:rPr>
                            <w:color w:val="404040"/>
                            <w:sz w:val="20"/>
                          </w:rPr>
                          <w:t>江苏飞银商务智能科技有限公司</w:t>
                        </w:r>
                      </w:p>
                    </w:tc>
                    <w:tc>
                      <w:tcPr>
                        <w:tcW w:w="1275" w:type="dxa"/>
                        <w:shd w:val="clear" w:color="auto" w:fill="F1F1F1"/>
                      </w:tcPr>
                      <w:p>
                        <w:pPr>
                          <w:pStyle w:val="TableParagraph"/>
                          <w:spacing w:line="247" w:lineRule="exact"/>
                          <w:ind w:left="217" w:right="197"/>
                          <w:rPr>
                            <w:sz w:val="20"/>
                          </w:rPr>
                        </w:pPr>
                        <w:r>
                          <w:rPr>
                            <w:color w:val="404040"/>
                            <w:sz w:val="20"/>
                          </w:rPr>
                          <w:t>无锡</w:t>
                        </w:r>
                      </w:p>
                    </w:tc>
                    <w:tc>
                      <w:tcPr>
                        <w:tcW w:w="1613" w:type="dxa"/>
                        <w:shd w:val="clear" w:color="auto" w:fill="F1F1F1"/>
                      </w:tcPr>
                      <w:p>
                        <w:pPr>
                          <w:pStyle w:val="TableParagraph"/>
                          <w:spacing w:line="247" w:lineRule="exact"/>
                          <w:ind w:left="185" w:right="164"/>
                          <w:rPr>
                            <w:sz w:val="20"/>
                          </w:rPr>
                        </w:pPr>
                        <w:r>
                          <w:rPr>
                            <w:color w:val="404040"/>
                            <w:sz w:val="20"/>
                          </w:rPr>
                          <w:t>江苏省</w:t>
                        </w:r>
                      </w:p>
                    </w:tc>
                    <w:tc>
                      <w:tcPr>
                        <w:tcW w:w="3432" w:type="dxa"/>
                        <w:shd w:val="clear" w:color="auto" w:fill="F1F1F1"/>
                      </w:tcPr>
                      <w:p>
                        <w:pPr>
                          <w:pStyle w:val="TableParagraph"/>
                          <w:spacing w:line="247" w:lineRule="exact"/>
                          <w:ind w:left="76" w:right="52"/>
                          <w:rPr>
                            <w:sz w:val="20"/>
                          </w:rPr>
                        </w:pPr>
                        <w:r>
                          <w:rPr>
                            <w:color w:val="404040"/>
                            <w:sz w:val="20"/>
                          </w:rPr>
                          <w:t>预付卡发行与受理</w:t>
                        </w:r>
                      </w:p>
                    </w:tc>
                  </w:tr>
                  <w:tr>
                    <w:tblPrEx>
                      <w:tblW w:w="0" w:type="auto"/>
                      <w:jc w:val="left"/>
                      <w:tblInd w:w="10" w:type="dxa"/>
                      <w:tblLayout w:type="fixed"/>
                      <w:tblCellMar>
                        <w:top w:w="0" w:type="dxa"/>
                        <w:left w:w="0" w:type="dxa"/>
                        <w:bottom w:w="0" w:type="dxa"/>
                        <w:right w:w="0" w:type="dxa"/>
                      </w:tblCellMar>
                      <w:tblLook w:val="01E0"/>
                    </w:tblPrEx>
                    <w:trPr>
                      <w:trHeight w:val="266"/>
                      <w:jc w:val="left"/>
                    </w:trPr>
                    <w:tc>
                      <w:tcPr>
                        <w:tcW w:w="4107" w:type="dxa"/>
                      </w:tcPr>
                      <w:p>
                        <w:pPr>
                          <w:pStyle w:val="TableParagraph"/>
                          <w:spacing w:line="247" w:lineRule="exact"/>
                          <w:ind w:left="434" w:right="411"/>
                          <w:rPr>
                            <w:sz w:val="20"/>
                          </w:rPr>
                        </w:pPr>
                        <w:r>
                          <w:rPr>
                            <w:color w:val="404040"/>
                            <w:sz w:val="20"/>
                          </w:rPr>
                          <w:t>山东高速信联支付有限公司</w:t>
                        </w:r>
                      </w:p>
                    </w:tc>
                    <w:tc>
                      <w:tcPr>
                        <w:tcW w:w="1275" w:type="dxa"/>
                      </w:tcPr>
                      <w:p>
                        <w:pPr>
                          <w:pStyle w:val="TableParagraph"/>
                          <w:spacing w:line="247" w:lineRule="exact"/>
                          <w:ind w:left="217" w:right="197"/>
                          <w:rPr>
                            <w:sz w:val="20"/>
                          </w:rPr>
                        </w:pPr>
                        <w:r>
                          <w:rPr>
                            <w:color w:val="404040"/>
                            <w:sz w:val="20"/>
                          </w:rPr>
                          <w:t>济南</w:t>
                        </w:r>
                      </w:p>
                    </w:tc>
                    <w:tc>
                      <w:tcPr>
                        <w:tcW w:w="1613" w:type="dxa"/>
                      </w:tcPr>
                      <w:p>
                        <w:pPr>
                          <w:pStyle w:val="TableParagraph"/>
                          <w:spacing w:line="247" w:lineRule="exact"/>
                          <w:ind w:left="185" w:right="164"/>
                          <w:rPr>
                            <w:sz w:val="20"/>
                          </w:rPr>
                        </w:pPr>
                        <w:r>
                          <w:rPr>
                            <w:color w:val="404040"/>
                            <w:sz w:val="20"/>
                          </w:rPr>
                          <w:t>山东省</w:t>
                        </w:r>
                      </w:p>
                    </w:tc>
                    <w:tc>
                      <w:tcPr>
                        <w:tcW w:w="3432" w:type="dxa"/>
                      </w:tcPr>
                      <w:p>
                        <w:pPr>
                          <w:pStyle w:val="TableParagraph"/>
                          <w:spacing w:line="247" w:lineRule="exact"/>
                          <w:ind w:left="76" w:right="52"/>
                          <w:rPr>
                            <w:sz w:val="20"/>
                          </w:rPr>
                        </w:pPr>
                        <w:r>
                          <w:rPr>
                            <w:color w:val="404040"/>
                            <w:sz w:val="20"/>
                          </w:rPr>
                          <w:t>预付卡发行与受理</w:t>
                        </w:r>
                      </w:p>
                    </w:tc>
                  </w:tr>
                  <w:tr>
                    <w:tblPrEx>
                      <w:tblW w:w="0" w:type="auto"/>
                      <w:jc w:val="left"/>
                      <w:tblInd w:w="10" w:type="dxa"/>
                      <w:tblLayout w:type="fixed"/>
                      <w:tblCellMar>
                        <w:top w:w="0" w:type="dxa"/>
                        <w:left w:w="0" w:type="dxa"/>
                        <w:bottom w:w="0" w:type="dxa"/>
                        <w:right w:w="0" w:type="dxa"/>
                      </w:tblCellMar>
                      <w:tblLook w:val="01E0"/>
                    </w:tblPrEx>
                    <w:trPr>
                      <w:trHeight w:val="267"/>
                      <w:jc w:val="left"/>
                    </w:trPr>
                    <w:tc>
                      <w:tcPr>
                        <w:tcW w:w="4107" w:type="dxa"/>
                        <w:shd w:val="clear" w:color="auto" w:fill="F1F1F1"/>
                      </w:tcPr>
                      <w:p>
                        <w:pPr>
                          <w:pStyle w:val="TableParagraph"/>
                          <w:spacing w:line="247" w:lineRule="exact"/>
                          <w:ind w:left="434" w:right="411"/>
                          <w:rPr>
                            <w:sz w:val="20"/>
                          </w:rPr>
                        </w:pPr>
                        <w:r>
                          <w:rPr>
                            <w:color w:val="404040"/>
                            <w:sz w:val="20"/>
                          </w:rPr>
                          <w:t>中百电子商务有限公司</w:t>
                        </w:r>
                      </w:p>
                    </w:tc>
                    <w:tc>
                      <w:tcPr>
                        <w:tcW w:w="1275" w:type="dxa"/>
                        <w:shd w:val="clear" w:color="auto" w:fill="F1F1F1"/>
                      </w:tcPr>
                      <w:p>
                        <w:pPr>
                          <w:pStyle w:val="TableParagraph"/>
                          <w:spacing w:line="247" w:lineRule="exact"/>
                          <w:ind w:left="217" w:right="194"/>
                          <w:rPr>
                            <w:sz w:val="20"/>
                          </w:rPr>
                        </w:pPr>
                        <w:r>
                          <w:rPr>
                            <w:color w:val="404040"/>
                            <w:sz w:val="20"/>
                          </w:rPr>
                          <w:t>江汉区</w:t>
                        </w:r>
                      </w:p>
                    </w:tc>
                    <w:tc>
                      <w:tcPr>
                        <w:tcW w:w="1613" w:type="dxa"/>
                        <w:shd w:val="clear" w:color="auto" w:fill="F1F1F1"/>
                      </w:tcPr>
                      <w:p>
                        <w:pPr>
                          <w:pStyle w:val="TableParagraph"/>
                          <w:spacing w:line="247" w:lineRule="exact"/>
                          <w:ind w:left="188" w:right="114"/>
                          <w:rPr>
                            <w:sz w:val="20"/>
                          </w:rPr>
                        </w:pPr>
                        <w:r>
                          <w:rPr>
                            <w:color w:val="404040"/>
                            <w:sz w:val="20"/>
                          </w:rPr>
                          <w:t>湖北省</w:t>
                        </w:r>
                      </w:p>
                    </w:tc>
                    <w:tc>
                      <w:tcPr>
                        <w:tcW w:w="3432" w:type="dxa"/>
                        <w:shd w:val="clear" w:color="auto" w:fill="F1F1F1"/>
                      </w:tcPr>
                      <w:p>
                        <w:pPr>
                          <w:pStyle w:val="TableParagraph"/>
                          <w:spacing w:line="247" w:lineRule="exact"/>
                          <w:ind w:left="76" w:right="52"/>
                          <w:rPr>
                            <w:sz w:val="20"/>
                          </w:rPr>
                        </w:pPr>
                        <w:r>
                          <w:rPr>
                            <w:color w:val="404040"/>
                            <w:sz w:val="20"/>
                          </w:rPr>
                          <w:t>预付卡发行与受理</w:t>
                        </w:r>
                      </w:p>
                    </w:tc>
                  </w:tr>
                  <w:tr>
                    <w:tblPrEx>
                      <w:tblW w:w="0" w:type="auto"/>
                      <w:jc w:val="left"/>
                      <w:tblInd w:w="10" w:type="dxa"/>
                      <w:tblLayout w:type="fixed"/>
                      <w:tblCellMar>
                        <w:top w:w="0" w:type="dxa"/>
                        <w:left w:w="0" w:type="dxa"/>
                        <w:bottom w:w="0" w:type="dxa"/>
                        <w:right w:w="0" w:type="dxa"/>
                      </w:tblCellMar>
                      <w:tblLook w:val="01E0"/>
                    </w:tblPrEx>
                    <w:trPr>
                      <w:trHeight w:val="267"/>
                      <w:jc w:val="left"/>
                    </w:trPr>
                    <w:tc>
                      <w:tcPr>
                        <w:tcW w:w="4107" w:type="dxa"/>
                      </w:tcPr>
                      <w:p>
                        <w:pPr>
                          <w:pStyle w:val="TableParagraph"/>
                          <w:spacing w:line="247" w:lineRule="exact"/>
                          <w:ind w:left="434" w:right="413"/>
                          <w:rPr>
                            <w:sz w:val="20"/>
                          </w:rPr>
                        </w:pPr>
                        <w:r>
                          <w:rPr>
                            <w:color w:val="404040"/>
                            <w:sz w:val="20"/>
                          </w:rPr>
                          <w:t>成都支付通新信息技术服务有限公司</w:t>
                        </w:r>
                      </w:p>
                    </w:tc>
                    <w:tc>
                      <w:tcPr>
                        <w:tcW w:w="1275" w:type="dxa"/>
                      </w:tcPr>
                      <w:p>
                        <w:pPr>
                          <w:pStyle w:val="TableParagraph"/>
                          <w:spacing w:line="247" w:lineRule="exact"/>
                          <w:ind w:left="217" w:right="194"/>
                          <w:rPr>
                            <w:sz w:val="20"/>
                          </w:rPr>
                        </w:pPr>
                        <w:r>
                          <w:rPr>
                            <w:color w:val="404040"/>
                            <w:sz w:val="20"/>
                          </w:rPr>
                          <w:t>成都市</w:t>
                        </w:r>
                      </w:p>
                    </w:tc>
                    <w:tc>
                      <w:tcPr>
                        <w:tcW w:w="1613" w:type="dxa"/>
                      </w:tcPr>
                      <w:p>
                        <w:pPr>
                          <w:pStyle w:val="TableParagraph"/>
                          <w:spacing w:line="247" w:lineRule="exact"/>
                          <w:ind w:left="185" w:right="164"/>
                          <w:rPr>
                            <w:sz w:val="20"/>
                          </w:rPr>
                        </w:pPr>
                        <w:r>
                          <w:rPr>
                            <w:color w:val="404040"/>
                            <w:sz w:val="20"/>
                          </w:rPr>
                          <w:t>四川省</w:t>
                        </w:r>
                      </w:p>
                    </w:tc>
                    <w:tc>
                      <w:tcPr>
                        <w:tcW w:w="3432" w:type="dxa"/>
                      </w:tcPr>
                      <w:p>
                        <w:pPr>
                          <w:pStyle w:val="TableParagraph"/>
                          <w:spacing w:line="247" w:lineRule="exact"/>
                          <w:ind w:left="74" w:right="52"/>
                          <w:rPr>
                            <w:sz w:val="20"/>
                          </w:rPr>
                        </w:pPr>
                        <w:r>
                          <w:rPr>
                            <w:color w:val="404040"/>
                            <w:sz w:val="20"/>
                          </w:rPr>
                          <w:t>银行卡收单</w:t>
                        </w:r>
                      </w:p>
                    </w:tc>
                  </w:tr>
                  <w:tr>
                    <w:tblPrEx>
                      <w:tblW w:w="0" w:type="auto"/>
                      <w:jc w:val="left"/>
                      <w:tblInd w:w="10" w:type="dxa"/>
                      <w:tblLayout w:type="fixed"/>
                      <w:tblCellMar>
                        <w:top w:w="0" w:type="dxa"/>
                        <w:left w:w="0" w:type="dxa"/>
                        <w:bottom w:w="0" w:type="dxa"/>
                        <w:right w:w="0" w:type="dxa"/>
                      </w:tblCellMar>
                      <w:tblLook w:val="01E0"/>
                    </w:tblPrEx>
                    <w:trPr>
                      <w:trHeight w:val="266"/>
                      <w:jc w:val="left"/>
                    </w:trPr>
                    <w:tc>
                      <w:tcPr>
                        <w:tcW w:w="4107" w:type="dxa"/>
                        <w:shd w:val="clear" w:color="auto" w:fill="F1F1F1"/>
                      </w:tcPr>
                      <w:p>
                        <w:pPr>
                          <w:pStyle w:val="TableParagraph"/>
                          <w:spacing w:line="247" w:lineRule="exact"/>
                          <w:ind w:left="434" w:right="411"/>
                          <w:rPr>
                            <w:sz w:val="20"/>
                          </w:rPr>
                        </w:pPr>
                        <w:r>
                          <w:rPr>
                            <w:color w:val="404040"/>
                            <w:sz w:val="20"/>
                          </w:rPr>
                          <w:t>陕西煤炭交易中心有限公司</w:t>
                        </w:r>
                      </w:p>
                    </w:tc>
                    <w:tc>
                      <w:tcPr>
                        <w:tcW w:w="1275" w:type="dxa"/>
                        <w:shd w:val="clear" w:color="auto" w:fill="F1F1F1"/>
                      </w:tcPr>
                      <w:p>
                        <w:pPr>
                          <w:pStyle w:val="TableParagraph"/>
                          <w:spacing w:line="247" w:lineRule="exact"/>
                          <w:ind w:left="217" w:right="194"/>
                          <w:rPr>
                            <w:sz w:val="20"/>
                          </w:rPr>
                        </w:pPr>
                        <w:r>
                          <w:rPr>
                            <w:color w:val="404040"/>
                            <w:sz w:val="20"/>
                          </w:rPr>
                          <w:t>西安市</w:t>
                        </w:r>
                      </w:p>
                    </w:tc>
                    <w:tc>
                      <w:tcPr>
                        <w:tcW w:w="1613" w:type="dxa"/>
                        <w:shd w:val="clear" w:color="auto" w:fill="F1F1F1"/>
                      </w:tcPr>
                      <w:p>
                        <w:pPr>
                          <w:pStyle w:val="TableParagraph"/>
                          <w:spacing w:line="247" w:lineRule="exact"/>
                          <w:ind w:left="188" w:right="164"/>
                          <w:rPr>
                            <w:sz w:val="20"/>
                          </w:rPr>
                        </w:pPr>
                        <w:r>
                          <w:rPr>
                            <w:color w:val="404040"/>
                            <w:sz w:val="20"/>
                          </w:rPr>
                          <w:t>全国</w:t>
                        </w:r>
                      </w:p>
                    </w:tc>
                    <w:tc>
                      <w:tcPr>
                        <w:tcW w:w="3432" w:type="dxa"/>
                        <w:shd w:val="clear" w:color="auto" w:fill="F1F1F1"/>
                      </w:tcPr>
                      <w:p>
                        <w:pPr>
                          <w:pStyle w:val="TableParagraph"/>
                          <w:spacing w:line="247" w:lineRule="exact"/>
                          <w:ind w:left="74" w:right="52"/>
                          <w:rPr>
                            <w:sz w:val="20"/>
                          </w:rPr>
                        </w:pPr>
                        <w:r>
                          <w:rPr>
                            <w:color w:val="404040"/>
                            <w:sz w:val="20"/>
                          </w:rPr>
                          <w:t>互联网支付</w:t>
                        </w:r>
                      </w:p>
                    </w:tc>
                  </w:tr>
                  <w:tr>
                    <w:tblPrEx>
                      <w:tblW w:w="0" w:type="auto"/>
                      <w:jc w:val="left"/>
                      <w:tblInd w:w="10" w:type="dxa"/>
                      <w:tblLayout w:type="fixed"/>
                      <w:tblCellMar>
                        <w:top w:w="0" w:type="dxa"/>
                        <w:left w:w="0" w:type="dxa"/>
                        <w:bottom w:w="0" w:type="dxa"/>
                        <w:right w:w="0" w:type="dxa"/>
                      </w:tblCellMar>
                      <w:tblLook w:val="01E0"/>
                    </w:tblPrEx>
                    <w:trPr>
                      <w:trHeight w:val="267"/>
                      <w:jc w:val="left"/>
                    </w:trPr>
                    <w:tc>
                      <w:tcPr>
                        <w:tcW w:w="4107" w:type="dxa"/>
                      </w:tcPr>
                      <w:p>
                        <w:pPr>
                          <w:pStyle w:val="TableParagraph"/>
                          <w:spacing w:line="247" w:lineRule="exact"/>
                          <w:ind w:left="434" w:right="413"/>
                          <w:rPr>
                            <w:sz w:val="20"/>
                          </w:rPr>
                        </w:pPr>
                        <w:r>
                          <w:rPr>
                            <w:color w:val="404040"/>
                            <w:sz w:val="20"/>
                          </w:rPr>
                          <w:t>北京亚科技术开发有限责任公司</w:t>
                        </w:r>
                      </w:p>
                    </w:tc>
                    <w:tc>
                      <w:tcPr>
                        <w:tcW w:w="1275" w:type="dxa"/>
                      </w:tcPr>
                      <w:p>
                        <w:pPr>
                          <w:pStyle w:val="TableParagraph"/>
                          <w:spacing w:line="247" w:lineRule="exact"/>
                          <w:ind w:left="217" w:right="194"/>
                          <w:rPr>
                            <w:sz w:val="20"/>
                          </w:rPr>
                        </w:pPr>
                        <w:r>
                          <w:rPr>
                            <w:color w:val="404040"/>
                            <w:sz w:val="20"/>
                          </w:rPr>
                          <w:t>北京市</w:t>
                        </w:r>
                      </w:p>
                    </w:tc>
                    <w:tc>
                      <w:tcPr>
                        <w:tcW w:w="1613" w:type="dxa"/>
                      </w:tcPr>
                      <w:p>
                        <w:pPr>
                          <w:pStyle w:val="TableParagraph"/>
                          <w:spacing w:line="247" w:lineRule="exact"/>
                          <w:ind w:left="188" w:right="164"/>
                          <w:rPr>
                            <w:sz w:val="20"/>
                          </w:rPr>
                        </w:pPr>
                        <w:r>
                          <w:rPr>
                            <w:color w:val="404040"/>
                            <w:sz w:val="20"/>
                          </w:rPr>
                          <w:t>全国</w:t>
                        </w:r>
                      </w:p>
                    </w:tc>
                    <w:tc>
                      <w:tcPr>
                        <w:tcW w:w="3432" w:type="dxa"/>
                      </w:tcPr>
                      <w:p>
                        <w:pPr>
                          <w:pStyle w:val="TableParagraph"/>
                          <w:spacing w:line="247" w:lineRule="exact"/>
                          <w:ind w:left="74" w:right="52"/>
                          <w:rPr>
                            <w:sz w:val="20"/>
                          </w:rPr>
                        </w:pPr>
                        <w:r>
                          <w:rPr>
                            <w:color w:val="404040"/>
                            <w:sz w:val="20"/>
                          </w:rPr>
                          <w:t>互联网支付</w:t>
                        </w:r>
                      </w:p>
                    </w:tc>
                  </w:tr>
                  <w:tr>
                    <w:tblPrEx>
                      <w:tblW w:w="0" w:type="auto"/>
                      <w:jc w:val="left"/>
                      <w:tblInd w:w="10" w:type="dxa"/>
                      <w:tblLayout w:type="fixed"/>
                      <w:tblCellMar>
                        <w:top w:w="0" w:type="dxa"/>
                        <w:left w:w="0" w:type="dxa"/>
                        <w:bottom w:w="0" w:type="dxa"/>
                        <w:right w:w="0" w:type="dxa"/>
                      </w:tblCellMar>
                      <w:tblLook w:val="01E0"/>
                    </w:tblPrEx>
                    <w:trPr>
                      <w:trHeight w:val="266"/>
                      <w:jc w:val="left"/>
                    </w:trPr>
                    <w:tc>
                      <w:tcPr>
                        <w:tcW w:w="4107" w:type="dxa"/>
                        <w:shd w:val="clear" w:color="auto" w:fill="F1F1F1"/>
                      </w:tcPr>
                      <w:p>
                        <w:pPr>
                          <w:pStyle w:val="TableParagraph"/>
                          <w:spacing w:line="247" w:lineRule="exact"/>
                          <w:ind w:left="433" w:right="413"/>
                          <w:rPr>
                            <w:sz w:val="20"/>
                          </w:rPr>
                        </w:pPr>
                        <w:r>
                          <w:rPr>
                            <w:color w:val="404040"/>
                            <w:sz w:val="20"/>
                          </w:rPr>
                          <w:t>石家庄商商网络有限公司</w:t>
                        </w:r>
                      </w:p>
                    </w:tc>
                    <w:tc>
                      <w:tcPr>
                        <w:tcW w:w="1275" w:type="dxa"/>
                        <w:shd w:val="clear" w:color="auto" w:fill="F1F1F1"/>
                      </w:tcPr>
                      <w:p>
                        <w:pPr>
                          <w:pStyle w:val="TableParagraph"/>
                          <w:spacing w:line="247" w:lineRule="exact"/>
                          <w:ind w:left="217" w:right="194"/>
                          <w:rPr>
                            <w:sz w:val="20"/>
                          </w:rPr>
                        </w:pPr>
                        <w:r>
                          <w:rPr>
                            <w:color w:val="404040"/>
                            <w:sz w:val="20"/>
                          </w:rPr>
                          <w:t>石家庄</w:t>
                        </w:r>
                      </w:p>
                    </w:tc>
                    <w:tc>
                      <w:tcPr>
                        <w:tcW w:w="1613" w:type="dxa"/>
                        <w:shd w:val="clear" w:color="auto" w:fill="F1F1F1"/>
                      </w:tcPr>
                      <w:p>
                        <w:pPr>
                          <w:pStyle w:val="TableParagraph"/>
                          <w:spacing w:line="247" w:lineRule="exact"/>
                          <w:ind w:left="185" w:right="164"/>
                          <w:rPr>
                            <w:sz w:val="20"/>
                          </w:rPr>
                        </w:pPr>
                        <w:r>
                          <w:rPr>
                            <w:color w:val="404040"/>
                            <w:sz w:val="20"/>
                          </w:rPr>
                          <w:t>河北省</w:t>
                        </w:r>
                      </w:p>
                    </w:tc>
                    <w:tc>
                      <w:tcPr>
                        <w:tcW w:w="3432" w:type="dxa"/>
                        <w:shd w:val="clear" w:color="auto" w:fill="F1F1F1"/>
                      </w:tcPr>
                      <w:p>
                        <w:pPr>
                          <w:pStyle w:val="TableParagraph"/>
                          <w:spacing w:line="247" w:lineRule="exact"/>
                          <w:ind w:left="76" w:right="52"/>
                          <w:rPr>
                            <w:sz w:val="20"/>
                          </w:rPr>
                        </w:pPr>
                        <w:r>
                          <w:rPr>
                            <w:color w:val="404040"/>
                            <w:sz w:val="20"/>
                          </w:rPr>
                          <w:t>预付卡发行与受理</w:t>
                        </w:r>
                      </w:p>
                    </w:tc>
                  </w:tr>
                  <w:tr>
                    <w:tblPrEx>
                      <w:tblW w:w="0" w:type="auto"/>
                      <w:jc w:val="left"/>
                      <w:tblInd w:w="10" w:type="dxa"/>
                      <w:tblLayout w:type="fixed"/>
                      <w:tblCellMar>
                        <w:top w:w="0" w:type="dxa"/>
                        <w:left w:w="0" w:type="dxa"/>
                        <w:bottom w:w="0" w:type="dxa"/>
                        <w:right w:w="0" w:type="dxa"/>
                      </w:tblCellMar>
                      <w:tblLook w:val="01E0"/>
                    </w:tblPrEx>
                    <w:trPr>
                      <w:trHeight w:val="837"/>
                      <w:jc w:val="left"/>
                    </w:trPr>
                    <w:tc>
                      <w:tcPr>
                        <w:tcW w:w="4107" w:type="dxa"/>
                      </w:tcPr>
                      <w:p>
                        <w:pPr>
                          <w:pStyle w:val="TableParagraph"/>
                          <w:spacing w:before="3"/>
                          <w:jc w:val="left"/>
                          <w:rPr>
                            <w:sz w:val="22"/>
                          </w:rPr>
                        </w:pPr>
                      </w:p>
                      <w:p>
                        <w:pPr>
                          <w:pStyle w:val="TableParagraph"/>
                          <w:ind w:left="433" w:right="413"/>
                          <w:rPr>
                            <w:sz w:val="20"/>
                          </w:rPr>
                        </w:pPr>
                        <w:r>
                          <w:rPr>
                            <w:color w:val="404040"/>
                            <w:sz w:val="20"/>
                          </w:rPr>
                          <w:t>杭州市民卡有限公司</w:t>
                        </w:r>
                      </w:p>
                    </w:tc>
                    <w:tc>
                      <w:tcPr>
                        <w:tcW w:w="1275" w:type="dxa"/>
                      </w:tcPr>
                      <w:p>
                        <w:pPr>
                          <w:pStyle w:val="TableParagraph"/>
                          <w:spacing w:before="3"/>
                          <w:jc w:val="left"/>
                          <w:rPr>
                            <w:sz w:val="22"/>
                          </w:rPr>
                        </w:pPr>
                      </w:p>
                      <w:p>
                        <w:pPr>
                          <w:pStyle w:val="TableParagraph"/>
                          <w:ind w:left="217" w:right="194"/>
                          <w:rPr>
                            <w:sz w:val="20"/>
                          </w:rPr>
                        </w:pPr>
                        <w:r>
                          <w:rPr>
                            <w:color w:val="404040"/>
                            <w:sz w:val="20"/>
                          </w:rPr>
                          <w:t>杭州市</w:t>
                        </w:r>
                      </w:p>
                    </w:tc>
                    <w:tc>
                      <w:tcPr>
                        <w:tcW w:w="1613" w:type="dxa"/>
                      </w:tcPr>
                      <w:p>
                        <w:pPr>
                          <w:pStyle w:val="TableParagraph"/>
                          <w:spacing w:before="3"/>
                          <w:jc w:val="left"/>
                          <w:rPr>
                            <w:sz w:val="22"/>
                          </w:rPr>
                        </w:pPr>
                      </w:p>
                      <w:p>
                        <w:pPr>
                          <w:pStyle w:val="TableParagraph"/>
                          <w:ind w:left="188" w:right="164"/>
                          <w:rPr>
                            <w:sz w:val="20"/>
                          </w:rPr>
                        </w:pPr>
                        <w:r>
                          <w:rPr>
                            <w:color w:val="404040"/>
                            <w:sz w:val="20"/>
                          </w:rPr>
                          <w:t>——</w:t>
                        </w:r>
                      </w:p>
                    </w:tc>
                    <w:tc>
                      <w:tcPr>
                        <w:tcW w:w="3432" w:type="dxa"/>
                      </w:tcPr>
                      <w:p>
                        <w:pPr>
                          <w:pStyle w:val="TableParagraph"/>
                          <w:spacing w:before="57" w:line="225" w:lineRule="auto"/>
                          <w:ind w:left="23" w:right="-15"/>
                          <w:rPr>
                            <w:sz w:val="20"/>
                          </w:rPr>
                        </w:pPr>
                        <w:r>
                          <w:rPr>
                            <w:color w:val="404040"/>
                            <w:w w:val="95"/>
                            <w:sz w:val="20"/>
                          </w:rPr>
                          <w:t>预付卡发行与受理（仅限浙江省）、互联网支付（全国）、移动电话支付（全</w:t>
                        </w:r>
                        <w:r>
                          <w:rPr>
                            <w:color w:val="404040"/>
                            <w:sz w:val="20"/>
                          </w:rPr>
                          <w:t>国）</w:t>
                        </w:r>
                      </w:p>
                    </w:tc>
                  </w:tr>
                  <w:tr>
                    <w:tblPrEx>
                      <w:tblW w:w="0" w:type="auto"/>
                      <w:jc w:val="left"/>
                      <w:tblInd w:w="10" w:type="dxa"/>
                      <w:tblLayout w:type="fixed"/>
                      <w:tblCellMar>
                        <w:top w:w="0" w:type="dxa"/>
                        <w:left w:w="0" w:type="dxa"/>
                        <w:bottom w:w="0" w:type="dxa"/>
                        <w:right w:w="0" w:type="dxa"/>
                      </w:tblCellMar>
                      <w:tblLook w:val="01E0"/>
                    </w:tblPrEx>
                    <w:trPr>
                      <w:trHeight w:val="266"/>
                      <w:jc w:val="left"/>
                    </w:trPr>
                    <w:tc>
                      <w:tcPr>
                        <w:tcW w:w="4107" w:type="dxa"/>
                        <w:shd w:val="clear" w:color="auto" w:fill="F1F1F1"/>
                      </w:tcPr>
                      <w:p>
                        <w:pPr>
                          <w:pStyle w:val="TableParagraph"/>
                          <w:spacing w:line="246" w:lineRule="exact"/>
                          <w:ind w:left="432" w:right="413"/>
                          <w:rPr>
                            <w:sz w:val="20"/>
                          </w:rPr>
                        </w:pPr>
                        <w:r>
                          <w:rPr>
                            <w:color w:val="404040"/>
                            <w:sz w:val="20"/>
                          </w:rPr>
                          <w:t>合肥新思维商业管理有限责任公司</w:t>
                        </w:r>
                      </w:p>
                    </w:tc>
                    <w:tc>
                      <w:tcPr>
                        <w:tcW w:w="1275" w:type="dxa"/>
                        <w:shd w:val="clear" w:color="auto" w:fill="F1F1F1"/>
                      </w:tcPr>
                      <w:p>
                        <w:pPr>
                          <w:pStyle w:val="TableParagraph"/>
                          <w:spacing w:line="246" w:lineRule="exact"/>
                          <w:ind w:left="217" w:right="194"/>
                          <w:rPr>
                            <w:sz w:val="20"/>
                          </w:rPr>
                        </w:pPr>
                        <w:r>
                          <w:rPr>
                            <w:color w:val="404040"/>
                            <w:sz w:val="20"/>
                          </w:rPr>
                          <w:t>合肥市</w:t>
                        </w:r>
                      </w:p>
                    </w:tc>
                    <w:tc>
                      <w:tcPr>
                        <w:tcW w:w="1613" w:type="dxa"/>
                        <w:shd w:val="clear" w:color="auto" w:fill="F1F1F1"/>
                      </w:tcPr>
                      <w:p>
                        <w:pPr>
                          <w:pStyle w:val="TableParagraph"/>
                          <w:spacing w:line="246" w:lineRule="exact"/>
                          <w:ind w:left="185" w:right="164"/>
                          <w:rPr>
                            <w:sz w:val="20"/>
                          </w:rPr>
                        </w:pPr>
                        <w:r>
                          <w:rPr>
                            <w:color w:val="404040"/>
                            <w:sz w:val="20"/>
                          </w:rPr>
                          <w:t>安徽省</w:t>
                        </w:r>
                      </w:p>
                    </w:tc>
                    <w:tc>
                      <w:tcPr>
                        <w:tcW w:w="3432" w:type="dxa"/>
                        <w:shd w:val="clear" w:color="auto" w:fill="F1F1F1"/>
                      </w:tcPr>
                      <w:p>
                        <w:pPr>
                          <w:pStyle w:val="TableParagraph"/>
                          <w:spacing w:line="246" w:lineRule="exact"/>
                          <w:ind w:left="76" w:right="52"/>
                          <w:rPr>
                            <w:sz w:val="20"/>
                          </w:rPr>
                        </w:pPr>
                        <w:r>
                          <w:rPr>
                            <w:color w:val="404040"/>
                            <w:sz w:val="20"/>
                          </w:rPr>
                          <w:t>预付卡发行与受理</w:t>
                        </w:r>
                      </w:p>
                    </w:tc>
                  </w:tr>
                  <w:tr>
                    <w:tblPrEx>
                      <w:tblW w:w="0" w:type="auto"/>
                      <w:jc w:val="left"/>
                      <w:tblInd w:w="10" w:type="dxa"/>
                      <w:tblLayout w:type="fixed"/>
                      <w:tblCellMar>
                        <w:top w:w="0" w:type="dxa"/>
                        <w:left w:w="0" w:type="dxa"/>
                        <w:bottom w:w="0" w:type="dxa"/>
                        <w:right w:w="0" w:type="dxa"/>
                      </w:tblCellMar>
                      <w:tblLook w:val="01E0"/>
                    </w:tblPrEx>
                    <w:trPr>
                      <w:trHeight w:val="267"/>
                      <w:jc w:val="left"/>
                    </w:trPr>
                    <w:tc>
                      <w:tcPr>
                        <w:tcW w:w="4107" w:type="dxa"/>
                      </w:tcPr>
                      <w:p>
                        <w:pPr>
                          <w:pStyle w:val="TableParagraph"/>
                          <w:spacing w:line="246" w:lineRule="exact"/>
                          <w:ind w:left="434" w:right="413"/>
                          <w:rPr>
                            <w:sz w:val="20"/>
                          </w:rPr>
                        </w:pPr>
                        <w:r>
                          <w:rPr>
                            <w:color w:val="404040"/>
                            <w:sz w:val="20"/>
                          </w:rPr>
                          <w:t>郑州建业至尊商务服务有限公司</w:t>
                        </w:r>
                      </w:p>
                    </w:tc>
                    <w:tc>
                      <w:tcPr>
                        <w:tcW w:w="1275" w:type="dxa"/>
                      </w:tcPr>
                      <w:p>
                        <w:pPr>
                          <w:pStyle w:val="TableParagraph"/>
                          <w:spacing w:line="246" w:lineRule="exact"/>
                          <w:ind w:left="217" w:right="194"/>
                          <w:rPr>
                            <w:sz w:val="20"/>
                          </w:rPr>
                        </w:pPr>
                        <w:r>
                          <w:rPr>
                            <w:color w:val="404040"/>
                            <w:sz w:val="20"/>
                          </w:rPr>
                          <w:t>郑州市</w:t>
                        </w:r>
                      </w:p>
                    </w:tc>
                    <w:tc>
                      <w:tcPr>
                        <w:tcW w:w="1613" w:type="dxa"/>
                      </w:tcPr>
                      <w:p>
                        <w:pPr>
                          <w:pStyle w:val="TableParagraph"/>
                          <w:spacing w:line="246" w:lineRule="exact"/>
                          <w:ind w:left="185" w:right="164"/>
                          <w:rPr>
                            <w:sz w:val="20"/>
                          </w:rPr>
                        </w:pPr>
                        <w:r>
                          <w:rPr>
                            <w:color w:val="404040"/>
                            <w:sz w:val="20"/>
                          </w:rPr>
                          <w:t>河南省</w:t>
                        </w:r>
                      </w:p>
                    </w:tc>
                    <w:tc>
                      <w:tcPr>
                        <w:tcW w:w="3432" w:type="dxa"/>
                      </w:tcPr>
                      <w:p>
                        <w:pPr>
                          <w:pStyle w:val="TableParagraph"/>
                          <w:spacing w:line="246" w:lineRule="exact"/>
                          <w:ind w:left="76" w:right="52"/>
                          <w:rPr>
                            <w:sz w:val="20"/>
                          </w:rPr>
                        </w:pPr>
                        <w:r>
                          <w:rPr>
                            <w:color w:val="404040"/>
                            <w:sz w:val="20"/>
                          </w:rPr>
                          <w:t>预付卡发行与受理</w:t>
                        </w:r>
                      </w:p>
                    </w:tc>
                  </w:tr>
                  <w:tr>
                    <w:tblPrEx>
                      <w:tblW w:w="0" w:type="auto"/>
                      <w:jc w:val="left"/>
                      <w:tblInd w:w="10" w:type="dxa"/>
                      <w:tblLayout w:type="fixed"/>
                      <w:tblCellMar>
                        <w:top w:w="0" w:type="dxa"/>
                        <w:left w:w="0" w:type="dxa"/>
                        <w:bottom w:w="0" w:type="dxa"/>
                        <w:right w:w="0" w:type="dxa"/>
                      </w:tblCellMar>
                      <w:tblLook w:val="01E0"/>
                    </w:tblPrEx>
                    <w:trPr>
                      <w:trHeight w:val="266"/>
                      <w:jc w:val="left"/>
                    </w:trPr>
                    <w:tc>
                      <w:tcPr>
                        <w:tcW w:w="4107" w:type="dxa"/>
                        <w:shd w:val="clear" w:color="auto" w:fill="F1F1F1"/>
                      </w:tcPr>
                      <w:p>
                        <w:pPr>
                          <w:pStyle w:val="TableParagraph"/>
                          <w:spacing w:line="246" w:lineRule="exact"/>
                          <w:ind w:left="434" w:right="411"/>
                          <w:rPr>
                            <w:sz w:val="20"/>
                          </w:rPr>
                        </w:pPr>
                        <w:r>
                          <w:rPr>
                            <w:color w:val="404040"/>
                            <w:sz w:val="20"/>
                          </w:rPr>
                          <w:t>长沙星联商务服务有限公司</w:t>
                        </w:r>
                      </w:p>
                    </w:tc>
                    <w:tc>
                      <w:tcPr>
                        <w:tcW w:w="1275" w:type="dxa"/>
                        <w:shd w:val="clear" w:color="auto" w:fill="F1F1F1"/>
                      </w:tcPr>
                      <w:p>
                        <w:pPr>
                          <w:pStyle w:val="TableParagraph"/>
                          <w:spacing w:line="246" w:lineRule="exact"/>
                          <w:ind w:left="217" w:right="194"/>
                          <w:rPr>
                            <w:sz w:val="20"/>
                          </w:rPr>
                        </w:pPr>
                        <w:r>
                          <w:rPr>
                            <w:color w:val="404040"/>
                            <w:sz w:val="20"/>
                          </w:rPr>
                          <w:t>长沙市</w:t>
                        </w:r>
                      </w:p>
                    </w:tc>
                    <w:tc>
                      <w:tcPr>
                        <w:tcW w:w="1613" w:type="dxa"/>
                        <w:shd w:val="clear" w:color="auto" w:fill="F1F1F1"/>
                      </w:tcPr>
                      <w:p>
                        <w:pPr>
                          <w:pStyle w:val="TableParagraph"/>
                          <w:spacing w:line="246" w:lineRule="exact"/>
                          <w:ind w:left="188" w:right="114"/>
                          <w:rPr>
                            <w:sz w:val="20"/>
                          </w:rPr>
                        </w:pPr>
                        <w:r>
                          <w:rPr>
                            <w:color w:val="404040"/>
                            <w:sz w:val="20"/>
                          </w:rPr>
                          <w:t>湖南省</w:t>
                        </w:r>
                      </w:p>
                    </w:tc>
                    <w:tc>
                      <w:tcPr>
                        <w:tcW w:w="3432" w:type="dxa"/>
                        <w:shd w:val="clear" w:color="auto" w:fill="F1F1F1"/>
                      </w:tcPr>
                      <w:p>
                        <w:pPr>
                          <w:pStyle w:val="TableParagraph"/>
                          <w:spacing w:line="246" w:lineRule="exact"/>
                          <w:ind w:left="76" w:right="52"/>
                          <w:rPr>
                            <w:sz w:val="20"/>
                          </w:rPr>
                        </w:pPr>
                        <w:r>
                          <w:rPr>
                            <w:color w:val="404040"/>
                            <w:sz w:val="20"/>
                          </w:rPr>
                          <w:t>预付卡发行与受理</w:t>
                        </w:r>
                      </w:p>
                    </w:tc>
                  </w:tr>
                  <w:tr>
                    <w:tblPrEx>
                      <w:tblW w:w="0" w:type="auto"/>
                      <w:jc w:val="left"/>
                      <w:tblInd w:w="10" w:type="dxa"/>
                      <w:tblLayout w:type="fixed"/>
                      <w:tblCellMar>
                        <w:top w:w="0" w:type="dxa"/>
                        <w:left w:w="0" w:type="dxa"/>
                        <w:bottom w:w="0" w:type="dxa"/>
                        <w:right w:w="0" w:type="dxa"/>
                      </w:tblCellMar>
                      <w:tblLook w:val="01E0"/>
                    </w:tblPrEx>
                    <w:trPr>
                      <w:trHeight w:val="266"/>
                      <w:jc w:val="left"/>
                    </w:trPr>
                    <w:tc>
                      <w:tcPr>
                        <w:tcW w:w="4107" w:type="dxa"/>
                      </w:tcPr>
                      <w:p>
                        <w:pPr>
                          <w:pStyle w:val="TableParagraph"/>
                          <w:spacing w:before="1" w:line="246" w:lineRule="exact"/>
                          <w:ind w:left="434" w:right="413"/>
                          <w:rPr>
                            <w:sz w:val="20"/>
                          </w:rPr>
                        </w:pPr>
                        <w:r>
                          <w:rPr>
                            <w:color w:val="404040"/>
                            <w:sz w:val="20"/>
                          </w:rPr>
                          <w:t>贵州贵金支付网络服务有限公司</w:t>
                        </w:r>
                      </w:p>
                    </w:tc>
                    <w:tc>
                      <w:tcPr>
                        <w:tcW w:w="1275" w:type="dxa"/>
                      </w:tcPr>
                      <w:p>
                        <w:pPr>
                          <w:pStyle w:val="TableParagraph"/>
                          <w:spacing w:before="1" w:line="246" w:lineRule="exact"/>
                          <w:ind w:left="217" w:right="197"/>
                          <w:rPr>
                            <w:sz w:val="20"/>
                          </w:rPr>
                        </w:pPr>
                        <w:r>
                          <w:rPr>
                            <w:color w:val="404040"/>
                            <w:sz w:val="20"/>
                          </w:rPr>
                          <w:t>贵阳</w:t>
                        </w:r>
                      </w:p>
                    </w:tc>
                    <w:tc>
                      <w:tcPr>
                        <w:tcW w:w="1613" w:type="dxa"/>
                      </w:tcPr>
                      <w:p>
                        <w:pPr>
                          <w:pStyle w:val="TableParagraph"/>
                          <w:spacing w:before="1" w:line="246" w:lineRule="exact"/>
                          <w:ind w:left="185" w:right="164"/>
                          <w:rPr>
                            <w:sz w:val="20"/>
                          </w:rPr>
                        </w:pPr>
                        <w:r>
                          <w:rPr>
                            <w:color w:val="404040"/>
                            <w:sz w:val="20"/>
                          </w:rPr>
                          <w:t>贵州省</w:t>
                        </w:r>
                      </w:p>
                    </w:tc>
                    <w:tc>
                      <w:tcPr>
                        <w:tcW w:w="3432" w:type="dxa"/>
                      </w:tcPr>
                      <w:p>
                        <w:pPr>
                          <w:pStyle w:val="TableParagraph"/>
                          <w:spacing w:before="1" w:line="246" w:lineRule="exact"/>
                          <w:ind w:left="76" w:right="52"/>
                          <w:rPr>
                            <w:sz w:val="20"/>
                          </w:rPr>
                        </w:pPr>
                        <w:r>
                          <w:rPr>
                            <w:color w:val="404040"/>
                            <w:sz w:val="20"/>
                          </w:rPr>
                          <w:t>预付卡发行与受理</w:t>
                        </w:r>
                      </w:p>
                    </w:tc>
                  </w:tr>
                  <w:tr>
                    <w:tblPrEx>
                      <w:tblW w:w="0" w:type="auto"/>
                      <w:jc w:val="left"/>
                      <w:tblInd w:w="10" w:type="dxa"/>
                      <w:tblLayout w:type="fixed"/>
                      <w:tblCellMar>
                        <w:top w:w="0" w:type="dxa"/>
                        <w:left w:w="0" w:type="dxa"/>
                        <w:bottom w:w="0" w:type="dxa"/>
                        <w:right w:w="0" w:type="dxa"/>
                      </w:tblCellMar>
                      <w:tblLook w:val="01E0"/>
                    </w:tblPrEx>
                    <w:trPr>
                      <w:trHeight w:val="266"/>
                      <w:jc w:val="left"/>
                    </w:trPr>
                    <w:tc>
                      <w:tcPr>
                        <w:tcW w:w="4107" w:type="dxa"/>
                        <w:shd w:val="clear" w:color="auto" w:fill="F1F1F1"/>
                      </w:tcPr>
                      <w:p>
                        <w:pPr>
                          <w:pStyle w:val="TableParagraph"/>
                          <w:spacing w:before="1" w:line="246" w:lineRule="exact"/>
                          <w:ind w:left="434" w:right="411"/>
                          <w:rPr>
                            <w:sz w:val="20"/>
                          </w:rPr>
                        </w:pPr>
                        <w:r>
                          <w:rPr>
                            <w:color w:val="404040"/>
                            <w:sz w:val="20"/>
                          </w:rPr>
                          <w:t>山东银利企业服务有限公司</w:t>
                        </w:r>
                      </w:p>
                    </w:tc>
                    <w:tc>
                      <w:tcPr>
                        <w:tcW w:w="1275" w:type="dxa"/>
                        <w:shd w:val="clear" w:color="auto" w:fill="F1F1F1"/>
                      </w:tcPr>
                      <w:p>
                        <w:pPr>
                          <w:pStyle w:val="TableParagraph"/>
                          <w:spacing w:before="1" w:line="246" w:lineRule="exact"/>
                          <w:ind w:left="217" w:right="197"/>
                          <w:rPr>
                            <w:sz w:val="20"/>
                          </w:rPr>
                        </w:pPr>
                        <w:r>
                          <w:rPr>
                            <w:color w:val="404040"/>
                            <w:sz w:val="20"/>
                          </w:rPr>
                          <w:t>青岛</w:t>
                        </w:r>
                      </w:p>
                    </w:tc>
                    <w:tc>
                      <w:tcPr>
                        <w:tcW w:w="1613" w:type="dxa"/>
                        <w:shd w:val="clear" w:color="auto" w:fill="F1F1F1"/>
                      </w:tcPr>
                      <w:p>
                        <w:pPr>
                          <w:pStyle w:val="TableParagraph"/>
                          <w:spacing w:before="1" w:line="246" w:lineRule="exact"/>
                          <w:ind w:left="185" w:right="164"/>
                          <w:rPr>
                            <w:sz w:val="20"/>
                          </w:rPr>
                        </w:pPr>
                        <w:r>
                          <w:rPr>
                            <w:color w:val="404040"/>
                            <w:sz w:val="20"/>
                          </w:rPr>
                          <w:t>青岛市</w:t>
                        </w:r>
                      </w:p>
                    </w:tc>
                    <w:tc>
                      <w:tcPr>
                        <w:tcW w:w="3432" w:type="dxa"/>
                        <w:shd w:val="clear" w:color="auto" w:fill="F1F1F1"/>
                      </w:tcPr>
                      <w:p>
                        <w:pPr>
                          <w:pStyle w:val="TableParagraph"/>
                          <w:spacing w:before="1" w:line="246" w:lineRule="exact"/>
                          <w:ind w:left="76" w:right="52"/>
                          <w:rPr>
                            <w:sz w:val="20"/>
                          </w:rPr>
                        </w:pPr>
                        <w:r>
                          <w:rPr>
                            <w:color w:val="404040"/>
                            <w:sz w:val="20"/>
                          </w:rPr>
                          <w:t>预付卡发行与受理</w:t>
                        </w:r>
                      </w:p>
                    </w:tc>
                  </w:tr>
                  <w:tr>
                    <w:tblPrEx>
                      <w:tblW w:w="0" w:type="auto"/>
                      <w:jc w:val="left"/>
                      <w:tblInd w:w="10" w:type="dxa"/>
                      <w:tblLayout w:type="fixed"/>
                      <w:tblCellMar>
                        <w:top w:w="0" w:type="dxa"/>
                        <w:left w:w="0" w:type="dxa"/>
                        <w:bottom w:w="0" w:type="dxa"/>
                        <w:right w:w="0" w:type="dxa"/>
                      </w:tblCellMar>
                      <w:tblLook w:val="01E0"/>
                    </w:tblPrEx>
                    <w:trPr>
                      <w:trHeight w:val="266"/>
                      <w:jc w:val="left"/>
                    </w:trPr>
                    <w:tc>
                      <w:tcPr>
                        <w:tcW w:w="4107" w:type="dxa"/>
                      </w:tcPr>
                      <w:p>
                        <w:pPr>
                          <w:pStyle w:val="TableParagraph"/>
                          <w:spacing w:before="1" w:line="246" w:lineRule="exact"/>
                          <w:ind w:left="433" w:right="413"/>
                          <w:rPr>
                            <w:sz w:val="20"/>
                          </w:rPr>
                        </w:pPr>
                        <w:r>
                          <w:rPr>
                            <w:color w:val="404040"/>
                            <w:sz w:val="20"/>
                          </w:rPr>
                          <w:t>上海商旅通商务服务有限公司</w:t>
                        </w:r>
                      </w:p>
                    </w:tc>
                    <w:tc>
                      <w:tcPr>
                        <w:tcW w:w="1275" w:type="dxa"/>
                      </w:tcPr>
                      <w:p>
                        <w:pPr>
                          <w:pStyle w:val="TableParagraph"/>
                          <w:spacing w:before="1" w:line="246" w:lineRule="exact"/>
                          <w:ind w:left="217" w:right="194"/>
                          <w:rPr>
                            <w:sz w:val="20"/>
                          </w:rPr>
                        </w:pPr>
                        <w:r>
                          <w:rPr>
                            <w:color w:val="404040"/>
                            <w:sz w:val="20"/>
                          </w:rPr>
                          <w:t>上海市</w:t>
                        </w:r>
                      </w:p>
                    </w:tc>
                    <w:tc>
                      <w:tcPr>
                        <w:tcW w:w="1613" w:type="dxa"/>
                      </w:tcPr>
                      <w:p>
                        <w:pPr>
                          <w:pStyle w:val="TableParagraph"/>
                          <w:spacing w:before="1" w:line="246" w:lineRule="exact"/>
                          <w:ind w:left="185" w:right="164"/>
                          <w:rPr>
                            <w:sz w:val="20"/>
                          </w:rPr>
                        </w:pPr>
                        <w:r>
                          <w:rPr>
                            <w:color w:val="404040"/>
                            <w:sz w:val="20"/>
                          </w:rPr>
                          <w:t>上海市</w:t>
                        </w:r>
                      </w:p>
                    </w:tc>
                    <w:tc>
                      <w:tcPr>
                        <w:tcW w:w="3432" w:type="dxa"/>
                      </w:tcPr>
                      <w:p>
                        <w:pPr>
                          <w:pStyle w:val="TableParagraph"/>
                          <w:spacing w:before="1" w:line="246" w:lineRule="exact"/>
                          <w:ind w:left="76" w:right="52"/>
                          <w:rPr>
                            <w:sz w:val="20"/>
                          </w:rPr>
                        </w:pPr>
                        <w:r>
                          <w:rPr>
                            <w:color w:val="404040"/>
                            <w:sz w:val="20"/>
                          </w:rPr>
                          <w:t>预付卡发行与受理</w:t>
                        </w:r>
                      </w:p>
                    </w:tc>
                  </w:tr>
                  <w:tr>
                    <w:tblPrEx>
                      <w:tblW w:w="0" w:type="auto"/>
                      <w:jc w:val="left"/>
                      <w:tblInd w:w="10" w:type="dxa"/>
                      <w:tblLayout w:type="fixed"/>
                      <w:tblCellMar>
                        <w:top w:w="0" w:type="dxa"/>
                        <w:left w:w="0" w:type="dxa"/>
                        <w:bottom w:w="0" w:type="dxa"/>
                        <w:right w:w="0" w:type="dxa"/>
                      </w:tblCellMar>
                      <w:tblLook w:val="01E0"/>
                    </w:tblPrEx>
                    <w:trPr>
                      <w:trHeight w:val="267"/>
                      <w:jc w:val="left"/>
                    </w:trPr>
                    <w:tc>
                      <w:tcPr>
                        <w:tcW w:w="4107" w:type="dxa"/>
                        <w:shd w:val="clear" w:color="auto" w:fill="F1F1F1"/>
                      </w:tcPr>
                      <w:p>
                        <w:pPr>
                          <w:pStyle w:val="TableParagraph"/>
                          <w:spacing w:before="1" w:line="246" w:lineRule="exact"/>
                          <w:ind w:left="434" w:right="413"/>
                          <w:rPr>
                            <w:sz w:val="20"/>
                          </w:rPr>
                        </w:pPr>
                        <w:r>
                          <w:rPr>
                            <w:color w:val="404040"/>
                            <w:sz w:val="20"/>
                          </w:rPr>
                          <w:t>南京会购信息科技有限责任公司</w:t>
                        </w:r>
                      </w:p>
                    </w:tc>
                    <w:tc>
                      <w:tcPr>
                        <w:tcW w:w="1275" w:type="dxa"/>
                        <w:shd w:val="clear" w:color="auto" w:fill="F1F1F1"/>
                      </w:tcPr>
                      <w:p>
                        <w:pPr>
                          <w:pStyle w:val="TableParagraph"/>
                          <w:spacing w:before="1" w:line="246" w:lineRule="exact"/>
                          <w:ind w:left="217" w:right="194"/>
                          <w:rPr>
                            <w:sz w:val="20"/>
                          </w:rPr>
                        </w:pPr>
                        <w:r>
                          <w:rPr>
                            <w:color w:val="404040"/>
                            <w:sz w:val="20"/>
                          </w:rPr>
                          <w:t>南京市</w:t>
                        </w:r>
                      </w:p>
                    </w:tc>
                    <w:tc>
                      <w:tcPr>
                        <w:tcW w:w="1613" w:type="dxa"/>
                        <w:shd w:val="clear" w:color="auto" w:fill="F1F1F1"/>
                      </w:tcPr>
                      <w:p>
                        <w:pPr>
                          <w:pStyle w:val="TableParagraph"/>
                          <w:spacing w:before="1" w:line="246" w:lineRule="exact"/>
                          <w:ind w:left="185" w:right="164"/>
                          <w:rPr>
                            <w:sz w:val="20"/>
                          </w:rPr>
                        </w:pPr>
                        <w:r>
                          <w:rPr>
                            <w:color w:val="404040"/>
                            <w:sz w:val="20"/>
                          </w:rPr>
                          <w:t>江苏省</w:t>
                        </w:r>
                      </w:p>
                    </w:tc>
                    <w:tc>
                      <w:tcPr>
                        <w:tcW w:w="3432" w:type="dxa"/>
                        <w:shd w:val="clear" w:color="auto" w:fill="F1F1F1"/>
                      </w:tcPr>
                      <w:p>
                        <w:pPr>
                          <w:pStyle w:val="TableParagraph"/>
                          <w:spacing w:before="1" w:line="246" w:lineRule="exact"/>
                          <w:ind w:left="76" w:right="52"/>
                          <w:rPr>
                            <w:sz w:val="20"/>
                          </w:rPr>
                        </w:pPr>
                        <w:r>
                          <w:rPr>
                            <w:color w:val="404040"/>
                            <w:sz w:val="20"/>
                          </w:rPr>
                          <w:t>预付卡发行与受理</w:t>
                        </w:r>
                      </w:p>
                    </w:tc>
                  </w:tr>
                  <w:tr>
                    <w:tblPrEx>
                      <w:tblW w:w="0" w:type="auto"/>
                      <w:jc w:val="left"/>
                      <w:tblInd w:w="10" w:type="dxa"/>
                      <w:tblLayout w:type="fixed"/>
                      <w:tblCellMar>
                        <w:top w:w="0" w:type="dxa"/>
                        <w:left w:w="0" w:type="dxa"/>
                        <w:bottom w:w="0" w:type="dxa"/>
                        <w:right w:w="0" w:type="dxa"/>
                      </w:tblCellMar>
                      <w:tblLook w:val="01E0"/>
                    </w:tblPrEx>
                    <w:trPr>
                      <w:trHeight w:val="266"/>
                      <w:jc w:val="left"/>
                    </w:trPr>
                    <w:tc>
                      <w:tcPr>
                        <w:tcW w:w="4107" w:type="dxa"/>
                      </w:tcPr>
                      <w:p>
                        <w:pPr>
                          <w:pStyle w:val="TableParagraph"/>
                          <w:spacing w:before="1" w:line="246" w:lineRule="exact"/>
                          <w:ind w:left="433" w:right="413"/>
                          <w:rPr>
                            <w:sz w:val="20"/>
                          </w:rPr>
                        </w:pPr>
                        <w:r>
                          <w:rPr>
                            <w:color w:val="404040"/>
                            <w:sz w:val="20"/>
                          </w:rPr>
                          <w:t>江苏金禧智能卡管理有限公司</w:t>
                        </w:r>
                      </w:p>
                    </w:tc>
                    <w:tc>
                      <w:tcPr>
                        <w:tcW w:w="1275" w:type="dxa"/>
                      </w:tcPr>
                      <w:p>
                        <w:pPr>
                          <w:pStyle w:val="TableParagraph"/>
                          <w:spacing w:before="1" w:line="246" w:lineRule="exact"/>
                          <w:ind w:left="217" w:right="194"/>
                          <w:rPr>
                            <w:sz w:val="20"/>
                          </w:rPr>
                        </w:pPr>
                        <w:r>
                          <w:rPr>
                            <w:color w:val="404040"/>
                            <w:sz w:val="20"/>
                          </w:rPr>
                          <w:t>无锡市</w:t>
                        </w:r>
                      </w:p>
                    </w:tc>
                    <w:tc>
                      <w:tcPr>
                        <w:tcW w:w="1613" w:type="dxa"/>
                      </w:tcPr>
                      <w:p>
                        <w:pPr>
                          <w:pStyle w:val="TableParagraph"/>
                          <w:spacing w:before="1" w:line="246" w:lineRule="exact"/>
                          <w:ind w:left="185" w:right="164"/>
                          <w:rPr>
                            <w:sz w:val="20"/>
                          </w:rPr>
                        </w:pPr>
                        <w:r>
                          <w:rPr>
                            <w:color w:val="404040"/>
                            <w:sz w:val="20"/>
                          </w:rPr>
                          <w:t>江苏省</w:t>
                        </w:r>
                      </w:p>
                    </w:tc>
                    <w:tc>
                      <w:tcPr>
                        <w:tcW w:w="3432" w:type="dxa"/>
                      </w:tcPr>
                      <w:p>
                        <w:pPr>
                          <w:pStyle w:val="TableParagraph"/>
                          <w:spacing w:before="1" w:line="246" w:lineRule="exact"/>
                          <w:ind w:left="76" w:right="52"/>
                          <w:rPr>
                            <w:sz w:val="20"/>
                          </w:rPr>
                        </w:pPr>
                        <w:r>
                          <w:rPr>
                            <w:color w:val="404040"/>
                            <w:sz w:val="20"/>
                          </w:rPr>
                          <w:t>预付卡发行与受理</w:t>
                        </w:r>
                      </w:p>
                    </w:tc>
                  </w:tr>
                  <w:tr>
                    <w:tblPrEx>
                      <w:tblW w:w="0" w:type="auto"/>
                      <w:jc w:val="left"/>
                      <w:tblInd w:w="10" w:type="dxa"/>
                      <w:tblLayout w:type="fixed"/>
                      <w:tblCellMar>
                        <w:top w:w="0" w:type="dxa"/>
                        <w:left w:w="0" w:type="dxa"/>
                        <w:bottom w:w="0" w:type="dxa"/>
                        <w:right w:w="0" w:type="dxa"/>
                      </w:tblCellMar>
                      <w:tblLook w:val="01E0"/>
                    </w:tblPrEx>
                    <w:trPr>
                      <w:trHeight w:val="266"/>
                      <w:jc w:val="left"/>
                    </w:trPr>
                    <w:tc>
                      <w:tcPr>
                        <w:tcW w:w="4107" w:type="dxa"/>
                        <w:shd w:val="clear" w:color="auto" w:fill="F1F1F1"/>
                      </w:tcPr>
                      <w:p>
                        <w:pPr>
                          <w:pStyle w:val="TableParagraph"/>
                          <w:spacing w:before="1" w:line="246" w:lineRule="exact"/>
                          <w:ind w:left="434" w:right="413"/>
                          <w:rPr>
                            <w:sz w:val="20"/>
                          </w:rPr>
                        </w:pPr>
                        <w:r>
                          <w:rPr>
                            <w:color w:val="404040"/>
                            <w:sz w:val="20"/>
                          </w:rPr>
                          <w:t>百联优力（北京）投资有限公司</w:t>
                        </w:r>
                      </w:p>
                    </w:tc>
                    <w:tc>
                      <w:tcPr>
                        <w:tcW w:w="1275" w:type="dxa"/>
                        <w:shd w:val="clear" w:color="auto" w:fill="F1F1F1"/>
                      </w:tcPr>
                      <w:p>
                        <w:pPr>
                          <w:pStyle w:val="TableParagraph"/>
                          <w:spacing w:before="1" w:line="246" w:lineRule="exact"/>
                          <w:ind w:left="217" w:right="194"/>
                          <w:rPr>
                            <w:sz w:val="20"/>
                          </w:rPr>
                        </w:pPr>
                        <w:r>
                          <w:rPr>
                            <w:color w:val="404040"/>
                            <w:sz w:val="20"/>
                          </w:rPr>
                          <w:t>北京市</w:t>
                        </w:r>
                      </w:p>
                    </w:tc>
                    <w:tc>
                      <w:tcPr>
                        <w:tcW w:w="1613" w:type="dxa"/>
                        <w:shd w:val="clear" w:color="auto" w:fill="F1F1F1"/>
                      </w:tcPr>
                      <w:p>
                        <w:pPr>
                          <w:pStyle w:val="TableParagraph"/>
                          <w:spacing w:before="1" w:line="246" w:lineRule="exact"/>
                          <w:ind w:left="188" w:right="164"/>
                          <w:rPr>
                            <w:sz w:val="20"/>
                          </w:rPr>
                        </w:pPr>
                        <w:r>
                          <w:rPr>
                            <w:color w:val="404040"/>
                            <w:sz w:val="20"/>
                          </w:rPr>
                          <w:t>全国</w:t>
                        </w:r>
                      </w:p>
                    </w:tc>
                    <w:tc>
                      <w:tcPr>
                        <w:tcW w:w="3432" w:type="dxa"/>
                        <w:shd w:val="clear" w:color="auto" w:fill="F1F1F1"/>
                      </w:tcPr>
                      <w:p>
                        <w:pPr>
                          <w:pStyle w:val="TableParagraph"/>
                          <w:spacing w:before="1" w:line="246" w:lineRule="exact"/>
                          <w:ind w:left="74" w:right="52"/>
                          <w:rPr>
                            <w:sz w:val="20"/>
                          </w:rPr>
                        </w:pPr>
                        <w:r>
                          <w:rPr>
                            <w:color w:val="404040"/>
                            <w:sz w:val="20"/>
                          </w:rPr>
                          <w:t>互联网支付</w:t>
                        </w:r>
                      </w:p>
                    </w:tc>
                  </w:tr>
                  <w:tr>
                    <w:tblPrEx>
                      <w:tblW w:w="0" w:type="auto"/>
                      <w:jc w:val="left"/>
                      <w:tblInd w:w="10" w:type="dxa"/>
                      <w:tblLayout w:type="fixed"/>
                      <w:tblCellMar>
                        <w:top w:w="0" w:type="dxa"/>
                        <w:left w:w="0" w:type="dxa"/>
                        <w:bottom w:w="0" w:type="dxa"/>
                        <w:right w:w="0" w:type="dxa"/>
                      </w:tblCellMar>
                      <w:tblLook w:val="01E0"/>
                    </w:tblPrEx>
                    <w:trPr>
                      <w:trHeight w:val="836"/>
                      <w:jc w:val="left"/>
                    </w:trPr>
                    <w:tc>
                      <w:tcPr>
                        <w:tcW w:w="4107" w:type="dxa"/>
                      </w:tcPr>
                      <w:p>
                        <w:pPr>
                          <w:pStyle w:val="TableParagraph"/>
                          <w:spacing w:before="4"/>
                          <w:jc w:val="left"/>
                          <w:rPr>
                            <w:sz w:val="22"/>
                          </w:rPr>
                        </w:pPr>
                      </w:p>
                      <w:p>
                        <w:pPr>
                          <w:pStyle w:val="TableParagraph"/>
                          <w:ind w:left="433" w:right="413"/>
                          <w:rPr>
                            <w:sz w:val="20"/>
                          </w:rPr>
                        </w:pPr>
                        <w:r>
                          <w:rPr>
                            <w:color w:val="404040"/>
                            <w:sz w:val="20"/>
                          </w:rPr>
                          <w:t>北京银盈通管理咨询有限公司</w:t>
                        </w:r>
                      </w:p>
                    </w:tc>
                    <w:tc>
                      <w:tcPr>
                        <w:tcW w:w="1275" w:type="dxa"/>
                      </w:tcPr>
                      <w:p>
                        <w:pPr>
                          <w:pStyle w:val="TableParagraph"/>
                          <w:spacing w:before="4"/>
                          <w:jc w:val="left"/>
                          <w:rPr>
                            <w:sz w:val="22"/>
                          </w:rPr>
                        </w:pPr>
                      </w:p>
                      <w:p>
                        <w:pPr>
                          <w:pStyle w:val="TableParagraph"/>
                          <w:ind w:left="217" w:right="194"/>
                          <w:rPr>
                            <w:sz w:val="20"/>
                          </w:rPr>
                        </w:pPr>
                        <w:r>
                          <w:rPr>
                            <w:color w:val="404040"/>
                            <w:sz w:val="20"/>
                          </w:rPr>
                          <w:t>北京市</w:t>
                        </w:r>
                      </w:p>
                    </w:tc>
                    <w:tc>
                      <w:tcPr>
                        <w:tcW w:w="1613" w:type="dxa"/>
                      </w:tcPr>
                      <w:p>
                        <w:pPr>
                          <w:pStyle w:val="TableParagraph"/>
                          <w:spacing w:before="4"/>
                          <w:jc w:val="left"/>
                          <w:rPr>
                            <w:sz w:val="22"/>
                          </w:rPr>
                        </w:pPr>
                      </w:p>
                      <w:p>
                        <w:pPr>
                          <w:pStyle w:val="TableParagraph"/>
                          <w:ind w:left="188" w:right="164"/>
                          <w:rPr>
                            <w:sz w:val="20"/>
                          </w:rPr>
                        </w:pPr>
                        <w:r>
                          <w:rPr>
                            <w:color w:val="404040"/>
                            <w:sz w:val="20"/>
                          </w:rPr>
                          <w:t>——</w:t>
                        </w:r>
                      </w:p>
                    </w:tc>
                    <w:tc>
                      <w:tcPr>
                        <w:tcW w:w="3432" w:type="dxa"/>
                      </w:tcPr>
                      <w:p>
                        <w:pPr>
                          <w:pStyle w:val="TableParagraph"/>
                          <w:spacing w:before="46" w:line="248" w:lineRule="exact"/>
                          <w:ind w:left="90" w:right="52"/>
                          <w:rPr>
                            <w:sz w:val="20"/>
                          </w:rPr>
                        </w:pPr>
                        <w:r>
                          <w:rPr>
                            <w:color w:val="404040"/>
                            <w:w w:val="95"/>
                            <w:sz w:val="20"/>
                          </w:rPr>
                          <w:t>预付卡发行与受理（仅限北京市、山西</w:t>
                        </w:r>
                      </w:p>
                      <w:p>
                        <w:pPr>
                          <w:pStyle w:val="TableParagraph"/>
                          <w:spacing w:line="240" w:lineRule="exact"/>
                          <w:ind w:left="76" w:right="52"/>
                          <w:rPr>
                            <w:sz w:val="20"/>
                          </w:rPr>
                        </w:pPr>
                        <w:r>
                          <w:rPr>
                            <w:color w:val="404040"/>
                            <w:sz w:val="20"/>
                          </w:rPr>
                          <w:t>省、云南省、贵州省）、互联网支付</w:t>
                        </w:r>
                      </w:p>
                      <w:p>
                        <w:pPr>
                          <w:pStyle w:val="TableParagraph"/>
                          <w:spacing w:line="248" w:lineRule="exact"/>
                          <w:ind w:left="76" w:right="52"/>
                          <w:rPr>
                            <w:sz w:val="20"/>
                          </w:rPr>
                        </w:pPr>
                        <w:r>
                          <w:rPr>
                            <w:color w:val="404040"/>
                            <w:sz w:val="20"/>
                          </w:rPr>
                          <w:t>（全国）</w:t>
                        </w:r>
                      </w:p>
                    </w:tc>
                  </w:tr>
                  <w:tr>
                    <w:tblPrEx>
                      <w:tblW w:w="0" w:type="auto"/>
                      <w:jc w:val="left"/>
                      <w:tblInd w:w="10" w:type="dxa"/>
                      <w:tblLayout w:type="fixed"/>
                      <w:tblCellMar>
                        <w:top w:w="0" w:type="dxa"/>
                        <w:left w:w="0" w:type="dxa"/>
                        <w:bottom w:w="0" w:type="dxa"/>
                        <w:right w:w="0" w:type="dxa"/>
                      </w:tblCellMar>
                      <w:tblLook w:val="01E0"/>
                    </w:tblPrEx>
                    <w:trPr>
                      <w:trHeight w:val="267"/>
                      <w:jc w:val="left"/>
                    </w:trPr>
                    <w:tc>
                      <w:tcPr>
                        <w:tcW w:w="4107" w:type="dxa"/>
                        <w:shd w:val="clear" w:color="auto" w:fill="F1F1F1"/>
                      </w:tcPr>
                      <w:p>
                        <w:pPr>
                          <w:pStyle w:val="TableParagraph"/>
                          <w:spacing w:before="2" w:line="245" w:lineRule="exact"/>
                          <w:ind w:left="433" w:right="413"/>
                          <w:rPr>
                            <w:sz w:val="20"/>
                          </w:rPr>
                        </w:pPr>
                        <w:r>
                          <w:rPr>
                            <w:color w:val="404040"/>
                            <w:sz w:val="20"/>
                          </w:rPr>
                          <w:t>北京全顺通商贸有限公司</w:t>
                        </w:r>
                      </w:p>
                    </w:tc>
                    <w:tc>
                      <w:tcPr>
                        <w:tcW w:w="1275" w:type="dxa"/>
                        <w:shd w:val="clear" w:color="auto" w:fill="F1F1F1"/>
                      </w:tcPr>
                      <w:p>
                        <w:pPr>
                          <w:pStyle w:val="TableParagraph"/>
                          <w:spacing w:before="2" w:line="245" w:lineRule="exact"/>
                          <w:ind w:left="217" w:right="194"/>
                          <w:rPr>
                            <w:sz w:val="20"/>
                          </w:rPr>
                        </w:pPr>
                        <w:r>
                          <w:rPr>
                            <w:color w:val="404040"/>
                            <w:sz w:val="20"/>
                          </w:rPr>
                          <w:t>北京市</w:t>
                        </w:r>
                      </w:p>
                    </w:tc>
                    <w:tc>
                      <w:tcPr>
                        <w:tcW w:w="1613" w:type="dxa"/>
                        <w:shd w:val="clear" w:color="auto" w:fill="F1F1F1"/>
                      </w:tcPr>
                      <w:p>
                        <w:pPr>
                          <w:pStyle w:val="TableParagraph"/>
                          <w:spacing w:before="2" w:line="245" w:lineRule="exact"/>
                          <w:ind w:left="185" w:right="164"/>
                          <w:rPr>
                            <w:sz w:val="20"/>
                          </w:rPr>
                        </w:pPr>
                        <w:r>
                          <w:rPr>
                            <w:color w:val="404040"/>
                            <w:sz w:val="20"/>
                          </w:rPr>
                          <w:t>北京市</w:t>
                        </w:r>
                      </w:p>
                    </w:tc>
                    <w:tc>
                      <w:tcPr>
                        <w:tcW w:w="3432" w:type="dxa"/>
                        <w:shd w:val="clear" w:color="auto" w:fill="F1F1F1"/>
                      </w:tcPr>
                      <w:p>
                        <w:pPr>
                          <w:pStyle w:val="TableParagraph"/>
                          <w:spacing w:before="2" w:line="245" w:lineRule="exact"/>
                          <w:ind w:left="76" w:right="52"/>
                          <w:rPr>
                            <w:sz w:val="20"/>
                          </w:rPr>
                        </w:pPr>
                        <w:r>
                          <w:rPr>
                            <w:color w:val="404040"/>
                            <w:sz w:val="20"/>
                          </w:rPr>
                          <w:t>预付卡发行与受理</w:t>
                        </w:r>
                      </w:p>
                    </w:tc>
                  </w:tr>
                  <w:tr>
                    <w:tblPrEx>
                      <w:tblW w:w="0" w:type="auto"/>
                      <w:jc w:val="left"/>
                      <w:tblInd w:w="10" w:type="dxa"/>
                      <w:tblLayout w:type="fixed"/>
                      <w:tblCellMar>
                        <w:top w:w="0" w:type="dxa"/>
                        <w:left w:w="0" w:type="dxa"/>
                        <w:bottom w:w="0" w:type="dxa"/>
                        <w:right w:w="0" w:type="dxa"/>
                      </w:tblCellMar>
                      <w:tblLook w:val="01E0"/>
                    </w:tblPrEx>
                    <w:trPr>
                      <w:trHeight w:val="267"/>
                      <w:jc w:val="left"/>
                    </w:trPr>
                    <w:tc>
                      <w:tcPr>
                        <w:tcW w:w="4107" w:type="dxa"/>
                      </w:tcPr>
                      <w:p>
                        <w:pPr>
                          <w:pStyle w:val="TableParagraph"/>
                          <w:spacing w:before="2" w:line="245" w:lineRule="exact"/>
                          <w:ind w:left="434" w:right="413"/>
                          <w:rPr>
                            <w:sz w:val="20"/>
                          </w:rPr>
                        </w:pPr>
                        <w:r>
                          <w:rPr>
                            <w:color w:val="404040"/>
                            <w:sz w:val="20"/>
                          </w:rPr>
                          <w:t>北京恒达万华商业经纪有限公司</w:t>
                        </w:r>
                      </w:p>
                    </w:tc>
                    <w:tc>
                      <w:tcPr>
                        <w:tcW w:w="1275" w:type="dxa"/>
                      </w:tcPr>
                      <w:p>
                        <w:pPr>
                          <w:pStyle w:val="TableParagraph"/>
                          <w:spacing w:before="2" w:line="245" w:lineRule="exact"/>
                          <w:ind w:left="217" w:right="194"/>
                          <w:rPr>
                            <w:sz w:val="20"/>
                          </w:rPr>
                        </w:pPr>
                        <w:r>
                          <w:rPr>
                            <w:color w:val="404040"/>
                            <w:sz w:val="20"/>
                          </w:rPr>
                          <w:t>北京市</w:t>
                        </w:r>
                      </w:p>
                    </w:tc>
                    <w:tc>
                      <w:tcPr>
                        <w:tcW w:w="1613" w:type="dxa"/>
                      </w:tcPr>
                      <w:p>
                        <w:pPr>
                          <w:pStyle w:val="TableParagraph"/>
                          <w:spacing w:before="2" w:line="245" w:lineRule="exact"/>
                          <w:ind w:left="185" w:right="164"/>
                          <w:rPr>
                            <w:sz w:val="20"/>
                          </w:rPr>
                        </w:pPr>
                        <w:r>
                          <w:rPr>
                            <w:color w:val="404040"/>
                            <w:sz w:val="20"/>
                          </w:rPr>
                          <w:t>北京市</w:t>
                        </w:r>
                      </w:p>
                    </w:tc>
                    <w:tc>
                      <w:tcPr>
                        <w:tcW w:w="3432" w:type="dxa"/>
                      </w:tcPr>
                      <w:p>
                        <w:pPr>
                          <w:pStyle w:val="TableParagraph"/>
                          <w:spacing w:before="2" w:line="245" w:lineRule="exact"/>
                          <w:ind w:left="76" w:right="52"/>
                          <w:rPr>
                            <w:sz w:val="20"/>
                          </w:rPr>
                        </w:pPr>
                        <w:r>
                          <w:rPr>
                            <w:color w:val="404040"/>
                            <w:sz w:val="20"/>
                          </w:rPr>
                          <w:t>预付卡发行与受理</w:t>
                        </w:r>
                      </w:p>
                    </w:tc>
                  </w:tr>
                  <w:tr>
                    <w:tblPrEx>
                      <w:tblW w:w="0" w:type="auto"/>
                      <w:jc w:val="left"/>
                      <w:tblInd w:w="10" w:type="dxa"/>
                      <w:tblLayout w:type="fixed"/>
                      <w:tblCellMar>
                        <w:top w:w="0" w:type="dxa"/>
                        <w:left w:w="0" w:type="dxa"/>
                        <w:bottom w:w="0" w:type="dxa"/>
                        <w:right w:w="0" w:type="dxa"/>
                      </w:tblCellMar>
                      <w:tblLook w:val="01E0"/>
                    </w:tblPrEx>
                    <w:trPr>
                      <w:trHeight w:val="267"/>
                      <w:jc w:val="left"/>
                    </w:trPr>
                    <w:tc>
                      <w:tcPr>
                        <w:tcW w:w="4107" w:type="dxa"/>
                        <w:shd w:val="clear" w:color="auto" w:fill="F1F1F1"/>
                      </w:tcPr>
                      <w:p>
                        <w:pPr>
                          <w:pStyle w:val="TableParagraph"/>
                          <w:spacing w:before="2" w:line="245" w:lineRule="exact"/>
                          <w:ind w:left="434" w:right="411"/>
                          <w:rPr>
                            <w:sz w:val="20"/>
                          </w:rPr>
                        </w:pPr>
                        <w:r>
                          <w:rPr>
                            <w:color w:val="404040"/>
                            <w:sz w:val="20"/>
                          </w:rPr>
                          <w:t>温州之民信息服务有限公司</w:t>
                        </w:r>
                      </w:p>
                    </w:tc>
                    <w:tc>
                      <w:tcPr>
                        <w:tcW w:w="1275" w:type="dxa"/>
                        <w:shd w:val="clear" w:color="auto" w:fill="F1F1F1"/>
                      </w:tcPr>
                      <w:p>
                        <w:pPr>
                          <w:pStyle w:val="TableParagraph"/>
                          <w:spacing w:before="2" w:line="245" w:lineRule="exact"/>
                          <w:ind w:left="217" w:right="194"/>
                          <w:rPr>
                            <w:sz w:val="20"/>
                          </w:rPr>
                        </w:pPr>
                        <w:r>
                          <w:rPr>
                            <w:color w:val="404040"/>
                            <w:sz w:val="20"/>
                          </w:rPr>
                          <w:t>温州市</w:t>
                        </w:r>
                      </w:p>
                    </w:tc>
                    <w:tc>
                      <w:tcPr>
                        <w:tcW w:w="1613" w:type="dxa"/>
                        <w:shd w:val="clear" w:color="auto" w:fill="F1F1F1"/>
                      </w:tcPr>
                      <w:p>
                        <w:pPr>
                          <w:pStyle w:val="TableParagraph"/>
                          <w:spacing w:before="2" w:line="245" w:lineRule="exact"/>
                          <w:ind w:left="185" w:right="164"/>
                          <w:rPr>
                            <w:sz w:val="20"/>
                          </w:rPr>
                        </w:pPr>
                        <w:r>
                          <w:rPr>
                            <w:color w:val="404040"/>
                            <w:sz w:val="20"/>
                          </w:rPr>
                          <w:t>浙江省</w:t>
                        </w:r>
                      </w:p>
                    </w:tc>
                    <w:tc>
                      <w:tcPr>
                        <w:tcW w:w="3432" w:type="dxa"/>
                        <w:shd w:val="clear" w:color="auto" w:fill="F1F1F1"/>
                      </w:tcPr>
                      <w:p>
                        <w:pPr>
                          <w:pStyle w:val="TableParagraph"/>
                          <w:spacing w:before="2" w:line="245" w:lineRule="exact"/>
                          <w:ind w:left="76" w:right="52"/>
                          <w:rPr>
                            <w:sz w:val="20"/>
                          </w:rPr>
                        </w:pPr>
                        <w:r>
                          <w:rPr>
                            <w:color w:val="404040"/>
                            <w:sz w:val="20"/>
                          </w:rPr>
                          <w:t>预付卡发行与受理</w:t>
                        </w:r>
                      </w:p>
                    </w:tc>
                  </w:tr>
                </w:tbl>
                <w:p>
                  <w:pPr>
                    <w:pStyle w:val="BodyText"/>
                  </w:pPr>
                </w:p>
              </w:txbxContent>
            </v:textbox>
          </v:shape>
        </w:pict>
      </w:r>
    </w:p>
    <w:p>
      <w:pPr>
        <w:pStyle w:val="BodyText"/>
        <w:spacing w:line="46" w:lineRule="exact"/>
        <w:ind w:left="346"/>
        <w:rPr>
          <w:rFonts w:ascii="微软雅黑"/>
          <w:sz w:val="4"/>
        </w:rPr>
      </w:pPr>
      <w:r>
        <w:rPr>
          <w:rFonts w:ascii="微软雅黑"/>
          <w:position w:val="0"/>
          <w:sz w:val="4"/>
        </w:rPr>
        <w:pict>
          <v:group id="_x0000_i1072" style="width:657.4pt;height:2.25pt;mso-position-horizontal-relative:char;mso-position-vertical-relative:line" coordorigin="0,0" coordsize="13148,45">
            <v:line id="_x0000_s1073" style="position:absolute" from="0,23" to="13148,23" stroked="t" strokecolor="#b1db11" strokeweight="2.25pt">
              <v:stroke dashstyle="solid"/>
            </v:line>
            <w10:wrap type="none"/>
          </v:group>
        </w:pict>
      </w:r>
    </w:p>
    <w:p>
      <w:pPr>
        <w:spacing w:before="0"/>
        <w:ind w:left="2156" w:right="1956" w:firstLine="0"/>
        <w:jc w:val="center"/>
        <w:rPr>
          <w:rFonts w:ascii="Microsoft JhengHei" w:eastAsia="Microsoft JhengHei" w:hint="eastAsia"/>
          <w:b/>
          <w:sz w:val="22"/>
        </w:rPr>
      </w:pPr>
      <w:r>
        <w:rPr>
          <w:rFonts w:ascii="Microsoft JhengHei" w:eastAsia="Microsoft JhengHei" w:hint="eastAsia"/>
          <w:b/>
          <w:sz w:val="22"/>
        </w:rPr>
        <w:t>人民银行第六批支付牌照获牌企业名录</w:t>
      </w:r>
    </w:p>
    <w:p>
      <w:pPr>
        <w:pStyle w:val="BodyText"/>
        <w:rPr>
          <w:rFonts w:ascii="Microsoft JhengHei"/>
          <w:b/>
          <w:sz w:val="30"/>
        </w:rPr>
      </w:pPr>
    </w:p>
    <w:p>
      <w:pPr>
        <w:pStyle w:val="BodyText"/>
        <w:rPr>
          <w:rFonts w:ascii="Microsoft JhengHei"/>
          <w:b/>
          <w:sz w:val="30"/>
        </w:rPr>
      </w:pPr>
    </w:p>
    <w:p>
      <w:pPr>
        <w:pStyle w:val="BodyText"/>
        <w:rPr>
          <w:rFonts w:ascii="Microsoft JhengHei"/>
          <w:b/>
          <w:sz w:val="30"/>
        </w:rPr>
      </w:pPr>
    </w:p>
    <w:p>
      <w:pPr>
        <w:pStyle w:val="BodyText"/>
        <w:rPr>
          <w:rFonts w:ascii="Microsoft JhengHei"/>
          <w:b/>
          <w:sz w:val="30"/>
        </w:rPr>
      </w:pPr>
    </w:p>
    <w:p>
      <w:pPr>
        <w:pStyle w:val="BodyText"/>
        <w:rPr>
          <w:rFonts w:ascii="Microsoft JhengHei"/>
          <w:b/>
          <w:sz w:val="30"/>
        </w:rPr>
      </w:pPr>
    </w:p>
    <w:p>
      <w:pPr>
        <w:pStyle w:val="BodyText"/>
        <w:rPr>
          <w:rFonts w:ascii="Microsoft JhengHei"/>
          <w:b/>
          <w:sz w:val="30"/>
        </w:rPr>
      </w:pPr>
    </w:p>
    <w:p>
      <w:pPr>
        <w:pStyle w:val="BodyText"/>
        <w:rPr>
          <w:rFonts w:ascii="Microsoft JhengHei"/>
          <w:b/>
          <w:sz w:val="30"/>
        </w:rPr>
      </w:pPr>
    </w:p>
    <w:p>
      <w:pPr>
        <w:pStyle w:val="BodyText"/>
        <w:rPr>
          <w:rFonts w:ascii="Microsoft JhengHei"/>
          <w:b/>
          <w:sz w:val="30"/>
        </w:rPr>
      </w:pPr>
    </w:p>
    <w:p>
      <w:pPr>
        <w:pStyle w:val="BodyText"/>
        <w:rPr>
          <w:rFonts w:ascii="Microsoft JhengHei"/>
          <w:b/>
          <w:sz w:val="30"/>
        </w:rPr>
      </w:pPr>
    </w:p>
    <w:p>
      <w:pPr>
        <w:pStyle w:val="BodyText"/>
        <w:rPr>
          <w:rFonts w:ascii="Microsoft JhengHei"/>
          <w:b/>
          <w:sz w:val="30"/>
        </w:rPr>
      </w:pPr>
    </w:p>
    <w:p>
      <w:pPr>
        <w:pStyle w:val="BodyText"/>
        <w:rPr>
          <w:rFonts w:ascii="Microsoft JhengHei"/>
          <w:b/>
          <w:sz w:val="30"/>
        </w:rPr>
      </w:pPr>
    </w:p>
    <w:p>
      <w:pPr>
        <w:pStyle w:val="BodyText"/>
        <w:rPr>
          <w:rFonts w:ascii="Microsoft JhengHei"/>
          <w:b/>
          <w:sz w:val="30"/>
        </w:rPr>
      </w:pPr>
    </w:p>
    <w:p>
      <w:pPr>
        <w:pStyle w:val="BodyText"/>
        <w:rPr>
          <w:rFonts w:ascii="Microsoft JhengHei"/>
          <w:b/>
          <w:sz w:val="30"/>
        </w:rPr>
      </w:pPr>
    </w:p>
    <w:p>
      <w:pPr>
        <w:pStyle w:val="BodyText"/>
        <w:rPr>
          <w:rFonts w:ascii="Microsoft JhengHei"/>
          <w:b/>
          <w:sz w:val="30"/>
        </w:rPr>
      </w:pPr>
    </w:p>
    <w:p>
      <w:pPr>
        <w:pStyle w:val="BodyText"/>
        <w:spacing w:before="8"/>
        <w:rPr>
          <w:rFonts w:ascii="Microsoft JhengHei"/>
          <w:b/>
          <w:sz w:val="30"/>
        </w:rPr>
      </w:pPr>
    </w:p>
    <w:p>
      <w:pPr>
        <w:tabs>
          <w:tab w:val="left" w:pos="566"/>
        </w:tabs>
        <w:spacing w:before="1"/>
        <w:ind w:left="0" w:right="170" w:firstLine="0"/>
        <w:jc w:val="righ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rPr>
          <w:rFonts w:ascii="微软雅黑"/>
          <w:b/>
          <w:color w:val="FFFFFF"/>
          <w:sz w:val="21"/>
          <w:shd w:val="clear" w:color="auto" w:fill="B1DB11"/>
        </w:rPr>
        <w:t>9</w:t>
        <w:tab/>
      </w:r>
    </w:p>
    <w:p>
      <w:pPr>
        <w:pStyle w:val="BodyText"/>
        <w:spacing w:before="2"/>
        <w:rPr>
          <w:rFonts w:ascii="微软雅黑"/>
          <w:b/>
          <w:sz w:val="21"/>
        </w:rPr>
      </w:pPr>
    </w:p>
    <w:p>
      <w:pPr>
        <w:spacing w:before="1"/>
        <w:ind w:left="1250" w:right="0" w:firstLine="0"/>
        <w:jc w:val="left"/>
        <w:rPr>
          <w:sz w:val="16"/>
        </w:rPr>
      </w:pPr>
      <w:r>
        <w:rPr>
          <w:color w:val="7E7E7E"/>
          <w:sz w:val="16"/>
        </w:rPr>
        <w:t>来源：人民银行。</w:t>
      </w:r>
    </w:p>
    <w:p>
      <w:pPr>
        <w:spacing w:after="0"/>
        <w:jc w:val="left"/>
        <w:rPr>
          <w:sz w:val="16"/>
        </w:rPr>
        <w:sectPr>
          <w:headerReference w:type="default" r:id="rId24"/>
          <w:pgSz w:w="14400" w:h="10800" w:orient="landscape"/>
          <w:pgMar w:top="940" w:right="460" w:bottom="0" w:left="260" w:header="266" w:footer="0"/>
          <w:pgNumType w:start="9"/>
          <w:cols w:space="708"/>
        </w:sectPr>
      </w:pPr>
    </w:p>
    <w:p>
      <w:pPr>
        <w:pStyle w:val="BodyText"/>
        <w:rPr>
          <w:sz w:val="20"/>
        </w:rPr>
      </w:pPr>
      <w:r>
        <w:pict>
          <v:group id="_x0000_s1074" style="width:10in;height:54.55pt;margin-top:0;margin-left:0;mso-position-horizontal-relative:page;mso-position-vertical-relative:page;position:absolute;z-index:-251639808" coordorigin="0,0" coordsize="14400,1091">
            <v:rect id="_x0000_s1075" style="width:14400;height:1091;position:absolute;top:-1" filled="t" fillcolor="#b1db11" stroked="f">
              <v:fill type="solid"/>
            </v:rect>
            <v:shape id="_x0000_s1076" type="#_x0000_t75" alt="E:\e\hyde\工作\VI\irg\irg [反白].png" style="width:1558;height:692;left:632;position:absolute;top:254" stroked="f">
              <v:imagedata r:id="rId25" o:title=""/>
            </v:shape>
            <v:shape id="_x0000_s1077" type="#_x0000_t202" style="width:740;height:476;left:12881;position:absolute;top:421" filled="f" stroked="f">
              <v:textbox inset="0,0,0,0">
                <w:txbxContent>
                  <w:p>
                    <w:pPr>
                      <w:spacing w:before="0" w:line="475" w:lineRule="exact"/>
                      <w:ind w:left="0" w:right="0" w:firstLine="0"/>
                      <w:jc w:val="left"/>
                      <w:rPr>
                        <w:rFonts w:ascii="微软雅黑" w:eastAsia="微软雅黑" w:hint="eastAsia"/>
                        <w:b/>
                        <w:sz w:val="36"/>
                      </w:rPr>
                    </w:pPr>
                    <w:r>
                      <w:rPr>
                        <w:rFonts w:ascii="微软雅黑" w:eastAsia="微软雅黑" w:hint="eastAsia"/>
                        <w:b/>
                        <w:color w:val="FFFFFF"/>
                        <w:sz w:val="36"/>
                      </w:rPr>
                      <w:t>目录</w:t>
                    </w:r>
                  </w:p>
                </w:txbxContent>
              </v:textbox>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7"/>
        </w:rPr>
      </w:pPr>
    </w:p>
    <w:p>
      <w:pPr>
        <w:pStyle w:val="Heading2"/>
        <w:numPr>
          <w:ilvl w:val="0"/>
          <w:numId w:val="5"/>
        </w:numPr>
        <w:tabs>
          <w:tab w:val="left" w:pos="2558"/>
        </w:tabs>
        <w:spacing w:before="0" w:after="0" w:line="766" w:lineRule="exact"/>
        <w:ind w:left="2558" w:right="0" w:hanging="593"/>
        <w:jc w:val="left"/>
        <w:rPr>
          <w:rFonts w:ascii="微软雅黑" w:eastAsia="微软雅黑" w:hint="eastAsia"/>
        </w:rPr>
      </w:pPr>
      <w:r>
        <w:rPr>
          <w:rFonts w:ascii="微软雅黑" w:eastAsia="微软雅黑" w:hint="eastAsia"/>
          <w:color w:val="BEBEBE"/>
          <w:spacing w:val="-1"/>
        </w:rPr>
        <w:t>中国电子支付市场月度动态监测</w:t>
      </w:r>
    </w:p>
    <w:p>
      <w:pPr>
        <w:pStyle w:val="ListParagraph"/>
        <w:numPr>
          <w:ilvl w:val="0"/>
          <w:numId w:val="5"/>
        </w:numPr>
        <w:tabs>
          <w:tab w:val="left" w:pos="2558"/>
        </w:tabs>
        <w:spacing w:before="0" w:after="0" w:line="700" w:lineRule="exact"/>
        <w:ind w:left="2558" w:right="0" w:hanging="593"/>
        <w:jc w:val="left"/>
        <w:rPr>
          <w:b/>
          <w:sz w:val="28"/>
        </w:rPr>
      </w:pPr>
      <w:r>
        <w:rPr>
          <w:b/>
          <w:color w:val="BEBEBE"/>
          <w:spacing w:val="-2"/>
          <w:sz w:val="28"/>
        </w:rPr>
        <w:t>中国电子支付市场热点事件解析</w:t>
      </w:r>
    </w:p>
    <w:p>
      <w:pPr>
        <w:pStyle w:val="Heading1"/>
        <w:spacing w:line="701" w:lineRule="exact"/>
      </w:pPr>
      <w:r>
        <w:pict>
          <v:group id="_x0000_s1078" style="width:196.6pt;height:18.55pt;margin-top:12.22pt;margin-left:141.48pt;mso-position-horizontal-relative:page;position:absolute;z-index:251675648" coordorigin="2830,244" coordsize="3932,371">
            <v:shape id="_x0000_s1079" type="#_x0000_t75" style="width:3932;height:309;left:2829;position:absolute;top:302" stroked="f">
              <v:imagedata r:id="rId26" o:title=""/>
            </v:shape>
            <v:shape id="_x0000_s1080" type="#_x0000_t202" style="width:3932;height:371;left:2829;position:absolute;top:244" filled="f" stroked="f">
              <v:textbox inset="0,0,0,0">
                <w:txbxContent>
                  <w:p>
                    <w:pPr>
                      <w:spacing w:before="0" w:line="371" w:lineRule="exact"/>
                      <w:ind w:left="-12" w:right="0" w:firstLine="0"/>
                      <w:jc w:val="left"/>
                      <w:rPr>
                        <w:rFonts w:ascii="微软雅黑" w:eastAsia="微软雅黑" w:hint="eastAsia"/>
                        <w:b/>
                        <w:sz w:val="28"/>
                      </w:rPr>
                    </w:pPr>
                    <w:r>
                      <w:rPr>
                        <w:rFonts w:ascii="微软雅黑" w:eastAsia="微软雅黑" w:hint="eastAsia"/>
                        <w:b/>
                        <w:color w:val="99CC00"/>
                        <w:sz w:val="28"/>
                      </w:rPr>
                      <w:t>中国电子支付市场月度数据监测</w:t>
                    </w:r>
                  </w:p>
                </w:txbxContent>
              </v:textbox>
            </v:shape>
          </v:group>
        </w:pict>
      </w:r>
      <w:r>
        <w:rPr>
          <w:color w:val="99CC00"/>
        </w:rPr>
        <w:t>5</w:t>
      </w:r>
    </w:p>
    <w:p>
      <w:pPr>
        <w:pStyle w:val="Heading2"/>
        <w:spacing w:line="793" w:lineRule="exact"/>
        <w:ind w:left="1965"/>
        <w:rPr>
          <w:rFonts w:ascii="微软雅黑" w:eastAsia="微软雅黑" w:hint="eastAsia"/>
        </w:rPr>
      </w:pPr>
      <w:r>
        <w:rPr>
          <w:rFonts w:ascii="微软雅黑" w:eastAsia="微软雅黑" w:hint="eastAsia"/>
          <w:color w:val="99CC00"/>
          <w:sz w:val="48"/>
        </w:rPr>
        <w:t xml:space="preserve">6 </w:t>
      </w:r>
      <w:r>
        <w:rPr>
          <w:rFonts w:ascii="微软雅黑" w:eastAsia="微软雅黑" w:hint="eastAsia"/>
          <w:color w:val="BEBEBE"/>
        </w:rPr>
        <w:t>壹月热点：艾瑞咨询集团2012年中国第三方支付行业核心数据发布</w: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4"/>
        <w:rPr>
          <w:rFonts w:ascii="微软雅黑"/>
          <w:b/>
          <w:sz w:val="11"/>
        </w:rPr>
      </w:pPr>
    </w:p>
    <w:p>
      <w:pPr>
        <w:spacing w:before="46"/>
        <w:ind w:left="0" w:right="170" w:firstLine="0"/>
        <w:jc w:val="righ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10  </w:t>
      </w:r>
    </w:p>
    <w:p>
      <w:pPr>
        <w:spacing w:after="0"/>
        <w:jc w:val="right"/>
        <w:rPr>
          <w:rFonts w:ascii="微软雅黑"/>
          <w:sz w:val="21"/>
        </w:rPr>
        <w:sectPr>
          <w:headerReference w:type="default" r:id="rId27"/>
          <w:pgSz w:w="14400" w:h="10800" w:orient="landscape"/>
          <w:pgMar w:top="0" w:right="460" w:bottom="280" w:left="260" w:header="0" w:footer="0"/>
          <w:pgNumType w:start="10"/>
          <w:cols w:space="708"/>
        </w:sectPr>
      </w:pPr>
    </w:p>
    <w:p>
      <w:pPr>
        <w:pStyle w:val="BodyText"/>
        <w:spacing w:before="9"/>
        <w:rPr>
          <w:rFonts w:ascii="微软雅黑"/>
          <w:b/>
        </w:rPr>
      </w:pPr>
    </w:p>
    <w:p>
      <w:pPr>
        <w:spacing w:after="0"/>
        <w:rPr>
          <w:rFonts w:ascii="微软雅黑"/>
        </w:rPr>
        <w:sectPr>
          <w:headerReference w:type="default" r:id="rId28"/>
          <w:pgSz w:w="14400" w:h="10800" w:orient="landscape"/>
          <w:pgMar w:top="1060" w:right="460" w:bottom="280" w:left="260" w:header="266" w:footer="0"/>
          <w:pgNumType w:start="11"/>
          <w:cols w:space="708"/>
        </w:sectPr>
      </w:pPr>
    </w:p>
    <w:p>
      <w:pPr>
        <w:pStyle w:val="BodyText"/>
        <w:rPr>
          <w:rFonts w:ascii="微软雅黑"/>
          <w:b/>
          <w:sz w:val="26"/>
        </w:rPr>
      </w:pPr>
    </w:p>
    <w:p>
      <w:pPr>
        <w:pStyle w:val="BodyText"/>
        <w:spacing w:before="6"/>
        <w:rPr>
          <w:rFonts w:ascii="微软雅黑"/>
          <w:b/>
          <w:sz w:val="31"/>
        </w:rPr>
      </w:pPr>
    </w:p>
    <w:p>
      <w:pPr>
        <w:spacing w:before="0"/>
        <w:ind w:left="0" w:right="38" w:firstLine="0"/>
        <w:jc w:val="right"/>
        <w:rPr>
          <w:sz w:val="20"/>
        </w:rPr>
      </w:pPr>
      <w:r>
        <w:rPr>
          <w:color w:val="404040"/>
          <w:w w:val="110"/>
          <w:sz w:val="20"/>
        </w:rPr>
        <w:t>18000</w:t>
      </w:r>
    </w:p>
    <w:p>
      <w:pPr>
        <w:pStyle w:val="Heading3"/>
        <w:spacing w:before="146" w:line="156" w:lineRule="auto"/>
        <w:ind w:left="3412" w:right="3805" w:hanging="1769"/>
      </w:pPr>
      <w:r>
        <w:rPr>
          <w:b w:val="0"/>
        </w:rPr>
        <w:br w:type="column"/>
      </w:r>
      <w:r>
        <w:rPr>
          <w:color w:val="404040"/>
          <w:w w:val="95"/>
        </w:rPr>
        <w:t>iUserTracker-2011年12月-2012年12月中国商业银行网站</w:t>
      </w:r>
      <w:r>
        <w:rPr>
          <w:color w:val="404040"/>
        </w:rPr>
        <w:t>月度总覆盖人数情况</w:t>
      </w:r>
    </w:p>
    <w:p>
      <w:pPr>
        <w:spacing w:after="0" w:line="156" w:lineRule="auto"/>
        <w:sectPr>
          <w:headerReference w:type="default" r:id="rId29"/>
          <w:type w:val="continuous"/>
          <w:pgSz w:w="14400" w:h="10800" w:orient="landscape"/>
          <w:pgMar w:top="0" w:right="460" w:bottom="280" w:left="260" w:header="708" w:footer="708"/>
          <w:pgNumType w:start="12"/>
          <w:cols w:num="2" w:space="708" w:equalWidth="0">
            <w:col w:w="2238" w:space="468"/>
            <w:col w:w="10974" w:space="0"/>
          </w:cols>
        </w:sectPr>
      </w:pPr>
    </w:p>
    <w:p>
      <w:pPr>
        <w:pStyle w:val="BodyText"/>
        <w:rPr>
          <w:rFonts w:ascii="Microsoft JhengHei"/>
          <w:b/>
          <w:sz w:val="20"/>
        </w:rPr>
      </w:pPr>
    </w:p>
    <w:p>
      <w:pPr>
        <w:pStyle w:val="BodyText"/>
        <w:rPr>
          <w:rFonts w:ascii="Microsoft JhengHei"/>
          <w:b/>
          <w:sz w:val="13"/>
        </w:rPr>
      </w:pPr>
    </w:p>
    <w:p>
      <w:pPr>
        <w:spacing w:before="113"/>
        <w:ind w:left="1643" w:right="0" w:firstLine="0"/>
        <w:jc w:val="left"/>
        <w:rPr>
          <w:sz w:val="20"/>
        </w:rPr>
      </w:pPr>
      <w:r>
        <w:pict>
          <v:group id="_x0000_s1081" style="width:481.2pt;height:306.85pt;margin-top:-50.19pt;margin-left:133.56pt;mso-position-horizontal-relative:page;position:absolute;z-index:251677696" coordorigin="2671,-1004" coordsize="9624,6137">
            <v:shape id="_x0000_s1082" style="width:9344;height:4332;left:2812;position:absolute;top:798" coordorigin="2813,798" coordsize="9344,4332" path="m3274,1276l2813,1276,2813,5130,3274,5130,3274,1276xm4015,1158l3552,1158,3552,5130,4015,5130,4015,1158xm4754,921l4291,921,4291,5130,4754,5130,4754,921xm5494,798l5033,798,5033,5130,5494,5130,5494,798xm6235,993l5772,993,5772,5130,6235,5130,6235,993xm6974,846l6511,846,6511,5130,6974,5130,6974,846xm7716,1317l7253,1317,7253,5130,7716,5130,7716,1317xm8455,1645l7992,1645,7992,5130,8455,5130,8455,1645xm9194,1684l8734,1684,8734,5130,9194,5130,9194,1684xm9936,1415l9473,1415,9473,5130,9936,5130,9936,1415xm10675,1288l10212,1288,10212,5130,10675,5130,10675,1288xm11414,981l10954,981,10954,5130,11414,5130,11414,981xm12156,1026l11693,1026,11693,5130,12156,5130,12156,1026xe" filled="t" fillcolor="#9c0" stroked="f">
              <v:fill type="solid"/>
              <v:path arrowok="t"/>
            </v:shape>
            <v:shape id="_x0000_s1083" style="width:9622;height:5856;left:2673;position:absolute;top:-726" coordorigin="2674,-726" coordsize="9622,5856" path="m2674,5130l2674,-726m2674,5130l12295,5130e" filled="f" stroked="t" strokecolor="#7e7e7e" strokeweight="0.24pt">
              <v:stroke dashstyle="solid"/>
              <v:path arrowok="t"/>
            </v:shape>
            <v:shape id="_x0000_s1084" style="width:8880;height:392;left:3043;position:absolute;top:-239" coordorigin="3043,-239" coordsize="8880,392" path="m3043,-239l3782,-90,4524,-140,5263,-87,6002,40,6744,-99,7483,153,8225,112,8964,-18,9703,-171,10445,-97,11184,-174,11923,-18e" filled="f" stroked="t" strokecolor="#9c0" strokeweight="1.92pt">
              <v:stroke dashstyle="solid"/>
              <v:path arrowok="t"/>
            </v:shape>
            <v:rect id="_x0000_s1085" style="width:101;height:101;left:2989;position:absolute;top:-290" filled="t" fillcolor="#9c0" stroked="f">
              <v:fill type="solid"/>
            </v:rect>
            <v:rect id="_x0000_s1086" style="width:101;height:101;left:2989;position:absolute;top:-290" filled="f" stroked="t" strokecolor="#9c0" strokeweight="0.75pt">
              <v:stroke dashstyle="solid"/>
            </v:rect>
            <v:rect id="_x0000_s1087" style="width:101;height:101;left:3731;position:absolute;top:-142" filled="t" fillcolor="#9c0" stroked="f">
              <v:fill type="solid"/>
            </v:rect>
            <v:rect id="_x0000_s1088" style="width:101;height:101;left:3731;position:absolute;top:-142" filled="f" stroked="t" strokecolor="#9c0" strokeweight="0.75pt">
              <v:stroke dashstyle="solid"/>
            </v:rect>
            <v:rect id="_x0000_s1089" style="width:101;height:101;left:4470;position:absolute;top:-194" filled="t" fillcolor="#9c0" stroked="f">
              <v:fill type="solid"/>
            </v:rect>
            <v:rect id="_x0000_s1090" style="width:101;height:101;left:4470;position:absolute;top:-194" filled="f" stroked="t" strokecolor="#9c0" strokeweight="0.75pt">
              <v:stroke dashstyle="solid"/>
            </v:rect>
            <v:rect id="_x0000_s1091" style="width:101;height:101;left:5212;position:absolute;top:-142" filled="t" fillcolor="#9c0" stroked="f">
              <v:fill type="solid"/>
            </v:rect>
            <v:rect id="_x0000_s1092" style="width:101;height:101;left:5212;position:absolute;top:-142" filled="f" stroked="t" strokecolor="#9c0" strokeweight="0.75pt">
              <v:stroke dashstyle="solid"/>
            </v:rect>
            <v:rect id="_x0000_s1093" style="width:101;height:101;left:5951;position:absolute;top:-12" filled="t" fillcolor="#9c0" stroked="f">
              <v:fill type="solid"/>
            </v:rect>
            <v:rect id="_x0000_s1094" style="width:101;height:101;left:5951;position:absolute;top:-12" filled="f" stroked="t" strokecolor="#9c0" strokeweight="0.75pt">
              <v:stroke dashstyle="solid"/>
            </v:rect>
            <v:rect id="_x0000_s1095" style="width:101;height:101;left:6690;position:absolute;top:-151" filled="t" fillcolor="#9c0" stroked="f">
              <v:fill type="solid"/>
            </v:rect>
            <v:rect id="_x0000_s1096" style="width:101;height:101;left:6690;position:absolute;top:-151" filled="f" stroked="t" strokecolor="#9c0" strokeweight="0.75pt">
              <v:stroke dashstyle="solid"/>
            </v:rect>
            <v:rect id="_x0000_s1097" style="width:101;height:101;left:7432;position:absolute;top:98" filled="t" fillcolor="#9c0" stroked="f">
              <v:fill type="solid"/>
            </v:rect>
            <v:rect id="_x0000_s1098" style="width:101;height:101;left:7432;position:absolute;top:98" filled="f" stroked="t" strokecolor="#9c0" strokeweight="0.75pt">
              <v:stroke dashstyle="solid"/>
            </v:rect>
            <v:rect id="_x0000_s1099" style="width:101;height:101;left:8171;position:absolute;top:58" filled="t" fillcolor="#9c0" stroked="f">
              <v:fill type="solid"/>
            </v:rect>
            <v:rect id="_x0000_s1100" style="width:101;height:101;left:8171;position:absolute;top:58" filled="f" stroked="t" strokecolor="#9c0" strokeweight="0.75pt">
              <v:stroke dashstyle="solid"/>
            </v:rect>
            <v:rect id="_x0000_s1101" style="width:101;height:101;left:8910;position:absolute;top:-72" filled="t" fillcolor="#9c0" stroked="f">
              <v:fill type="solid"/>
            </v:rect>
            <v:rect id="_x0000_s1102" style="width:101;height:101;left:8910;position:absolute;top:-72" filled="f" stroked="t" strokecolor="#9c0" strokeweight="0.75pt">
              <v:stroke dashstyle="solid"/>
            </v:rect>
            <v:rect id="_x0000_s1103" style="width:101;height:36;left:9652;position:absolute;top:-161" filled="t" fillcolor="#9c0" stroked="f">
              <v:fill type="solid"/>
            </v:rect>
            <v:rect id="_x0000_s1104" style="width:101;height:101;left:9652;position:absolute;top:-226" filled="f" stroked="t" strokecolor="#9c0" strokeweight="0.75pt">
              <v:stroke dashstyle="solid"/>
            </v:rect>
            <v:rect id="_x0000_s1105" style="width:101;height:101;left:10391;position:absolute;top:-149" filled="t" fillcolor="#9c0" stroked="f">
              <v:fill type="solid"/>
            </v:rect>
            <v:rect id="_x0000_s1106" style="width:101;height:101;left:10391;position:absolute;top:-149" filled="f" stroked="t" strokecolor="#9c0" strokeweight="0.75pt">
              <v:stroke dashstyle="solid"/>
            </v:rect>
            <v:rect id="_x0000_s1107" style="width:101;height:101;left:11130;position:absolute;top:-228" filled="t" fillcolor="#9c0" stroked="f">
              <v:fill type="solid"/>
            </v:rect>
            <v:rect id="_x0000_s1108" style="width:101;height:101;left:11130;position:absolute;top:-228" filled="f" stroked="t" strokecolor="#9c0" strokeweight="0.75pt">
              <v:stroke dashstyle="solid"/>
            </v:rect>
            <v:rect id="_x0000_s1109" style="width:101;height:101;left:11872;position:absolute;top:-72" filled="t" fillcolor="#9c0" stroked="f">
              <v:fill type="solid"/>
            </v:rect>
            <v:rect id="_x0000_s1110" style="width:101;height:101;left:11872;position:absolute;top:-72" filled="f" stroked="t" strokecolor="#9c0" strokeweight="0.75pt">
              <v:stroke dashstyle="solid"/>
            </v:rect>
            <v:shape id="_x0000_s1111" style="width:8880;height:567;left:3043;position:absolute;top:-697" coordorigin="3043,-697" coordsize="8880,567" path="m3043,-131l3782,-205,4524,-567,5263,-371,6002,-522,6744,-697,7483,-582,8225,-301,8964,-140,9703,-210,10445,-303,11184,-385,11923,-150e" filled="f" stroked="t" strokecolor="blue" strokeweight="1.92pt">
              <v:stroke dashstyle="solid"/>
              <v:path arrowok="t"/>
            </v:shape>
            <v:rect id="_x0000_s1112" style="width:101;height:101;left:2989;position:absolute;top:-182" filled="t" fillcolor="blue" stroked="f">
              <v:fill type="solid"/>
            </v:rect>
            <v:rect id="_x0000_s1113" style="width:101;height:101;left:2989;position:absolute;top:-182" filled="f" stroked="t" strokecolor="blue" strokeweight="0.75pt">
              <v:stroke dashstyle="solid"/>
            </v:rect>
            <v:rect id="_x0000_s1114" style="width:101;height:101;left:3731;position:absolute;top:-259" filled="t" fillcolor="blue" stroked="f">
              <v:fill type="solid"/>
            </v:rect>
            <v:rect id="_x0000_s1115" style="width:101;height:101;left:3731;position:absolute;top:-259" filled="f" stroked="t" strokecolor="blue" strokeweight="0.75pt">
              <v:stroke dashstyle="solid"/>
            </v:rect>
            <v:rect id="_x0000_s1116" style="width:101;height:101;left:4470;position:absolute;top:-622" filled="t" fillcolor="blue" stroked="f">
              <v:fill type="solid"/>
            </v:rect>
            <v:rect id="_x0000_s1117" style="width:101;height:101;left:4470;position:absolute;top:-622" filled="f" stroked="t" strokecolor="blue" strokeweight="0.75pt">
              <v:stroke dashstyle="solid"/>
            </v:rect>
            <v:rect id="_x0000_s1118" style="width:101;height:101;left:5212;position:absolute;top:-425" filled="t" fillcolor="blue" stroked="f">
              <v:fill type="solid"/>
            </v:rect>
            <v:rect id="_x0000_s1119" style="width:101;height:101;left:5212;position:absolute;top:-425" filled="f" stroked="t" strokecolor="blue" strokeweight="0.75pt">
              <v:stroke dashstyle="solid"/>
            </v:rect>
            <v:rect id="_x0000_s1120" style="width:101;height:101;left:5951;position:absolute;top:-576" filled="t" fillcolor="blue" stroked="f">
              <v:fill type="solid"/>
            </v:rect>
            <v:rect id="_x0000_s1121" style="width:101;height:101;left:5951;position:absolute;top:-576" filled="f" stroked="t" strokecolor="blue" strokeweight="0.75pt">
              <v:stroke dashstyle="solid"/>
            </v:rect>
            <v:rect id="_x0000_s1122" style="width:101;height:101;left:6690;position:absolute;top:-751" filled="t" fillcolor="blue" stroked="f">
              <v:fill type="solid"/>
            </v:rect>
            <v:rect id="_x0000_s1123" style="width:101;height:101;left:6690;position:absolute;top:-751" filled="f" stroked="t" strokecolor="blue" strokeweight="0.75pt">
              <v:stroke dashstyle="solid"/>
            </v:rect>
            <v:rect id="_x0000_s1124" style="width:101;height:101;left:7432;position:absolute;top:-636" filled="t" fillcolor="blue" stroked="f">
              <v:fill type="solid"/>
            </v:rect>
            <v:rect id="_x0000_s1125" style="width:101;height:101;left:7432;position:absolute;top:-636" filled="f" stroked="t" strokecolor="blue" strokeweight="0.75pt">
              <v:stroke dashstyle="solid"/>
            </v:rect>
            <v:rect id="_x0000_s1126" style="width:101;height:101;left:8171;position:absolute;top:-355" filled="t" fillcolor="blue" stroked="f">
              <v:fill type="solid"/>
            </v:rect>
            <v:rect id="_x0000_s1127" style="width:101;height:101;left:8171;position:absolute;top:-355" filled="f" stroked="t" strokecolor="blue" strokeweight="0.75pt">
              <v:stroke dashstyle="solid"/>
            </v:rect>
            <v:rect id="_x0000_s1128" style="width:101;height:101;left:8910;position:absolute;top:-194" filled="t" fillcolor="blue" stroked="f">
              <v:fill type="solid"/>
            </v:rect>
            <v:rect id="_x0000_s1129" style="width:101;height:101;left:8910;position:absolute;top:-194" filled="f" stroked="t" strokecolor="blue" strokeweight="0.75pt">
              <v:stroke dashstyle="solid"/>
            </v:rect>
            <v:rect id="_x0000_s1130" style="width:101;height:101;left:9652;position:absolute;top:-262" filled="t" fillcolor="blue" stroked="f">
              <v:fill type="solid"/>
            </v:rect>
            <v:rect id="_x0000_s1131" style="width:101;height:101;left:9652;position:absolute;top:-262" filled="f" stroked="t" strokecolor="blue" strokeweight="0.75pt">
              <v:stroke dashstyle="solid"/>
            </v:rect>
            <v:rect id="_x0000_s1132" style="width:101;height:101;left:10391;position:absolute;top:-355" filled="t" fillcolor="blue" stroked="f">
              <v:fill type="solid"/>
            </v:rect>
            <v:rect id="_x0000_s1133" style="width:101;height:101;left:10391;position:absolute;top:-355" filled="f" stroked="t" strokecolor="blue" strokeweight="0.75pt">
              <v:stroke dashstyle="solid"/>
            </v:rect>
            <v:rect id="_x0000_s1134" style="width:101;height:101;left:11130;position:absolute;top:-437" filled="t" fillcolor="blue" stroked="f">
              <v:fill type="solid"/>
            </v:rect>
            <v:rect id="_x0000_s1135" style="width:101;height:101;left:11130;position:absolute;top:-437" filled="f" stroked="t" strokecolor="blue" strokeweight="0.75pt">
              <v:stroke dashstyle="solid"/>
            </v:rect>
            <v:rect id="_x0000_s1136" style="width:101;height:101;left:11872;position:absolute;top:-202" filled="t" fillcolor="blue" stroked="f">
              <v:fill type="solid"/>
            </v:rect>
            <v:rect id="_x0000_s1137" style="width:101;height:101;left:11872;position:absolute;top:-202" filled="f" stroked="t" strokecolor="blue" strokeweight="0.75pt">
              <v:stroke dashstyle="solid"/>
            </v:rect>
            <v:shape id="_x0000_s1138" type="#_x0000_t202" style="width:457;height:222;left:4324;position:absolute;top:-996" filled="f" stroked="f">
              <v:textbox inset="0,0,0,0">
                <w:txbxContent>
                  <w:p>
                    <w:pPr>
                      <w:spacing w:before="12"/>
                      <w:ind w:left="0" w:right="0" w:firstLine="0"/>
                      <w:jc w:val="left"/>
                      <w:rPr>
                        <w:sz w:val="16"/>
                      </w:rPr>
                    </w:pPr>
                    <w:r>
                      <w:rPr>
                        <w:color w:val="0000FF"/>
                        <w:w w:val="111"/>
                        <w:sz w:val="16"/>
                      </w:rPr>
                      <w:t>3</w:t>
                    </w:r>
                    <w:r>
                      <w:rPr>
                        <w:color w:val="0000FF"/>
                        <w:spacing w:val="-1"/>
                        <w:w w:val="111"/>
                        <w:sz w:val="16"/>
                      </w:rPr>
                      <w:t>0</w:t>
                    </w:r>
                    <w:r>
                      <w:rPr>
                        <w:color w:val="0000FF"/>
                        <w:w w:val="55"/>
                        <w:sz w:val="16"/>
                      </w:rPr>
                      <w:t>.</w:t>
                    </w:r>
                    <w:r>
                      <w:rPr>
                        <w:color w:val="0000FF"/>
                        <w:w w:val="111"/>
                        <w:sz w:val="16"/>
                      </w:rPr>
                      <w:t>8</w:t>
                    </w:r>
                    <w:r>
                      <w:rPr>
                        <w:color w:val="0000FF"/>
                        <w:w w:val="155"/>
                        <w:sz w:val="16"/>
                      </w:rPr>
                      <w:t>%</w:t>
                    </w:r>
                  </w:p>
                </w:txbxContent>
              </v:textbox>
            </v:shape>
            <v:shape id="_x0000_s1139" type="#_x0000_t202" style="width:457;height:222;left:6504;position:absolute;top:-1004" filled="f" stroked="f">
              <v:textbox inset="0,0,0,0">
                <w:txbxContent>
                  <w:p>
                    <w:pPr>
                      <w:spacing w:before="12"/>
                      <w:ind w:left="0" w:right="0" w:firstLine="0"/>
                      <w:jc w:val="left"/>
                      <w:rPr>
                        <w:sz w:val="16"/>
                      </w:rPr>
                    </w:pPr>
                    <w:r>
                      <w:rPr>
                        <w:color w:val="0000FF"/>
                        <w:w w:val="111"/>
                        <w:sz w:val="16"/>
                      </w:rPr>
                      <w:t>3</w:t>
                    </w:r>
                    <w:r>
                      <w:rPr>
                        <w:color w:val="0000FF"/>
                        <w:spacing w:val="-1"/>
                        <w:w w:val="111"/>
                        <w:sz w:val="16"/>
                      </w:rPr>
                      <w:t>8</w:t>
                    </w:r>
                    <w:r>
                      <w:rPr>
                        <w:color w:val="0000FF"/>
                        <w:w w:val="55"/>
                        <w:sz w:val="16"/>
                      </w:rPr>
                      <w:t>.</w:t>
                    </w:r>
                    <w:r>
                      <w:rPr>
                        <w:color w:val="0000FF"/>
                        <w:w w:val="111"/>
                        <w:sz w:val="16"/>
                      </w:rPr>
                      <w:t>3</w:t>
                    </w:r>
                    <w:r>
                      <w:rPr>
                        <w:color w:val="0000FF"/>
                        <w:w w:val="155"/>
                        <w:sz w:val="16"/>
                      </w:rPr>
                      <w:t>%</w:t>
                    </w:r>
                  </w:p>
                </w:txbxContent>
              </v:textbox>
            </v:shape>
            <v:shape id="_x0000_s1140" type="#_x0000_t202" style="width:457;height:222;left:5024;position:absolute;top:-799" filled="f" stroked="f">
              <v:textbox inset="0,0,0,0">
                <w:txbxContent>
                  <w:p>
                    <w:pPr>
                      <w:spacing w:before="12"/>
                      <w:ind w:left="0" w:right="0" w:firstLine="0"/>
                      <w:jc w:val="left"/>
                      <w:rPr>
                        <w:sz w:val="16"/>
                      </w:rPr>
                    </w:pPr>
                    <w:r>
                      <w:rPr>
                        <w:color w:val="0000FF"/>
                        <w:w w:val="111"/>
                        <w:sz w:val="16"/>
                      </w:rPr>
                      <w:t>1</w:t>
                    </w:r>
                    <w:r>
                      <w:rPr>
                        <w:color w:val="0000FF"/>
                        <w:spacing w:val="-1"/>
                        <w:w w:val="111"/>
                        <w:sz w:val="16"/>
                      </w:rPr>
                      <w:t>9</w:t>
                    </w:r>
                    <w:r>
                      <w:rPr>
                        <w:color w:val="0000FF"/>
                        <w:w w:val="55"/>
                        <w:sz w:val="16"/>
                      </w:rPr>
                      <w:t>.</w:t>
                    </w:r>
                    <w:r>
                      <w:rPr>
                        <w:color w:val="0000FF"/>
                        <w:w w:val="111"/>
                        <w:sz w:val="16"/>
                      </w:rPr>
                      <w:t>4</w:t>
                    </w:r>
                    <w:r>
                      <w:rPr>
                        <w:color w:val="0000FF"/>
                        <w:w w:val="155"/>
                        <w:sz w:val="16"/>
                      </w:rPr>
                      <w:t>%</w:t>
                    </w:r>
                  </w:p>
                </w:txbxContent>
              </v:textbox>
            </v:shape>
            <v:shape id="_x0000_s1141" type="#_x0000_t202" style="width:457;height:222;left:2827;position:absolute;top:-590" filled="f" stroked="f">
              <v:textbox inset="0,0,0,0">
                <w:txbxContent>
                  <w:p>
                    <w:pPr>
                      <w:spacing w:before="12"/>
                      <w:ind w:left="0" w:right="0" w:firstLine="0"/>
                      <w:jc w:val="left"/>
                      <w:rPr>
                        <w:sz w:val="16"/>
                      </w:rPr>
                    </w:pPr>
                    <w:r>
                      <w:rPr>
                        <w:color w:val="404040"/>
                        <w:w w:val="111"/>
                        <w:sz w:val="16"/>
                      </w:rPr>
                      <w:t>1</w:t>
                    </w:r>
                    <w:r>
                      <w:rPr>
                        <w:color w:val="404040"/>
                        <w:spacing w:val="-1"/>
                        <w:w w:val="111"/>
                        <w:sz w:val="16"/>
                      </w:rPr>
                      <w:t>1</w:t>
                    </w:r>
                    <w:r>
                      <w:rPr>
                        <w:color w:val="404040"/>
                        <w:w w:val="55"/>
                        <w:sz w:val="16"/>
                      </w:rPr>
                      <w:t>.</w:t>
                    </w:r>
                    <w:r>
                      <w:rPr>
                        <w:color w:val="404040"/>
                        <w:w w:val="111"/>
                        <w:sz w:val="16"/>
                      </w:rPr>
                      <w:t>6</w:t>
                    </w:r>
                    <w:r>
                      <w:rPr>
                        <w:color w:val="404040"/>
                        <w:w w:val="155"/>
                        <w:sz w:val="16"/>
                      </w:rPr>
                      <w:t>%</w:t>
                    </w:r>
                  </w:p>
                </w:txbxContent>
              </v:textbox>
            </v:shape>
            <v:shape id="_x0000_s1142" type="#_x0000_t202" style="width:458;height:223;left:5704;position:absolute;top:-770" filled="f" stroked="f">
              <v:textbox inset="0,0,0,0">
                <w:txbxContent>
                  <w:p>
                    <w:pPr>
                      <w:spacing w:before="12"/>
                      <w:ind w:left="0" w:right="0" w:firstLine="0"/>
                      <w:jc w:val="left"/>
                      <w:rPr>
                        <w:sz w:val="16"/>
                      </w:rPr>
                    </w:pPr>
                    <w:r>
                      <w:rPr>
                        <w:color w:val="0000FF"/>
                        <w:spacing w:val="-1"/>
                        <w:w w:val="111"/>
                        <w:sz w:val="16"/>
                      </w:rPr>
                      <w:t>28</w:t>
                    </w:r>
                    <w:r>
                      <w:rPr>
                        <w:color w:val="0000FF"/>
                        <w:w w:val="55"/>
                        <w:sz w:val="16"/>
                      </w:rPr>
                      <w:t>.</w:t>
                    </w:r>
                    <w:r>
                      <w:rPr>
                        <w:color w:val="0000FF"/>
                        <w:spacing w:val="-1"/>
                        <w:w w:val="111"/>
                        <w:sz w:val="16"/>
                      </w:rPr>
                      <w:t>2</w:t>
                    </w:r>
                    <w:r>
                      <w:rPr>
                        <w:color w:val="0000FF"/>
                        <w:w w:val="156"/>
                        <w:sz w:val="16"/>
                      </w:rPr>
                      <w:t>%</w:t>
                    </w:r>
                  </w:p>
                </w:txbxContent>
              </v:textbox>
            </v:shape>
            <v:shape id="_x0000_s1143" type="#_x0000_t202" style="width:368;height:222;left:3426;position:absolute;top:-552" filled="f" stroked="f">
              <v:textbox inset="0,0,0,0">
                <w:txbxContent>
                  <w:p>
                    <w:pPr>
                      <w:spacing w:before="12"/>
                      <w:ind w:left="0" w:right="0" w:firstLine="0"/>
                      <w:jc w:val="left"/>
                      <w:rPr>
                        <w:sz w:val="16"/>
                      </w:rPr>
                    </w:pPr>
                    <w:r>
                      <w:rPr>
                        <w:color w:val="0000FF"/>
                        <w:w w:val="110"/>
                        <w:sz w:val="16"/>
                      </w:rPr>
                      <w:t>9.7%</w:t>
                    </w:r>
                  </w:p>
                </w:txbxContent>
              </v:textbox>
            </v:shape>
            <v:shape id="_x0000_s1144" type="#_x0000_t202" style="width:368;height:222;left:4349;position:absolute;top:-512" filled="f" stroked="f">
              <v:textbox inset="0,0,0,0">
                <w:txbxContent>
                  <w:p>
                    <w:pPr>
                      <w:spacing w:before="12"/>
                      <w:ind w:left="0" w:right="0" w:firstLine="0"/>
                      <w:jc w:val="left"/>
                      <w:rPr>
                        <w:sz w:val="16"/>
                      </w:rPr>
                    </w:pPr>
                    <w:r>
                      <w:rPr>
                        <w:color w:val="404040"/>
                        <w:w w:val="110"/>
                        <w:sz w:val="16"/>
                      </w:rPr>
                      <w:t>6.0%</w:t>
                    </w:r>
                  </w:p>
                </w:txbxContent>
              </v:textbox>
            </v:shape>
            <v:shape id="_x0000_s1145" type="#_x0000_t202" style="width:1945;height:472;left:5803;position:absolute;top:-470" filled="f" stroked="f">
              <v:textbox inset="0,0,0,0">
                <w:txbxContent>
                  <w:p>
                    <w:pPr>
                      <w:tabs>
                        <w:tab w:val="left" w:pos="766"/>
                        <w:tab w:val="left" w:pos="1461"/>
                      </w:tabs>
                      <w:spacing w:before="24" w:line="170" w:lineRule="auto"/>
                      <w:ind w:left="0" w:right="0" w:firstLine="0"/>
                      <w:jc w:val="left"/>
                      <w:rPr>
                        <w:sz w:val="16"/>
                      </w:rPr>
                    </w:pPr>
                    <w:r>
                      <w:rPr>
                        <w:color w:val="404040"/>
                        <w:spacing w:val="-1"/>
                        <w:w w:val="66"/>
                        <w:position w:val="-11"/>
                        <w:sz w:val="16"/>
                      </w:rPr>
                      <w:t>-</w:t>
                    </w:r>
                    <w:r>
                      <w:rPr>
                        <w:color w:val="404040"/>
                        <w:w w:val="83"/>
                        <w:position w:val="-11"/>
                        <w:sz w:val="16"/>
                      </w:rPr>
                      <w:t>4.</w:t>
                    </w:r>
                    <w:r>
                      <w:rPr>
                        <w:color w:val="404040"/>
                        <w:w w:val="133"/>
                        <w:position w:val="-11"/>
                        <w:sz w:val="16"/>
                      </w:rPr>
                      <w:t>5%</w:t>
                    </w:r>
                    <w:r>
                      <w:rPr>
                        <w:color w:val="404040"/>
                        <w:position w:val="-11"/>
                        <w:sz w:val="16"/>
                      </w:rPr>
                      <w:tab/>
                    </w:r>
                    <w:r>
                      <w:rPr>
                        <w:color w:val="404040"/>
                        <w:w w:val="83"/>
                        <w:position w:val="2"/>
                        <w:sz w:val="16"/>
                      </w:rPr>
                      <w:t>3.</w:t>
                    </w:r>
                    <w:r>
                      <w:rPr>
                        <w:color w:val="404040"/>
                        <w:w w:val="133"/>
                        <w:position w:val="2"/>
                        <w:sz w:val="16"/>
                      </w:rPr>
                      <w:t>5%</w:t>
                    </w:r>
                    <w:r>
                      <w:rPr>
                        <w:color w:val="404040"/>
                        <w:position w:val="2"/>
                        <w:sz w:val="16"/>
                      </w:rPr>
                      <w:tab/>
                    </w:r>
                    <w:r>
                      <w:rPr>
                        <w:color w:val="0000FF"/>
                        <w:w w:val="111"/>
                        <w:sz w:val="16"/>
                      </w:rPr>
                      <w:t>3</w:t>
                    </w:r>
                    <w:r>
                      <w:rPr>
                        <w:color w:val="0000FF"/>
                        <w:spacing w:val="-1"/>
                        <w:w w:val="111"/>
                        <w:sz w:val="16"/>
                      </w:rPr>
                      <w:t>1</w:t>
                    </w:r>
                    <w:r>
                      <w:rPr>
                        <w:color w:val="0000FF"/>
                        <w:w w:val="55"/>
                        <w:sz w:val="16"/>
                      </w:rPr>
                      <w:t>.</w:t>
                    </w:r>
                    <w:r>
                      <w:rPr>
                        <w:color w:val="0000FF"/>
                        <w:w w:val="133"/>
                        <w:sz w:val="16"/>
                      </w:rPr>
                      <w:t>6%</w:t>
                    </w:r>
                  </w:p>
                  <w:p>
                    <w:pPr>
                      <w:spacing w:before="0" w:line="157" w:lineRule="exact"/>
                      <w:ind w:left="0" w:right="18" w:firstLine="0"/>
                      <w:jc w:val="right"/>
                      <w:rPr>
                        <w:sz w:val="16"/>
                      </w:rPr>
                    </w:pPr>
                    <w:r>
                      <w:rPr>
                        <w:color w:val="404040"/>
                        <w:spacing w:val="-1"/>
                        <w:w w:val="66"/>
                        <w:sz w:val="16"/>
                      </w:rPr>
                      <w:t>-</w:t>
                    </w:r>
                    <w:r>
                      <w:rPr>
                        <w:color w:val="404040"/>
                        <w:w w:val="111"/>
                        <w:sz w:val="16"/>
                      </w:rPr>
                      <w:t>1</w:t>
                    </w:r>
                    <w:r>
                      <w:rPr>
                        <w:color w:val="404040"/>
                        <w:spacing w:val="-1"/>
                        <w:w w:val="111"/>
                        <w:sz w:val="16"/>
                      </w:rPr>
                      <w:t>1</w:t>
                    </w:r>
                    <w:r>
                      <w:rPr>
                        <w:color w:val="404040"/>
                        <w:w w:val="55"/>
                        <w:sz w:val="16"/>
                      </w:rPr>
                      <w:t>.</w:t>
                    </w:r>
                    <w:r>
                      <w:rPr>
                        <w:color w:val="404040"/>
                        <w:w w:val="133"/>
                        <w:sz w:val="16"/>
                      </w:rPr>
                      <w:t>0%</w:t>
                    </w:r>
                  </w:p>
                </w:txbxContent>
              </v:textbox>
            </v:shape>
            <v:shape id="_x0000_s1146" type="#_x0000_t202" style="width:480;height:570;left:7965;position:absolute;top:-608" filled="f" stroked="f">
              <v:textbox inset="0,0,0,0">
                <w:txbxContent>
                  <w:p>
                    <w:pPr>
                      <w:spacing w:before="12"/>
                      <w:ind w:left="0" w:right="0" w:firstLine="0"/>
                      <w:jc w:val="left"/>
                      <w:rPr>
                        <w:sz w:val="16"/>
                      </w:rPr>
                    </w:pPr>
                    <w:r>
                      <w:rPr>
                        <w:color w:val="0000FF"/>
                        <w:w w:val="111"/>
                        <w:sz w:val="16"/>
                      </w:rPr>
                      <w:t>1</w:t>
                    </w:r>
                    <w:r>
                      <w:rPr>
                        <w:color w:val="0000FF"/>
                        <w:spacing w:val="-1"/>
                        <w:w w:val="111"/>
                        <w:sz w:val="16"/>
                      </w:rPr>
                      <w:t>5</w:t>
                    </w:r>
                    <w:r>
                      <w:rPr>
                        <w:color w:val="0000FF"/>
                        <w:w w:val="55"/>
                        <w:sz w:val="16"/>
                      </w:rPr>
                      <w:t>.</w:t>
                    </w:r>
                    <w:r>
                      <w:rPr>
                        <w:color w:val="0000FF"/>
                        <w:w w:val="111"/>
                        <w:sz w:val="16"/>
                      </w:rPr>
                      <w:t>3</w:t>
                    </w:r>
                    <w:r>
                      <w:rPr>
                        <w:color w:val="0000FF"/>
                        <w:w w:val="155"/>
                        <w:sz w:val="16"/>
                      </w:rPr>
                      <w:t>%</w:t>
                    </w:r>
                  </w:p>
                  <w:p>
                    <w:pPr>
                      <w:spacing w:before="143"/>
                      <w:ind w:left="58" w:right="0" w:firstLine="0"/>
                      <w:jc w:val="left"/>
                      <w:rPr>
                        <w:sz w:val="16"/>
                      </w:rPr>
                    </w:pPr>
                    <w:r>
                      <w:rPr>
                        <w:color w:val="404040"/>
                        <w:spacing w:val="-1"/>
                        <w:w w:val="66"/>
                        <w:sz w:val="16"/>
                      </w:rPr>
                      <w:t>-</w:t>
                    </w:r>
                    <w:r>
                      <w:rPr>
                        <w:color w:val="404040"/>
                        <w:w w:val="83"/>
                        <w:sz w:val="16"/>
                      </w:rPr>
                      <w:t>8.</w:t>
                    </w:r>
                    <w:r>
                      <w:rPr>
                        <w:color w:val="404040"/>
                        <w:w w:val="133"/>
                        <w:sz w:val="16"/>
                      </w:rPr>
                      <w:t>6%</w:t>
                    </w:r>
                  </w:p>
                </w:txbxContent>
              </v:textbox>
            </v:shape>
            <v:shape id="_x0000_s1147" type="#_x0000_t202" style="width:457;height:222;left:10093;position:absolute;top:-630" filled="f" stroked="f">
              <v:textbox inset="0,0,0,0">
                <w:txbxContent>
                  <w:p>
                    <w:pPr>
                      <w:spacing w:before="12"/>
                      <w:ind w:left="0" w:right="0" w:firstLine="0"/>
                      <w:jc w:val="left"/>
                      <w:rPr>
                        <w:sz w:val="16"/>
                      </w:rPr>
                    </w:pPr>
                    <w:r>
                      <w:rPr>
                        <w:color w:val="0000FF"/>
                        <w:w w:val="111"/>
                        <w:sz w:val="16"/>
                      </w:rPr>
                      <w:t>1</w:t>
                    </w:r>
                    <w:r>
                      <w:rPr>
                        <w:color w:val="0000FF"/>
                        <w:spacing w:val="-1"/>
                        <w:w w:val="111"/>
                        <w:sz w:val="16"/>
                      </w:rPr>
                      <w:t>5</w:t>
                    </w:r>
                    <w:r>
                      <w:rPr>
                        <w:color w:val="0000FF"/>
                        <w:w w:val="55"/>
                        <w:sz w:val="16"/>
                      </w:rPr>
                      <w:t>.</w:t>
                    </w:r>
                    <w:r>
                      <w:rPr>
                        <w:color w:val="0000FF"/>
                        <w:w w:val="111"/>
                        <w:sz w:val="16"/>
                      </w:rPr>
                      <w:t>4</w:t>
                    </w:r>
                    <w:r>
                      <w:rPr>
                        <w:color w:val="0000FF"/>
                        <w:w w:val="155"/>
                        <w:sz w:val="16"/>
                      </w:rPr>
                      <w:t>%</w:t>
                    </w:r>
                  </w:p>
                </w:txbxContent>
              </v:textbox>
            </v:shape>
            <v:shape id="_x0000_s1148" type="#_x0000_t202" style="width:457;height:222;left:10802;position:absolute;top:-671" filled="f" stroked="f">
              <v:textbox inset="0,0,0,0">
                <w:txbxContent>
                  <w:p>
                    <w:pPr>
                      <w:spacing w:before="12"/>
                      <w:ind w:left="0" w:right="0" w:firstLine="0"/>
                      <w:jc w:val="left"/>
                      <w:rPr>
                        <w:sz w:val="16"/>
                      </w:rPr>
                    </w:pPr>
                    <w:r>
                      <w:rPr>
                        <w:color w:val="0000FF"/>
                        <w:w w:val="111"/>
                        <w:sz w:val="16"/>
                      </w:rPr>
                      <w:t>2</w:t>
                    </w:r>
                    <w:r>
                      <w:rPr>
                        <w:color w:val="0000FF"/>
                        <w:spacing w:val="-1"/>
                        <w:w w:val="111"/>
                        <w:sz w:val="16"/>
                      </w:rPr>
                      <w:t>0</w:t>
                    </w:r>
                    <w:r>
                      <w:rPr>
                        <w:color w:val="0000FF"/>
                        <w:w w:val="55"/>
                        <w:sz w:val="16"/>
                      </w:rPr>
                      <w:t>.</w:t>
                    </w:r>
                    <w:r>
                      <w:rPr>
                        <w:color w:val="0000FF"/>
                        <w:w w:val="111"/>
                        <w:sz w:val="16"/>
                      </w:rPr>
                      <w:t>2</w:t>
                    </w:r>
                    <w:r>
                      <w:rPr>
                        <w:color w:val="0000FF"/>
                        <w:w w:val="155"/>
                        <w:sz w:val="16"/>
                      </w:rPr>
                      <w:t>%</w:t>
                    </w:r>
                  </w:p>
                </w:txbxContent>
              </v:textbox>
            </v:shape>
            <v:shape id="_x0000_s1149" type="#_x0000_t202" style="width:368;height:222;left:8750;position:absolute;top:-408" filled="f" stroked="f">
              <v:textbox inset="0,0,0,0">
                <w:txbxContent>
                  <w:p>
                    <w:pPr>
                      <w:spacing w:before="12"/>
                      <w:ind w:left="0" w:right="0" w:firstLine="0"/>
                      <w:jc w:val="left"/>
                      <w:rPr>
                        <w:sz w:val="16"/>
                      </w:rPr>
                    </w:pPr>
                    <w:r>
                      <w:rPr>
                        <w:color w:val="0000FF"/>
                        <w:w w:val="110"/>
                        <w:sz w:val="16"/>
                      </w:rPr>
                      <w:t>6.0%</w:t>
                    </w:r>
                  </w:p>
                </w:txbxContent>
              </v:textbox>
            </v:shape>
            <v:shape id="_x0000_s1150" type="#_x0000_t202" style="width:368;height:222;left:9530;position:absolute;top:-576" filled="f" stroked="f">
              <v:textbox inset="0,0,0,0">
                <w:txbxContent>
                  <w:p>
                    <w:pPr>
                      <w:spacing w:before="12"/>
                      <w:ind w:left="0" w:right="0" w:firstLine="0"/>
                      <w:jc w:val="left"/>
                      <w:rPr>
                        <w:sz w:val="16"/>
                      </w:rPr>
                    </w:pPr>
                    <w:r>
                      <w:rPr>
                        <w:color w:val="0000FF"/>
                        <w:w w:val="110"/>
                        <w:sz w:val="16"/>
                      </w:rPr>
                      <w:t>9.9%</w:t>
                    </w:r>
                  </w:p>
                </w:txbxContent>
              </v:textbox>
            </v:shape>
            <v:shape id="_x0000_s1151" type="#_x0000_t202" style="width:368;height:222;left:11676;position:absolute;top:-476" filled="f" stroked="f">
              <v:textbox inset="0,0,0,0">
                <w:txbxContent>
                  <w:p>
                    <w:pPr>
                      <w:spacing w:before="12"/>
                      <w:ind w:left="0" w:right="0" w:firstLine="0"/>
                      <w:jc w:val="left"/>
                      <w:rPr>
                        <w:sz w:val="16"/>
                      </w:rPr>
                    </w:pPr>
                    <w:r>
                      <w:rPr>
                        <w:color w:val="0000FF"/>
                        <w:w w:val="110"/>
                        <w:sz w:val="16"/>
                      </w:rPr>
                      <w:t>6.5%</w:t>
                    </w:r>
                  </w:p>
                </w:txbxContent>
              </v:textbox>
            </v:shape>
            <v:shape id="_x0000_s1152" type="#_x0000_t202" style="width:1045;height:227;left:2821;position:absolute;top:-22" filled="f" stroked="f">
              <v:textbox inset="0,0,0,0">
                <w:txbxContent>
                  <w:p>
                    <w:pPr>
                      <w:tabs>
                        <w:tab w:val="left" w:pos="676"/>
                      </w:tabs>
                      <w:spacing w:before="7"/>
                      <w:ind w:left="0" w:right="0" w:firstLine="0"/>
                      <w:jc w:val="left"/>
                      <w:rPr>
                        <w:sz w:val="16"/>
                      </w:rPr>
                    </w:pPr>
                    <w:r>
                      <w:rPr>
                        <w:color w:val="0000FF"/>
                        <w:w w:val="110"/>
                        <w:sz w:val="16"/>
                      </w:rPr>
                      <w:t>5.4%</w:t>
                      <w:tab/>
                    </w:r>
                    <w:r>
                      <w:rPr>
                        <w:color w:val="404040"/>
                        <w:w w:val="110"/>
                        <w:position w:val="1"/>
                        <w:sz w:val="16"/>
                      </w:rPr>
                      <w:t>3.0%</w:t>
                    </w:r>
                  </w:p>
                </w:txbxContent>
              </v:textbox>
            </v:shape>
            <v:shape id="_x0000_s1153" type="#_x0000_t202" style="width:368;height:222;left:5129;position:absolute;top:21" filled="f" stroked="f">
              <v:textbox inset="0,0,0,0">
                <w:txbxContent>
                  <w:p>
                    <w:pPr>
                      <w:spacing w:before="12"/>
                      <w:ind w:left="0" w:right="0" w:firstLine="0"/>
                      <w:jc w:val="left"/>
                      <w:rPr>
                        <w:sz w:val="16"/>
                      </w:rPr>
                    </w:pPr>
                    <w:r>
                      <w:rPr>
                        <w:color w:val="404040"/>
                        <w:w w:val="110"/>
                        <w:sz w:val="16"/>
                      </w:rPr>
                      <w:t>2.9%</w:t>
                    </w:r>
                  </w:p>
                </w:txbxContent>
              </v:textbox>
            </v:shape>
            <v:shape id="_x0000_s1154" type="#_x0000_t202" style="width:1135;height:335;left:8764;position:absolute;top:-64" filled="f" stroked="f">
              <v:textbox inset="0,0,0,0">
                <w:txbxContent>
                  <w:p>
                    <w:pPr>
                      <w:tabs>
                        <w:tab w:val="left" w:pos="766"/>
                      </w:tabs>
                      <w:spacing w:before="15"/>
                      <w:ind w:left="0" w:right="0" w:firstLine="0"/>
                      <w:jc w:val="left"/>
                      <w:rPr>
                        <w:sz w:val="16"/>
                      </w:rPr>
                    </w:pPr>
                    <w:r>
                      <w:rPr>
                        <w:color w:val="404040"/>
                        <w:spacing w:val="-1"/>
                        <w:w w:val="66"/>
                        <w:sz w:val="16"/>
                      </w:rPr>
                      <w:t>-</w:t>
                    </w:r>
                    <w:r>
                      <w:rPr>
                        <w:color w:val="404040"/>
                        <w:w w:val="83"/>
                        <w:sz w:val="16"/>
                      </w:rPr>
                      <w:t>1.</w:t>
                    </w:r>
                    <w:r>
                      <w:rPr>
                        <w:color w:val="404040"/>
                        <w:w w:val="133"/>
                        <w:sz w:val="16"/>
                      </w:rPr>
                      <w:t>1%</w:t>
                    </w:r>
                    <w:r>
                      <w:rPr>
                        <w:color w:val="404040"/>
                        <w:sz w:val="16"/>
                      </w:rPr>
                      <w:tab/>
                    </w:r>
                    <w:r>
                      <w:rPr>
                        <w:color w:val="404040"/>
                        <w:w w:val="83"/>
                        <w:position w:val="11"/>
                        <w:sz w:val="16"/>
                      </w:rPr>
                      <w:t>7.</w:t>
                    </w:r>
                    <w:r>
                      <w:rPr>
                        <w:color w:val="404040"/>
                        <w:w w:val="133"/>
                        <w:position w:val="11"/>
                        <w:sz w:val="16"/>
                      </w:rPr>
                      <w:t>8%</w:t>
                    </w:r>
                  </w:p>
                </w:txbxContent>
              </v:textbox>
            </v:shape>
            <v:shape id="_x0000_s1155" type="#_x0000_t202" style="width:368;height:222;left:10159;position:absolute;top:11" filled="f" stroked="f">
              <v:textbox inset="0,0,0,0">
                <w:txbxContent>
                  <w:p>
                    <w:pPr>
                      <w:spacing w:before="12"/>
                      <w:ind w:left="0" w:right="0" w:firstLine="0"/>
                      <w:jc w:val="left"/>
                      <w:rPr>
                        <w:sz w:val="16"/>
                      </w:rPr>
                    </w:pPr>
                    <w:r>
                      <w:rPr>
                        <w:color w:val="404040"/>
                        <w:w w:val="110"/>
                        <w:sz w:val="16"/>
                      </w:rPr>
                      <w:t>3.4%</w:t>
                    </w:r>
                  </w:p>
                </w:txbxContent>
              </v:textbox>
            </v:shape>
            <v:shape id="_x0000_s1156" type="#_x0000_t202" style="width:368;height:222;left:10785;position:absolute;top:-107" filled="f" stroked="f">
              <v:textbox inset="0,0,0,0">
                <w:txbxContent>
                  <w:p>
                    <w:pPr>
                      <w:spacing w:before="12"/>
                      <w:ind w:left="0" w:right="0" w:firstLine="0"/>
                      <w:jc w:val="left"/>
                      <w:rPr>
                        <w:sz w:val="16"/>
                      </w:rPr>
                    </w:pPr>
                    <w:r>
                      <w:rPr>
                        <w:color w:val="404040"/>
                        <w:w w:val="110"/>
                        <w:sz w:val="16"/>
                      </w:rPr>
                      <w:t>8.0%</w:t>
                    </w:r>
                  </w:p>
                </w:txbxContent>
              </v:textbox>
            </v:shape>
            <v:shape id="_x0000_s1157" type="#_x0000_t202" style="width:421;height:222;left:11568;position:absolute;top:49" filled="f" stroked="f">
              <v:textbox inset="0,0,0,0">
                <w:txbxContent>
                  <w:p>
                    <w:pPr>
                      <w:spacing w:before="12"/>
                      <w:ind w:left="0" w:right="0" w:firstLine="0"/>
                      <w:jc w:val="left"/>
                      <w:rPr>
                        <w:sz w:val="16"/>
                      </w:rPr>
                    </w:pPr>
                    <w:r>
                      <w:rPr>
                        <w:color w:val="404040"/>
                        <w:spacing w:val="-1"/>
                        <w:w w:val="66"/>
                        <w:sz w:val="16"/>
                      </w:rPr>
                      <w:t>-</w:t>
                    </w:r>
                    <w:r>
                      <w:rPr>
                        <w:color w:val="404040"/>
                        <w:w w:val="83"/>
                        <w:sz w:val="16"/>
                      </w:rPr>
                      <w:t>1.</w:t>
                    </w:r>
                    <w:r>
                      <w:rPr>
                        <w:color w:val="404040"/>
                        <w:w w:val="133"/>
                        <w:sz w:val="16"/>
                      </w:rPr>
                      <w:t>1%</w:t>
                    </w:r>
                  </w:p>
                </w:txbxContent>
              </v:textbox>
            </v:shape>
            <v:shape id="_x0000_s1158" type="#_x0000_t202" style="width:572;height:275;left:4246;position:absolute;top:602" filled="f" stroked="f">
              <v:textbox inset="0,0,0,0">
                <w:txbxContent>
                  <w:p>
                    <w:pPr>
                      <w:spacing w:before="13"/>
                      <w:ind w:left="0" w:right="0" w:firstLine="0"/>
                      <w:jc w:val="left"/>
                      <w:rPr>
                        <w:sz w:val="20"/>
                      </w:rPr>
                    </w:pPr>
                    <w:r>
                      <w:rPr>
                        <w:color w:val="404040"/>
                        <w:w w:val="110"/>
                        <w:sz w:val="20"/>
                      </w:rPr>
                      <w:t>12938</w:t>
                    </w:r>
                  </w:p>
                </w:txbxContent>
              </v:textbox>
            </v:shape>
            <v:shape id="_x0000_s1159" type="#_x0000_t202" style="width:1216;height:490;left:5018;position:absolute;top:460" filled="f" stroked="f">
              <v:textbox inset="0,0,0,0">
                <w:txbxContent>
                  <w:p>
                    <w:pPr>
                      <w:spacing w:before="13" w:line="236" w:lineRule="exact"/>
                      <w:ind w:left="0" w:right="0" w:firstLine="0"/>
                      <w:jc w:val="left"/>
                      <w:rPr>
                        <w:sz w:val="20"/>
                      </w:rPr>
                    </w:pPr>
                    <w:r>
                      <w:rPr>
                        <w:color w:val="404040"/>
                        <w:w w:val="110"/>
                        <w:sz w:val="20"/>
                      </w:rPr>
                      <w:t>13314</w:t>
                    </w:r>
                  </w:p>
                  <w:p>
                    <w:pPr>
                      <w:spacing w:before="0" w:line="236" w:lineRule="exact"/>
                      <w:ind w:left="643" w:right="0" w:firstLine="0"/>
                      <w:jc w:val="left"/>
                      <w:rPr>
                        <w:sz w:val="20"/>
                      </w:rPr>
                    </w:pPr>
                    <w:r>
                      <w:rPr>
                        <w:color w:val="404040"/>
                        <w:w w:val="110"/>
                        <w:sz w:val="20"/>
                      </w:rPr>
                      <w:t>12715</w:t>
                    </w:r>
                  </w:p>
                </w:txbxContent>
              </v:textbox>
            </v:shape>
            <v:shape id="_x0000_s1160" type="#_x0000_t202" style="width:572;height:275;left:6467;position:absolute;top:468" filled="f" stroked="f">
              <v:textbox inset="0,0,0,0">
                <w:txbxContent>
                  <w:p>
                    <w:pPr>
                      <w:spacing w:before="13"/>
                      <w:ind w:left="0" w:right="0" w:firstLine="0"/>
                      <w:jc w:val="left"/>
                      <w:rPr>
                        <w:sz w:val="20"/>
                      </w:rPr>
                    </w:pPr>
                    <w:r>
                      <w:rPr>
                        <w:color w:val="404040"/>
                        <w:w w:val="110"/>
                        <w:sz w:val="20"/>
                      </w:rPr>
                      <w:t>13166</w:t>
                    </w:r>
                  </w:p>
                </w:txbxContent>
              </v:textbox>
            </v:shape>
            <v:shape id="_x0000_s1161" type="#_x0000_t202" style="width:572;height:275;left:10908;position:absolute;top:603" filled="f" stroked="f">
              <v:textbox inset="0,0,0,0">
                <w:txbxContent>
                  <w:p>
                    <w:pPr>
                      <w:spacing w:before="13"/>
                      <w:ind w:left="0" w:right="0" w:firstLine="0"/>
                      <w:jc w:val="left"/>
                      <w:rPr>
                        <w:sz w:val="20"/>
                      </w:rPr>
                    </w:pPr>
                    <w:r>
                      <w:rPr>
                        <w:color w:val="404040"/>
                        <w:w w:val="110"/>
                        <w:sz w:val="20"/>
                      </w:rPr>
                      <w:t>12752</w:t>
                    </w:r>
                  </w:p>
                </w:txbxContent>
              </v:textbox>
            </v:shape>
            <v:shape id="_x0000_s1162" type="#_x0000_t202" style="width:572;height:275;left:11648;position:absolute;top:648" filled="f" stroked="f">
              <v:textbox inset="0,0,0,0">
                <w:txbxContent>
                  <w:p>
                    <w:pPr>
                      <w:spacing w:before="13"/>
                      <w:ind w:left="0" w:right="0" w:firstLine="0"/>
                      <w:jc w:val="left"/>
                      <w:rPr>
                        <w:sz w:val="20"/>
                      </w:rPr>
                    </w:pPr>
                    <w:r>
                      <w:rPr>
                        <w:color w:val="404040"/>
                        <w:w w:val="110"/>
                        <w:sz w:val="20"/>
                      </w:rPr>
                      <w:t>12613</w:t>
                    </w:r>
                  </w:p>
                </w:txbxContent>
              </v:textbox>
            </v:shape>
            <v:shape id="_x0000_s1163" type="#_x0000_t202" style="width:572;height:275;left:2766;position:absolute;top:899" filled="f" stroked="f">
              <v:textbox inset="0,0,0,0">
                <w:txbxContent>
                  <w:p>
                    <w:pPr>
                      <w:spacing w:before="13"/>
                      <w:ind w:left="0" w:right="0" w:firstLine="0"/>
                      <w:jc w:val="left"/>
                      <w:rPr>
                        <w:sz w:val="20"/>
                      </w:rPr>
                    </w:pPr>
                    <w:r>
                      <w:rPr>
                        <w:color w:val="404040"/>
                        <w:w w:val="110"/>
                        <w:sz w:val="20"/>
                      </w:rPr>
                      <w:t>11846</w:t>
                    </w:r>
                  </w:p>
                </w:txbxContent>
              </v:textbox>
            </v:shape>
            <v:shape id="_x0000_s1164" type="#_x0000_t202" style="width:572;height:275;left:3506;position:absolute;top:841" filled="f" stroked="f">
              <v:textbox inset="0,0,0,0">
                <w:txbxContent>
                  <w:p>
                    <w:pPr>
                      <w:spacing w:before="13"/>
                      <w:ind w:left="0" w:right="0" w:firstLine="0"/>
                      <w:jc w:val="left"/>
                      <w:rPr>
                        <w:sz w:val="20"/>
                      </w:rPr>
                    </w:pPr>
                    <w:r>
                      <w:rPr>
                        <w:color w:val="404040"/>
                        <w:w w:val="110"/>
                        <w:sz w:val="20"/>
                      </w:rPr>
                      <w:t>12205</w:t>
                    </w:r>
                  </w:p>
                </w:txbxContent>
              </v:textbox>
            </v:shape>
            <v:shape id="_x0000_s1165" type="#_x0000_t202" style="width:572;height:275;left:7207;position:absolute;top:999" filled="f" stroked="f">
              <v:textbox inset="0,0,0,0">
                <w:txbxContent>
                  <w:p>
                    <w:pPr>
                      <w:spacing w:before="13"/>
                      <w:ind w:left="0" w:right="0" w:firstLine="0"/>
                      <w:jc w:val="left"/>
                      <w:rPr>
                        <w:sz w:val="20"/>
                      </w:rPr>
                    </w:pPr>
                    <w:r>
                      <w:rPr>
                        <w:color w:val="404040"/>
                        <w:w w:val="110"/>
                        <w:sz w:val="20"/>
                      </w:rPr>
                      <w:t>11721</w:t>
                    </w:r>
                  </w:p>
                </w:txbxContent>
              </v:textbox>
            </v:shape>
            <v:shape id="_x0000_s1166" type="#_x0000_t202" style="width:572;height:275;left:10167;position:absolute;top:909" filled="f" stroked="f">
              <v:textbox inset="0,0,0,0">
                <w:txbxContent>
                  <w:p>
                    <w:pPr>
                      <w:spacing w:before="13"/>
                      <w:ind w:left="0" w:right="0" w:firstLine="0"/>
                      <w:jc w:val="left"/>
                      <w:rPr>
                        <w:sz w:val="20"/>
                      </w:rPr>
                    </w:pPr>
                    <w:r>
                      <w:rPr>
                        <w:color w:val="404040"/>
                        <w:w w:val="110"/>
                        <w:sz w:val="20"/>
                      </w:rPr>
                      <w:t>11813</w:t>
                    </w:r>
                  </w:p>
                </w:txbxContent>
              </v:textbox>
            </v:shape>
            <v:shape id="_x0000_s1167" type="#_x0000_t202" style="width:572;height:275;left:7947;position:absolute;top:1269" filled="f" stroked="f">
              <v:textbox inset="0,0,0,0">
                <w:txbxContent>
                  <w:p>
                    <w:pPr>
                      <w:spacing w:before="13"/>
                      <w:ind w:left="0" w:right="0" w:firstLine="0"/>
                      <w:jc w:val="left"/>
                      <w:rPr>
                        <w:sz w:val="20"/>
                      </w:rPr>
                    </w:pPr>
                    <w:r>
                      <w:rPr>
                        <w:color w:val="404040"/>
                        <w:w w:val="110"/>
                        <w:sz w:val="20"/>
                      </w:rPr>
                      <w:t>10707</w:t>
                    </w:r>
                  </w:p>
                </w:txbxContent>
              </v:textbox>
            </v:shape>
            <v:shape id="_x0000_s1168" type="#_x0000_t202" style="width:572;height:275;left:9427;position:absolute;top:1037" filled="f" stroked="f">
              <v:textbox inset="0,0,0,0">
                <w:txbxContent>
                  <w:p>
                    <w:pPr>
                      <w:spacing w:before="13"/>
                      <w:ind w:left="0" w:right="0" w:firstLine="0"/>
                      <w:jc w:val="left"/>
                      <w:rPr>
                        <w:sz w:val="20"/>
                      </w:rPr>
                    </w:pPr>
                    <w:r>
                      <w:rPr>
                        <w:color w:val="404040"/>
                        <w:w w:val="110"/>
                        <w:sz w:val="20"/>
                      </w:rPr>
                      <w:t>11420</w:t>
                    </w:r>
                  </w:p>
                </w:txbxContent>
              </v:textbox>
            </v:shape>
            <v:shape id="_x0000_s1169" type="#_x0000_t202" style="width:572;height:275;left:8687;position:absolute;top:1307" filled="f" stroked="f">
              <v:textbox inset="0,0,0,0">
                <w:txbxContent>
                  <w:p>
                    <w:pPr>
                      <w:spacing w:before="13"/>
                      <w:ind w:left="0" w:right="0" w:firstLine="0"/>
                      <w:jc w:val="left"/>
                      <w:rPr>
                        <w:sz w:val="20"/>
                      </w:rPr>
                    </w:pPr>
                    <w:r>
                      <w:rPr>
                        <w:color w:val="404040"/>
                        <w:w w:val="110"/>
                        <w:sz w:val="20"/>
                      </w:rPr>
                      <w:t>10591</w:t>
                    </w:r>
                  </w:p>
                </w:txbxContent>
              </v:textbox>
            </v:shape>
          </v:group>
        </w:pict>
      </w:r>
      <w:r>
        <w:rPr>
          <w:color w:val="404040"/>
          <w:w w:val="110"/>
          <w:sz w:val="20"/>
        </w:rPr>
        <w:t>15000</w:t>
      </w:r>
    </w:p>
    <w:p>
      <w:pPr>
        <w:pStyle w:val="BodyText"/>
        <w:rPr>
          <w:sz w:val="26"/>
        </w:rPr>
      </w:pPr>
    </w:p>
    <w:p>
      <w:pPr>
        <w:pStyle w:val="BodyText"/>
        <w:spacing w:before="3"/>
        <w:rPr>
          <w:sz w:val="30"/>
        </w:rPr>
      </w:pPr>
    </w:p>
    <w:p>
      <w:pPr>
        <w:spacing w:before="0"/>
        <w:ind w:left="1643" w:right="0" w:firstLine="0"/>
        <w:jc w:val="left"/>
        <w:rPr>
          <w:sz w:val="20"/>
        </w:rPr>
      </w:pPr>
      <w:r>
        <w:rPr>
          <w:color w:val="404040"/>
          <w:w w:val="110"/>
          <w:sz w:val="20"/>
        </w:rPr>
        <w:t>12000</w:t>
      </w:r>
    </w:p>
    <w:p>
      <w:pPr>
        <w:pStyle w:val="BodyText"/>
        <w:rPr>
          <w:sz w:val="20"/>
        </w:rPr>
      </w:pPr>
    </w:p>
    <w:p>
      <w:pPr>
        <w:pStyle w:val="BodyText"/>
        <w:spacing w:before="4"/>
        <w:rPr>
          <w:sz w:val="27"/>
        </w:rPr>
      </w:pPr>
    </w:p>
    <w:p>
      <w:pPr>
        <w:spacing w:before="114"/>
        <w:ind w:left="1753" w:right="0" w:firstLine="0"/>
        <w:jc w:val="left"/>
        <w:rPr>
          <w:sz w:val="20"/>
        </w:rPr>
      </w:pPr>
      <w:r>
        <w:rPr>
          <w:color w:val="404040"/>
          <w:w w:val="110"/>
          <w:sz w:val="20"/>
        </w:rPr>
        <w:t>9000</w:t>
      </w:r>
    </w:p>
    <w:p>
      <w:pPr>
        <w:pStyle w:val="BodyText"/>
        <w:rPr>
          <w:sz w:val="20"/>
        </w:rPr>
      </w:pPr>
    </w:p>
    <w:p>
      <w:pPr>
        <w:pStyle w:val="BodyText"/>
        <w:spacing w:before="5"/>
        <w:rPr>
          <w:sz w:val="27"/>
        </w:rPr>
      </w:pPr>
    </w:p>
    <w:p>
      <w:pPr>
        <w:spacing w:before="113"/>
        <w:ind w:left="1753" w:right="0" w:firstLine="0"/>
        <w:jc w:val="left"/>
        <w:rPr>
          <w:sz w:val="20"/>
        </w:rPr>
      </w:pPr>
      <w:r>
        <w:rPr>
          <w:color w:val="404040"/>
          <w:w w:val="110"/>
          <w:sz w:val="20"/>
        </w:rPr>
        <w:t>6000</w:t>
      </w:r>
    </w:p>
    <w:p>
      <w:pPr>
        <w:pStyle w:val="BodyText"/>
        <w:rPr>
          <w:sz w:val="20"/>
        </w:rPr>
      </w:pPr>
    </w:p>
    <w:p>
      <w:pPr>
        <w:pStyle w:val="BodyText"/>
        <w:spacing w:before="5"/>
        <w:rPr>
          <w:sz w:val="27"/>
        </w:rPr>
      </w:pPr>
    </w:p>
    <w:p>
      <w:pPr>
        <w:spacing w:before="113"/>
        <w:ind w:left="1753" w:right="0" w:firstLine="0"/>
        <w:jc w:val="left"/>
        <w:rPr>
          <w:sz w:val="20"/>
        </w:rPr>
      </w:pPr>
      <w:r>
        <w:rPr>
          <w:color w:val="404040"/>
          <w:w w:val="110"/>
          <w:sz w:val="20"/>
        </w:rPr>
        <w:t>3000</w:t>
      </w:r>
    </w:p>
    <w:p>
      <w:pPr>
        <w:pStyle w:val="BodyText"/>
        <w:rPr>
          <w:sz w:val="20"/>
        </w:rPr>
      </w:pPr>
    </w:p>
    <w:p>
      <w:pPr>
        <w:pStyle w:val="BodyText"/>
        <w:spacing w:before="5"/>
        <w:rPr>
          <w:sz w:val="27"/>
        </w:rPr>
      </w:pPr>
    </w:p>
    <w:p>
      <w:pPr>
        <w:spacing w:before="113" w:line="233" w:lineRule="exact"/>
        <w:ind w:left="2086" w:right="0" w:firstLine="0"/>
        <w:jc w:val="left"/>
        <w:rPr>
          <w:sz w:val="20"/>
        </w:rPr>
      </w:pPr>
      <w:r>
        <w:rPr>
          <w:color w:val="404040"/>
          <w:w w:val="110"/>
          <w:sz w:val="20"/>
        </w:rPr>
        <w:t>0</w:t>
      </w:r>
    </w:p>
    <w:p>
      <w:pPr>
        <w:spacing w:before="0" w:line="181" w:lineRule="exact"/>
        <w:ind w:left="2511" w:right="0" w:firstLine="0"/>
        <w:jc w:val="left"/>
        <w:rPr>
          <w:sz w:val="16"/>
        </w:rPr>
      </w:pPr>
      <w:r>
        <w:rPr>
          <w:color w:val="404040"/>
          <w:w w:val="105"/>
          <w:sz w:val="16"/>
        </w:rPr>
        <w:t>2011-12</w:t>
      </w:r>
      <w:r>
        <w:rPr>
          <w:color w:val="404040"/>
          <w:spacing w:val="69"/>
          <w:w w:val="105"/>
          <w:sz w:val="16"/>
        </w:rPr>
        <w:t xml:space="preserve"> </w:t>
      </w:r>
      <w:r>
        <w:rPr>
          <w:color w:val="404040"/>
          <w:w w:val="105"/>
          <w:sz w:val="16"/>
        </w:rPr>
        <w:t>2012-01</w:t>
      </w:r>
      <w:r>
        <w:rPr>
          <w:color w:val="404040"/>
          <w:spacing w:val="69"/>
          <w:w w:val="105"/>
          <w:sz w:val="16"/>
        </w:rPr>
        <w:t xml:space="preserve"> </w:t>
      </w:r>
      <w:r>
        <w:rPr>
          <w:color w:val="404040"/>
          <w:w w:val="105"/>
          <w:sz w:val="16"/>
        </w:rPr>
        <w:t>2012-02</w:t>
      </w:r>
      <w:r>
        <w:rPr>
          <w:color w:val="404040"/>
          <w:spacing w:val="69"/>
          <w:w w:val="105"/>
          <w:sz w:val="16"/>
        </w:rPr>
        <w:t xml:space="preserve"> </w:t>
      </w:r>
      <w:r>
        <w:rPr>
          <w:color w:val="404040"/>
          <w:w w:val="105"/>
          <w:sz w:val="16"/>
        </w:rPr>
        <w:t>2012-03</w:t>
      </w:r>
      <w:r>
        <w:rPr>
          <w:color w:val="404040"/>
          <w:spacing w:val="69"/>
          <w:w w:val="105"/>
          <w:sz w:val="16"/>
        </w:rPr>
        <w:t xml:space="preserve"> </w:t>
      </w:r>
      <w:r>
        <w:rPr>
          <w:color w:val="404040"/>
          <w:w w:val="105"/>
          <w:sz w:val="16"/>
        </w:rPr>
        <w:t>2012-04</w:t>
      </w:r>
      <w:r>
        <w:rPr>
          <w:color w:val="404040"/>
          <w:spacing w:val="69"/>
          <w:w w:val="105"/>
          <w:sz w:val="16"/>
        </w:rPr>
        <w:t xml:space="preserve"> </w:t>
      </w:r>
      <w:r>
        <w:rPr>
          <w:color w:val="404040"/>
          <w:w w:val="105"/>
          <w:sz w:val="16"/>
        </w:rPr>
        <w:t>2012-05</w:t>
      </w:r>
      <w:r>
        <w:rPr>
          <w:color w:val="404040"/>
          <w:spacing w:val="69"/>
          <w:w w:val="105"/>
          <w:sz w:val="16"/>
        </w:rPr>
        <w:t xml:space="preserve"> </w:t>
      </w:r>
      <w:r>
        <w:rPr>
          <w:color w:val="404040"/>
          <w:w w:val="105"/>
          <w:sz w:val="16"/>
        </w:rPr>
        <w:t>2012-06</w:t>
      </w:r>
      <w:r>
        <w:rPr>
          <w:color w:val="404040"/>
          <w:spacing w:val="70"/>
          <w:w w:val="105"/>
          <w:sz w:val="16"/>
        </w:rPr>
        <w:t xml:space="preserve"> </w:t>
      </w:r>
      <w:r>
        <w:rPr>
          <w:color w:val="404040"/>
          <w:w w:val="105"/>
          <w:sz w:val="16"/>
        </w:rPr>
        <w:t>2012-07</w:t>
      </w:r>
      <w:r>
        <w:rPr>
          <w:color w:val="404040"/>
          <w:spacing w:val="69"/>
          <w:w w:val="105"/>
          <w:sz w:val="16"/>
        </w:rPr>
        <w:t xml:space="preserve"> </w:t>
      </w:r>
      <w:r>
        <w:rPr>
          <w:color w:val="404040"/>
          <w:w w:val="105"/>
          <w:sz w:val="16"/>
        </w:rPr>
        <w:t>2012-08</w:t>
      </w:r>
      <w:r>
        <w:rPr>
          <w:color w:val="404040"/>
          <w:spacing w:val="69"/>
          <w:w w:val="105"/>
          <w:sz w:val="16"/>
        </w:rPr>
        <w:t xml:space="preserve"> </w:t>
      </w:r>
      <w:r>
        <w:rPr>
          <w:color w:val="404040"/>
          <w:w w:val="105"/>
          <w:sz w:val="16"/>
        </w:rPr>
        <w:t>2012-09</w:t>
      </w:r>
      <w:r>
        <w:rPr>
          <w:color w:val="404040"/>
          <w:spacing w:val="70"/>
          <w:w w:val="105"/>
          <w:sz w:val="16"/>
        </w:rPr>
        <w:t xml:space="preserve"> </w:t>
      </w:r>
      <w:r>
        <w:rPr>
          <w:color w:val="404040"/>
          <w:w w:val="105"/>
          <w:sz w:val="16"/>
        </w:rPr>
        <w:t>2012-10</w:t>
      </w:r>
      <w:r>
        <w:rPr>
          <w:color w:val="404040"/>
          <w:spacing w:val="69"/>
          <w:w w:val="105"/>
          <w:sz w:val="16"/>
        </w:rPr>
        <w:t xml:space="preserve"> </w:t>
      </w:r>
      <w:r>
        <w:rPr>
          <w:color w:val="404040"/>
          <w:w w:val="105"/>
          <w:sz w:val="16"/>
        </w:rPr>
        <w:t>2012-11</w:t>
      </w:r>
      <w:r>
        <w:rPr>
          <w:color w:val="404040"/>
          <w:spacing w:val="69"/>
          <w:w w:val="105"/>
          <w:sz w:val="16"/>
        </w:rPr>
        <w:t xml:space="preserve"> </w:t>
      </w:r>
      <w:r>
        <w:rPr>
          <w:color w:val="404040"/>
          <w:w w:val="105"/>
          <w:sz w:val="16"/>
        </w:rPr>
        <w:t>2012-12</w:t>
      </w:r>
    </w:p>
    <w:p>
      <w:pPr>
        <w:pStyle w:val="BodyText"/>
        <w:spacing w:before="1"/>
        <w:rPr>
          <w:sz w:val="16"/>
        </w:rPr>
      </w:pPr>
    </w:p>
    <w:p>
      <w:pPr>
        <w:tabs>
          <w:tab w:val="left" w:pos="6586"/>
          <w:tab w:val="left" w:pos="9798"/>
        </w:tabs>
        <w:spacing w:before="0"/>
        <w:ind w:left="2928" w:right="0" w:firstLine="0"/>
        <w:jc w:val="left"/>
        <w:rPr>
          <w:sz w:val="20"/>
        </w:rPr>
      </w:pPr>
      <w:r>
        <w:pict>
          <v:rect id="_x0000_s1170" style="width:19.2pt;height:4.8pt;margin-top:4.43pt;margin-left:138.24pt;mso-position-horizontal-relative:page;position:absolute;z-index:251678720" filled="t" fillcolor="#9c0" stroked="f">
            <v:fill type="solid"/>
          </v:rect>
        </w:pict>
      </w:r>
      <w:r>
        <w:pict>
          <v:group id="_x0000_s1171" style="width:19.2pt;height:5.8pt;margin-top:3.95pt;margin-left:321.12pt;mso-position-horizontal-relative:page;position:absolute;z-index:-251636736" coordorigin="6422,79" coordsize="384,116">
            <v:line id="_x0000_s1172" style="position:absolute" from="6422,137" to="6806,137" stroked="t" strokecolor="#9c0" strokeweight="1.92pt">
              <v:stroke dashstyle="solid"/>
            </v:line>
            <v:rect id="_x0000_s1173" style="width:99;height:101;left:6564;position:absolute;top:86" filled="t" fillcolor="#9c0" stroked="f">
              <v:fill type="solid"/>
            </v:rect>
            <v:rect id="_x0000_s1174" style="width:99;height:101;left:6564;position:absolute;top:86" filled="f" stroked="t" strokecolor="#9c0" strokeweight="0.72pt">
              <v:stroke dashstyle="solid"/>
            </v:rect>
          </v:group>
        </w:pict>
      </w:r>
      <w:r>
        <w:pict>
          <v:group id="_x0000_s1175" style="width:19.2pt;height:5.8pt;margin-top:3.95pt;margin-left:481.68pt;mso-position-horizontal-relative:page;position:absolute;z-index:-251635712" coordorigin="9634,79" coordsize="384,116">
            <v:line id="_x0000_s1176" style="position:absolute" from="9634,137" to="10018,137" stroked="t" strokecolor="blue" strokeweight="1.92pt">
              <v:stroke dashstyle="solid"/>
            </v:line>
            <v:rect id="_x0000_s1177" style="width:101;height:101;left:9775;position:absolute;top:86" filled="t" fillcolor="blue" stroked="f">
              <v:fill type="solid"/>
            </v:rect>
            <v:rect id="_x0000_s1178" style="width:101;height:101;left:9775;position:absolute;top:86" filled="f" stroked="t" strokecolor="blue" strokeweight="0.72pt">
              <v:stroke dashstyle="solid"/>
            </v:rect>
          </v:group>
        </w:pict>
      </w:r>
      <w:r>
        <w:rPr>
          <w:color w:val="404040"/>
          <w:sz w:val="20"/>
        </w:rPr>
        <w:t>月度覆盖人数（万人）</w:t>
        <w:tab/>
        <w:t>同比增长率（%）</w:t>
        <w:tab/>
        <w:t>环比增长率（%）</w:t>
      </w:r>
    </w:p>
    <w:p>
      <w:pPr>
        <w:pStyle w:val="BodyText"/>
        <w:spacing w:before="7"/>
        <w:rPr>
          <w:sz w:val="11"/>
        </w:rPr>
      </w:pPr>
    </w:p>
    <w:p>
      <w:pPr>
        <w:spacing w:after="0"/>
        <w:rPr>
          <w:sz w:val="11"/>
        </w:rPr>
        <w:sectPr>
          <w:headerReference w:type="default" r:id="rId30"/>
          <w:type w:val="continuous"/>
          <w:pgSz w:w="14400" w:h="10800" w:orient="landscape"/>
          <w:pgMar w:top="0" w:right="460" w:bottom="280" w:left="260" w:header="708" w:footer="708"/>
          <w:pgNumType w:start="13"/>
          <w:cols w:space="708"/>
        </w:sectPr>
      </w:pPr>
    </w:p>
    <w:p>
      <w:pPr>
        <w:spacing w:before="112"/>
        <w:ind w:left="1416" w:right="0" w:firstLine="0"/>
        <w:jc w:val="left"/>
        <w:rPr>
          <w:sz w:val="16"/>
        </w:rPr>
      </w:pPr>
      <w:r>
        <w:rPr>
          <w:color w:val="7E7E7E"/>
          <w:spacing w:val="-1"/>
          <w:w w:val="100"/>
          <w:sz w:val="16"/>
        </w:rPr>
        <w:t>来源：</w:t>
      </w:r>
      <w:r>
        <w:rPr>
          <w:color w:val="7E7E7E"/>
          <w:spacing w:val="-1"/>
          <w:w w:val="40"/>
          <w:sz w:val="16"/>
        </w:rPr>
        <w:t>i</w:t>
      </w:r>
      <w:r>
        <w:rPr>
          <w:color w:val="7E7E7E"/>
          <w:w w:val="113"/>
          <w:sz w:val="16"/>
        </w:rPr>
        <w:t>Us</w:t>
      </w:r>
      <w:r>
        <w:rPr>
          <w:color w:val="7E7E7E"/>
          <w:spacing w:val="1"/>
          <w:w w:val="113"/>
          <w:sz w:val="16"/>
        </w:rPr>
        <w:t>e</w:t>
      </w:r>
      <w:r>
        <w:rPr>
          <w:color w:val="7E7E7E"/>
          <w:w w:val="73"/>
          <w:sz w:val="16"/>
        </w:rPr>
        <w:t>rT</w:t>
      </w:r>
      <w:r>
        <w:rPr>
          <w:color w:val="7E7E7E"/>
          <w:w w:val="109"/>
          <w:sz w:val="16"/>
        </w:rPr>
        <w:t>ra</w:t>
      </w:r>
      <w:r>
        <w:rPr>
          <w:color w:val="7E7E7E"/>
          <w:spacing w:val="-1"/>
          <w:w w:val="109"/>
          <w:sz w:val="16"/>
        </w:rPr>
        <w:t>c</w:t>
      </w:r>
      <w:r>
        <w:rPr>
          <w:color w:val="7E7E7E"/>
          <w:w w:val="100"/>
          <w:sz w:val="16"/>
        </w:rPr>
        <w:t>k</w:t>
      </w:r>
      <w:r>
        <w:rPr>
          <w:color w:val="7E7E7E"/>
          <w:spacing w:val="-2"/>
          <w:w w:val="130"/>
          <w:sz w:val="16"/>
        </w:rPr>
        <w:t>e</w:t>
      </w:r>
      <w:r>
        <w:rPr>
          <w:color w:val="7E7E7E"/>
          <w:w w:val="60"/>
          <w:sz w:val="16"/>
        </w:rPr>
        <w:t>r</w:t>
      </w:r>
      <w:r>
        <w:rPr>
          <w:color w:val="7E7E7E"/>
          <w:spacing w:val="-46"/>
          <w:sz w:val="16"/>
        </w:rPr>
        <w:t xml:space="preserve"> </w:t>
      </w:r>
      <w:r>
        <w:rPr>
          <w:color w:val="7E7E7E"/>
          <w:w w:val="111"/>
          <w:sz w:val="16"/>
        </w:rPr>
        <w:t>2</w:t>
      </w:r>
      <w:r>
        <w:rPr>
          <w:color w:val="7E7E7E"/>
          <w:spacing w:val="-1"/>
          <w:w w:val="111"/>
          <w:sz w:val="16"/>
        </w:rPr>
        <w:t>0</w:t>
      </w:r>
      <w:r>
        <w:rPr>
          <w:color w:val="7E7E7E"/>
          <w:w w:val="111"/>
          <w:sz w:val="16"/>
        </w:rPr>
        <w:t>1</w:t>
      </w:r>
      <w:r>
        <w:rPr>
          <w:color w:val="7E7E7E"/>
          <w:spacing w:val="-1"/>
          <w:w w:val="111"/>
          <w:sz w:val="16"/>
        </w:rPr>
        <w:t>3</w:t>
      </w:r>
      <w:r>
        <w:rPr>
          <w:color w:val="7E7E7E"/>
          <w:w w:val="55"/>
          <w:sz w:val="16"/>
        </w:rPr>
        <w:t>.</w:t>
      </w:r>
      <w:r>
        <w:rPr>
          <w:color w:val="7E7E7E"/>
          <w:w w:val="111"/>
          <w:sz w:val="16"/>
        </w:rPr>
        <w:t>0</w:t>
      </w:r>
      <w:r>
        <w:rPr>
          <w:color w:val="7E7E7E"/>
          <w:spacing w:val="-3"/>
          <w:w w:val="111"/>
          <w:sz w:val="16"/>
        </w:rPr>
        <w:t>1</w:t>
      </w:r>
      <w:r>
        <w:rPr>
          <w:color w:val="7E7E7E"/>
          <w:spacing w:val="-1"/>
          <w:w w:val="100"/>
          <w:sz w:val="16"/>
        </w:rPr>
        <w:t>，基于对</w:t>
      </w:r>
      <w:r>
        <w:rPr>
          <w:color w:val="7E7E7E"/>
          <w:spacing w:val="-1"/>
          <w:w w:val="111"/>
          <w:sz w:val="16"/>
        </w:rPr>
        <w:t>4</w:t>
      </w:r>
      <w:r>
        <w:rPr>
          <w:color w:val="7E7E7E"/>
          <w:spacing w:val="-3"/>
          <w:w w:val="111"/>
          <w:sz w:val="16"/>
        </w:rPr>
        <w:t>0</w:t>
      </w:r>
      <w:r>
        <w:rPr>
          <w:color w:val="7E7E7E"/>
          <w:spacing w:val="-3"/>
          <w:w w:val="100"/>
          <w:sz w:val="16"/>
        </w:rPr>
        <w:t>万名家庭及办公（</w:t>
      </w:r>
      <w:r>
        <w:rPr>
          <w:color w:val="7E7E7E"/>
          <w:spacing w:val="-2"/>
          <w:w w:val="100"/>
          <w:sz w:val="16"/>
        </w:rPr>
        <w:t>不含公共上网地点</w:t>
      </w:r>
      <w:r>
        <w:rPr>
          <w:color w:val="7E7E7E"/>
          <w:spacing w:val="-3"/>
          <w:w w:val="100"/>
          <w:sz w:val="16"/>
        </w:rPr>
        <w:t>）样本网络行为的长期监测数据获得。</w:t>
      </w:r>
    </w:p>
    <w:p>
      <w:pPr>
        <w:pStyle w:val="BodyText"/>
        <w:rPr>
          <w:sz w:val="26"/>
        </w:rPr>
      </w:pPr>
      <w:r>
        <w:br w:type="column"/>
      </w:r>
    </w:p>
    <w:p>
      <w:pPr>
        <w:spacing w:before="1"/>
        <w:ind w:left="1416"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11  </w:t>
      </w:r>
    </w:p>
    <w:p>
      <w:pPr>
        <w:spacing w:after="0"/>
        <w:jc w:val="left"/>
        <w:rPr>
          <w:rFonts w:ascii="微软雅黑"/>
          <w:sz w:val="21"/>
        </w:rPr>
      </w:pPr>
      <w:r>
        <w:rPr>
          <w:rFonts w:ascii="微软雅黑"/>
          <w:sz w:val="21"/>
        </w:rPr>
        <w:br/>
      </w:r>
      <w:r>
        <w:rPr>
          <w:rFonts w:ascii="微软雅黑"/>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1" w:history="1">
        <w:r>
          <w:rPr>
            <w:rFonts w:ascii="SimSun" w:eastAsia="SimSun" w:hAnsi="SimSun" w:cs="SimSun"/>
            <w:b/>
            <w:bCs/>
            <w:color w:val="0000EE"/>
            <w:sz w:val="30"/>
            <w:szCs w:val="30"/>
            <w:u w:val="single" w:color="0000EE"/>
          </w:rPr>
          <w:t>https://d.book118.com/436235000122010050</w:t>
        </w:r>
      </w:hyperlink>
    </w:p>
    <w:p>
      <w:pPr>
        <w:spacing w:after="0"/>
        <w:jc w:val="left"/>
        <w:rPr>
          <w:rFonts w:ascii="微软雅黑"/>
          <w:sz w:val="21"/>
        </w:rPr>
      </w:pPr>
    </w:p>
    <w:sectPr>
      <w:headerReference w:type="default" r:id="rId32"/>
      <w:type w:val="continuous"/>
      <w:pgSz w:w="14400" w:h="10800" w:orient="landscape"/>
      <w:pgMar w:top="0" w:right="460" w:bottom="280" w:left="260" w:header="708" w:footer="708"/>
      <w:pgNumType w:start="14"/>
      <w:cols w:num="2" w:space="708" w:equalWidth="0">
        <w:col w:w="9562" w:space="1961"/>
        <w:col w:w="2157"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418782</wp:posOffset>
          </wp:positionH>
          <wp:positionV relativeFrom="page">
            <wp:posOffset>168668</wp:posOffset>
          </wp:positionV>
          <wp:extent cx="987526" cy="438899"/>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1" cstate="print"/>
                  <a:stretch>
                    <a:fillRect/>
                  </a:stretch>
                </pic:blipFill>
                <pic:spPr>
                  <a:xfrm>
                    <a:off x="0" y="0"/>
                    <a:ext cx="987526" cy="438899"/>
                  </a:xfrm>
                  <a:prstGeom prst="rect">
                    <a:avLst/>
                  </a:prstGeom>
                </pic:spPr>
              </pic:pic>
            </a:graphicData>
          </a:graphic>
        </wp:anchor>
      </w:drawing>
    </w:r>
    <w:r>
      <w:pict>
        <v:line id="_x0000_s2049" style="mso-position-horizontal-relative:page;mso-position-vertical-relative:page;position:absolute;z-index:-251657216"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50" type="#_x0000_t202" style="width:364.95pt;height:25.8pt;margin-top:19.07pt;margin-left:316.11pt;mso-position-horizontal-relative:page;mso-position-vertical-relative:page;position:absolute;z-index:-251656192" filled="f" stroked="f">
          <v:textbox inset="0,0,0,0">
            <w:txbxContent>
              <w:p>
                <w:pPr>
                  <w:spacing w:before="0" w:line="515" w:lineRule="exact"/>
                  <w:ind w:left="20" w:right="0" w:firstLine="0"/>
                  <w:jc w:val="left"/>
                  <w:rPr>
                    <w:rFonts w:ascii="微软雅黑" w:eastAsia="微软雅黑" w:hAnsi="微软雅黑" w:hint="eastAsia"/>
                    <w:b/>
                    <w:sz w:val="36"/>
                  </w:rPr>
                </w:pPr>
                <w:r>
                  <w:rPr>
                    <w:rFonts w:ascii="微软雅黑" w:eastAsia="微软雅黑" w:hAnsi="微软雅黑" w:hint="eastAsia"/>
                    <w:b/>
                    <w:color w:val="9FC50F"/>
                    <w:sz w:val="36"/>
                  </w:rPr>
                  <w:t>中国电子支付市场月度动态监测——公开数据</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418782</wp:posOffset>
          </wp:positionH>
          <wp:positionV relativeFrom="page">
            <wp:posOffset>168668</wp:posOffset>
          </wp:positionV>
          <wp:extent cx="987526" cy="438899"/>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 cstate="print"/>
                  <a:stretch>
                    <a:fillRect/>
                  </a:stretch>
                </pic:blipFill>
                <pic:spPr>
                  <a:xfrm>
                    <a:off x="0" y="0"/>
                    <a:ext cx="987526" cy="438899"/>
                  </a:xfrm>
                  <a:prstGeom prst="rect">
                    <a:avLst/>
                  </a:prstGeom>
                </pic:spPr>
              </pic:pic>
            </a:graphicData>
          </a:graphic>
        </wp:anchor>
      </w:drawing>
    </w:r>
    <w:r>
      <w:pict>
        <v:line id="_x0000_s2051" style="mso-position-horizontal-relative:page;mso-position-vertical-relative:page;position:absolute;z-index:-251654144"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52" type="#_x0000_t202" style="width:364.95pt;height:25.8pt;margin-top:19.07pt;margin-left:316.11pt;mso-position-horizontal-relative:page;mso-position-vertical-relative:page;position:absolute;z-index:-251653120" filled="f" stroked="f">
          <v:textbox inset="0,0,0,0">
            <w:txbxContent>
              <w:p>
                <w:pPr>
                  <w:spacing w:before="0" w:line="515" w:lineRule="exact"/>
                  <w:ind w:left="20" w:right="0" w:firstLine="0"/>
                  <w:jc w:val="left"/>
                  <w:rPr>
                    <w:rFonts w:ascii="微软雅黑" w:eastAsia="微软雅黑" w:hAnsi="微软雅黑" w:hint="eastAsia"/>
                    <w:b/>
                    <w:sz w:val="36"/>
                  </w:rPr>
                </w:pPr>
                <w:r>
                  <w:rPr>
                    <w:rFonts w:ascii="微软雅黑" w:eastAsia="微软雅黑" w:hAnsi="微软雅黑" w:hint="eastAsia"/>
                    <w:b/>
                    <w:color w:val="9FC50F"/>
                    <w:sz w:val="36"/>
                  </w:rPr>
                  <w:t>中国电子支付市场月度动态监测——产业合作</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418782</wp:posOffset>
          </wp:positionH>
          <wp:positionV relativeFrom="page">
            <wp:posOffset>168668</wp:posOffset>
          </wp:positionV>
          <wp:extent cx="987526" cy="438899"/>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1" cstate="print"/>
                  <a:stretch>
                    <a:fillRect/>
                  </a:stretch>
                </pic:blipFill>
                <pic:spPr>
                  <a:xfrm>
                    <a:off x="0" y="0"/>
                    <a:ext cx="987526" cy="438899"/>
                  </a:xfrm>
                  <a:prstGeom prst="rect">
                    <a:avLst/>
                  </a:prstGeom>
                </pic:spPr>
              </pic:pic>
            </a:graphicData>
          </a:graphic>
        </wp:anchor>
      </w:drawing>
    </w:r>
    <w:r>
      <w:pict>
        <v:line id="_x0000_s2053" style="mso-position-horizontal-relative:page;mso-position-vertical-relative:page;position:absolute;z-index:-251651072"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54" type="#_x0000_t202" style="width:364.95pt;height:25.8pt;margin-top:19.07pt;margin-left:316.11pt;mso-position-horizontal-relative:page;mso-position-vertical-relative:page;position:absolute;z-index:-251650048" filled="f" stroked="f">
          <v:textbox inset="0,0,0,0">
            <w:txbxContent>
              <w:p>
                <w:pPr>
                  <w:spacing w:before="0" w:line="515" w:lineRule="exact"/>
                  <w:ind w:left="20" w:right="0" w:firstLine="0"/>
                  <w:jc w:val="left"/>
                  <w:rPr>
                    <w:rFonts w:ascii="微软雅黑" w:eastAsia="微软雅黑" w:hAnsi="微软雅黑" w:hint="eastAsia"/>
                    <w:b/>
                    <w:sz w:val="36"/>
                  </w:rPr>
                </w:pPr>
                <w:r>
                  <w:rPr>
                    <w:rFonts w:ascii="微软雅黑" w:eastAsia="微软雅黑" w:hAnsi="微软雅黑" w:hint="eastAsia"/>
                    <w:b/>
                    <w:color w:val="9FC50F"/>
                    <w:sz w:val="36"/>
                  </w:rPr>
                  <w:t>中国电子支付市场月度动态监测——海外市场</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418782</wp:posOffset>
          </wp:positionH>
          <wp:positionV relativeFrom="page">
            <wp:posOffset>168668</wp:posOffset>
          </wp:positionV>
          <wp:extent cx="987526" cy="438899"/>
          <wp:effectExtent l="0" t="0" r="0" b="0"/>
          <wp:wrapNone/>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1" cstate="print"/>
                  <a:stretch>
                    <a:fillRect/>
                  </a:stretch>
                </pic:blipFill>
                <pic:spPr>
                  <a:xfrm>
                    <a:off x="0" y="0"/>
                    <a:ext cx="987526" cy="438899"/>
                  </a:xfrm>
                  <a:prstGeom prst="rect">
                    <a:avLst/>
                  </a:prstGeom>
                </pic:spPr>
              </pic:pic>
            </a:graphicData>
          </a:graphic>
        </wp:anchor>
      </w:drawing>
    </w:r>
    <w:r>
      <w:pict>
        <v:line id="_x0000_s2055" style="mso-position-horizontal-relative:page;mso-position-vertical-relative:page;position:absolute;z-index:-251648000"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56" type="#_x0000_t202" style="width:272pt;height:25.8pt;margin-top:19.07pt;margin-left:409.04pt;mso-position-horizontal-relative:page;mso-position-vertical-relative:page;position:absolute;z-index:-251646976"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金融机构与电商的相互渗透成趋势</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418782</wp:posOffset>
          </wp:positionH>
          <wp:positionV relativeFrom="page">
            <wp:posOffset>168668</wp:posOffset>
          </wp:positionV>
          <wp:extent cx="987526" cy="438899"/>
          <wp:effectExtent l="0" t="0" r="0" b="0"/>
          <wp:wrapNone/>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pic:nvPicPr>
                <pic:blipFill>
                  <a:blip xmlns:r="http://schemas.openxmlformats.org/officeDocument/2006/relationships" r:embed="rId1" cstate="print"/>
                  <a:stretch>
                    <a:fillRect/>
                  </a:stretch>
                </pic:blipFill>
                <pic:spPr>
                  <a:xfrm>
                    <a:off x="0" y="0"/>
                    <a:ext cx="987526" cy="438899"/>
                  </a:xfrm>
                  <a:prstGeom prst="rect">
                    <a:avLst/>
                  </a:prstGeom>
                </pic:spPr>
              </pic:pic>
            </a:graphicData>
          </a:graphic>
        </wp:anchor>
      </w:drawing>
    </w:r>
    <w:r>
      <w:pict>
        <v:line id="_x0000_s2057" style="mso-position-horizontal-relative:page;mso-position-vertical-relative:page;position:absolute;z-index:-251644928"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58" type="#_x0000_t202" style="width:366.75pt;height:25.8pt;margin-top:19.07pt;margin-left:314.38pt;mso-position-horizontal-relative:page;mso-position-vertical-relative:page;position:absolute;z-index:-251643904"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有移动支付支持的O2O电子商务浪潮即将到来</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418782</wp:posOffset>
          </wp:positionH>
          <wp:positionV relativeFrom="page">
            <wp:posOffset>168668</wp:posOffset>
          </wp:positionV>
          <wp:extent cx="987526" cy="438899"/>
          <wp:effectExtent l="0" t="0" r="0" b="0"/>
          <wp:wrapNone/>
          <wp:docPr id="1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png"/>
                  <pic:cNvPicPr/>
                </pic:nvPicPr>
                <pic:blipFill>
                  <a:blip xmlns:r="http://schemas.openxmlformats.org/officeDocument/2006/relationships" r:embed="rId1" cstate="print"/>
                  <a:stretch>
                    <a:fillRect/>
                  </a:stretch>
                </pic:blipFill>
                <pic:spPr>
                  <a:xfrm>
                    <a:off x="0" y="0"/>
                    <a:ext cx="987526" cy="43889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485.55pt;height:25.8pt;margin-top:19.07pt;margin-left:195.63pt;mso-position-horizontal-relative:page;mso-position-vertical-relative:page;position:absolute;z-index:-251641856"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政策：人民银行发放第六批支付牌照，获牌企业总数达223家</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60" style="width:77.8pt;height:34.6pt;margin-top:13.28pt;margin-left:32.97pt;mso-position-horizontal-relative:page;mso-position-vertical-relative:page;position:absolute;z-index:-251640832" coordorigin="659,266" coordsize="1556,6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1556;height:692;left:659;position:absolute;top:265" stroked="f">
            <v:imagedata r:id="rId1" o:title=""/>
          </v:shape>
          <v:line id="_x0000_s2062" style="position:absolute" from="1310,945" to="1310,945" stroked="t" strokecolor="#fefefe">
            <v:stroke dashstyle="solid"/>
          </v:line>
        </v:group>
      </w:pict>
    </w:r>
    <w:r>
      <w:pict>
        <v:line id="_x0000_s2063" style="mso-position-horizontal-relative:page;mso-position-vertical-relative:page;position:absolute;z-index:-251639808"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64" type="#_x0000_t202" style="width:254.05pt;height:25.8pt;margin-top:19.07pt;margin-left:427.02pt;mso-position-horizontal-relative:page;mso-position-vertical-relative:page;position:absolute;z-index:-251638784"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中国网上银行市场月度数据监测</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65" style="width:77.8pt;height:34.6pt;margin-top:13.28pt;margin-left:32.97pt;mso-position-horizontal-relative:page;mso-position-vertical-relative:page;position:absolute;z-index:-251637760" coordorigin="659,266" coordsize="1556,6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1556;height:692;left:659;position:absolute;top:265" stroked="f">
            <v:imagedata r:id="rId1" o:title=""/>
          </v:shape>
          <v:line id="_x0000_s2067" style="position:absolute" from="1310,945" to="1310,945" stroked="t" strokecolor="#fefefe">
            <v:stroke dashstyle="solid"/>
          </v:line>
        </v:group>
      </w:pict>
    </w:r>
    <w:r>
      <w:pict>
        <v:line id="_x0000_s2068" style="mso-position-horizontal-relative:page;mso-position-vertical-relative:page;position:absolute;z-index:-251636736"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69" type="#_x0000_t202" style="width:254.05pt;height:25.8pt;margin-top:19.07pt;margin-left:427.02pt;mso-position-horizontal-relative:page;mso-position-vertical-relative:page;position:absolute;z-index:-251635712"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中国网上银行市场月度数据监测</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70" style="width:77.8pt;height:34.6pt;margin-top:13.28pt;margin-left:32.97pt;mso-position-horizontal-relative:page;mso-position-vertical-relative:page;position:absolute;z-index:-251634688" coordorigin="659,266" coordsize="1556,6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1556;height:692;left:659;position:absolute;top:265" stroked="f">
            <v:imagedata r:id="rId1" o:title=""/>
          </v:shape>
          <v:line id="_x0000_s2072" style="position:absolute" from="1310,945" to="1310,945" stroked="t" strokecolor="#fefefe">
            <v:stroke dashstyle="solid"/>
          </v:line>
        </v:group>
      </w:pict>
    </w:r>
    <w:r>
      <w:pict>
        <v:line id="_x0000_s2073" style="mso-position-horizontal-relative:page;mso-position-vertical-relative:page;position:absolute;z-index:-251633664"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74" type="#_x0000_t202" style="width:254.05pt;height:25.8pt;margin-top:19.07pt;margin-left:427.02pt;mso-position-horizontal-relative:page;mso-position-vertical-relative:page;position:absolute;z-index:-251632640"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中国网上银行市场月度数据监测</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75" style="width:77.8pt;height:34.6pt;margin-top:13.28pt;margin-left:32.97pt;mso-position-horizontal-relative:page;mso-position-vertical-relative:page;position:absolute;z-index:-251631616" coordorigin="659,266" coordsize="1556,6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width:1556;height:692;left:659;position:absolute;top:265" stroked="f">
            <v:imagedata r:id="rId1" o:title=""/>
          </v:shape>
          <v:line id="_x0000_s2077" style="position:absolute" from="1310,945" to="1310,945" stroked="t" strokecolor="#fefefe">
            <v:stroke dashstyle="solid"/>
          </v:line>
        </v:group>
      </w:pict>
    </w:r>
    <w:r>
      <w:pict>
        <v:line id="_x0000_s2078" style="mso-position-horizontal-relative:page;mso-position-vertical-relative:page;position:absolute;z-index:-251630592"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79" type="#_x0000_t202" style="width:254.05pt;height:25.8pt;margin-top:19.07pt;margin-left:427.02pt;mso-position-horizontal-relative:page;mso-position-vertical-relative:page;position:absolute;z-index:-251629568"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中国网上银行市场月度数据监测</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D9531"/>
    <w:multiLevelType w:val="hybridMultilevel"/>
    <w:tmpl w:val="00000000"/>
    <w:lvl w:ilvl="0">
      <w:start w:val="4"/>
      <w:numFmt w:val="decimal"/>
      <w:lvlText w:val="%1"/>
      <w:lvlJc w:val="left"/>
      <w:pPr>
        <w:ind w:left="2558" w:hanging="593"/>
        <w:jc w:val="left"/>
      </w:pPr>
      <w:rPr>
        <w:rFonts w:ascii="微软雅黑" w:eastAsia="微软雅黑" w:hAnsi="微软雅黑" w:cs="微软雅黑" w:hint="default"/>
        <w:b/>
        <w:bCs/>
        <w:color w:val="99CC00"/>
        <w:w w:val="100"/>
        <w:sz w:val="48"/>
        <w:szCs w:val="48"/>
        <w:lang w:val="en-US" w:eastAsia="en-US" w:bidi="ar-SA"/>
      </w:rPr>
    </w:lvl>
    <w:lvl w:ilvl="1">
      <w:start w:val="0"/>
      <w:numFmt w:val="bullet"/>
      <w:lvlText w:val="•"/>
      <w:lvlJc w:val="left"/>
      <w:pPr>
        <w:ind w:left="3672" w:hanging="593"/>
      </w:pPr>
      <w:rPr>
        <w:rFonts w:hint="default"/>
        <w:lang w:val="en-US" w:eastAsia="en-US" w:bidi="ar-SA"/>
      </w:rPr>
    </w:lvl>
    <w:lvl w:ilvl="2">
      <w:start w:val="0"/>
      <w:numFmt w:val="bullet"/>
      <w:lvlText w:val="•"/>
      <w:lvlJc w:val="left"/>
      <w:pPr>
        <w:ind w:left="4784" w:hanging="593"/>
      </w:pPr>
      <w:rPr>
        <w:rFonts w:hint="default"/>
        <w:lang w:val="en-US" w:eastAsia="en-US" w:bidi="ar-SA"/>
      </w:rPr>
    </w:lvl>
    <w:lvl w:ilvl="3">
      <w:start w:val="0"/>
      <w:numFmt w:val="bullet"/>
      <w:lvlText w:val="•"/>
      <w:lvlJc w:val="left"/>
      <w:pPr>
        <w:ind w:left="5896" w:hanging="593"/>
      </w:pPr>
      <w:rPr>
        <w:rFonts w:hint="default"/>
        <w:lang w:val="en-US" w:eastAsia="en-US" w:bidi="ar-SA"/>
      </w:rPr>
    </w:lvl>
    <w:lvl w:ilvl="4">
      <w:start w:val="0"/>
      <w:numFmt w:val="bullet"/>
      <w:lvlText w:val="•"/>
      <w:lvlJc w:val="left"/>
      <w:pPr>
        <w:ind w:left="7008" w:hanging="593"/>
      </w:pPr>
      <w:rPr>
        <w:rFonts w:hint="default"/>
        <w:lang w:val="en-US" w:eastAsia="en-US" w:bidi="ar-SA"/>
      </w:rPr>
    </w:lvl>
    <w:lvl w:ilvl="5">
      <w:start w:val="0"/>
      <w:numFmt w:val="bullet"/>
      <w:lvlText w:val="•"/>
      <w:lvlJc w:val="left"/>
      <w:pPr>
        <w:ind w:left="8120" w:hanging="593"/>
      </w:pPr>
      <w:rPr>
        <w:rFonts w:hint="default"/>
        <w:lang w:val="en-US" w:eastAsia="en-US" w:bidi="ar-SA"/>
      </w:rPr>
    </w:lvl>
    <w:lvl w:ilvl="6">
      <w:start w:val="0"/>
      <w:numFmt w:val="bullet"/>
      <w:lvlText w:val="•"/>
      <w:lvlJc w:val="left"/>
      <w:pPr>
        <w:ind w:left="9232" w:hanging="593"/>
      </w:pPr>
      <w:rPr>
        <w:rFonts w:hint="default"/>
        <w:lang w:val="en-US" w:eastAsia="en-US" w:bidi="ar-SA"/>
      </w:rPr>
    </w:lvl>
    <w:lvl w:ilvl="7">
      <w:start w:val="0"/>
      <w:numFmt w:val="bullet"/>
      <w:lvlText w:val="•"/>
      <w:lvlJc w:val="left"/>
      <w:pPr>
        <w:ind w:left="10344" w:hanging="593"/>
      </w:pPr>
      <w:rPr>
        <w:rFonts w:hint="default"/>
        <w:lang w:val="en-US" w:eastAsia="en-US" w:bidi="ar-SA"/>
      </w:rPr>
    </w:lvl>
    <w:lvl w:ilvl="8">
      <w:start w:val="0"/>
      <w:numFmt w:val="bullet"/>
      <w:lvlText w:val="•"/>
      <w:lvlJc w:val="left"/>
      <w:pPr>
        <w:ind w:left="11456" w:hanging="593"/>
      </w:pPr>
      <w:rPr>
        <w:rFonts w:hint="default"/>
        <w:lang w:val="en-US" w:eastAsia="en-US" w:bidi="ar-SA"/>
      </w:rPr>
    </w:lvl>
  </w:abstractNum>
  <w:abstractNum w:abstractNumId="1">
    <w:nsid w:val="101C4191"/>
    <w:multiLevelType w:val="hybridMultilevel"/>
    <w:tmpl w:val="00000000"/>
    <w:lvl w:ilvl="0">
      <w:start w:val="3"/>
      <w:numFmt w:val="decimal"/>
      <w:lvlText w:val="%1"/>
      <w:lvlJc w:val="left"/>
      <w:pPr>
        <w:ind w:left="2558" w:hanging="593"/>
        <w:jc w:val="left"/>
      </w:pPr>
      <w:rPr>
        <w:rFonts w:ascii="微软雅黑" w:eastAsia="微软雅黑" w:hAnsi="微软雅黑" w:cs="微软雅黑" w:hint="default"/>
        <w:b/>
        <w:bCs/>
        <w:color w:val="99CC00"/>
        <w:w w:val="100"/>
        <w:sz w:val="48"/>
        <w:szCs w:val="48"/>
        <w:lang w:val="en-US" w:eastAsia="en-US" w:bidi="ar-SA"/>
      </w:rPr>
    </w:lvl>
    <w:lvl w:ilvl="1">
      <w:start w:val="0"/>
      <w:numFmt w:val="bullet"/>
      <w:lvlText w:val="•"/>
      <w:lvlJc w:val="left"/>
      <w:pPr>
        <w:ind w:left="3672" w:hanging="593"/>
      </w:pPr>
      <w:rPr>
        <w:rFonts w:hint="default"/>
        <w:lang w:val="en-US" w:eastAsia="en-US" w:bidi="ar-SA"/>
      </w:rPr>
    </w:lvl>
    <w:lvl w:ilvl="2">
      <w:start w:val="0"/>
      <w:numFmt w:val="bullet"/>
      <w:lvlText w:val="•"/>
      <w:lvlJc w:val="left"/>
      <w:pPr>
        <w:ind w:left="4784" w:hanging="593"/>
      </w:pPr>
      <w:rPr>
        <w:rFonts w:hint="default"/>
        <w:lang w:val="en-US" w:eastAsia="en-US" w:bidi="ar-SA"/>
      </w:rPr>
    </w:lvl>
    <w:lvl w:ilvl="3">
      <w:start w:val="0"/>
      <w:numFmt w:val="bullet"/>
      <w:lvlText w:val="•"/>
      <w:lvlJc w:val="left"/>
      <w:pPr>
        <w:ind w:left="5896" w:hanging="593"/>
      </w:pPr>
      <w:rPr>
        <w:rFonts w:hint="default"/>
        <w:lang w:val="en-US" w:eastAsia="en-US" w:bidi="ar-SA"/>
      </w:rPr>
    </w:lvl>
    <w:lvl w:ilvl="4">
      <w:start w:val="0"/>
      <w:numFmt w:val="bullet"/>
      <w:lvlText w:val="•"/>
      <w:lvlJc w:val="left"/>
      <w:pPr>
        <w:ind w:left="7008" w:hanging="593"/>
      </w:pPr>
      <w:rPr>
        <w:rFonts w:hint="default"/>
        <w:lang w:val="en-US" w:eastAsia="en-US" w:bidi="ar-SA"/>
      </w:rPr>
    </w:lvl>
    <w:lvl w:ilvl="5">
      <w:start w:val="0"/>
      <w:numFmt w:val="bullet"/>
      <w:lvlText w:val="•"/>
      <w:lvlJc w:val="left"/>
      <w:pPr>
        <w:ind w:left="8120" w:hanging="593"/>
      </w:pPr>
      <w:rPr>
        <w:rFonts w:hint="default"/>
        <w:lang w:val="en-US" w:eastAsia="en-US" w:bidi="ar-SA"/>
      </w:rPr>
    </w:lvl>
    <w:lvl w:ilvl="6">
      <w:start w:val="0"/>
      <w:numFmt w:val="bullet"/>
      <w:lvlText w:val="•"/>
      <w:lvlJc w:val="left"/>
      <w:pPr>
        <w:ind w:left="9232" w:hanging="593"/>
      </w:pPr>
      <w:rPr>
        <w:rFonts w:hint="default"/>
        <w:lang w:val="en-US" w:eastAsia="en-US" w:bidi="ar-SA"/>
      </w:rPr>
    </w:lvl>
    <w:lvl w:ilvl="7">
      <w:start w:val="0"/>
      <w:numFmt w:val="bullet"/>
      <w:lvlText w:val="•"/>
      <w:lvlJc w:val="left"/>
      <w:pPr>
        <w:ind w:left="10344" w:hanging="593"/>
      </w:pPr>
      <w:rPr>
        <w:rFonts w:hint="default"/>
        <w:lang w:val="en-US" w:eastAsia="en-US" w:bidi="ar-SA"/>
      </w:rPr>
    </w:lvl>
    <w:lvl w:ilvl="8">
      <w:start w:val="0"/>
      <w:numFmt w:val="bullet"/>
      <w:lvlText w:val="•"/>
      <w:lvlJc w:val="left"/>
      <w:pPr>
        <w:ind w:left="11456" w:hanging="593"/>
      </w:pPr>
      <w:rPr>
        <w:rFonts w:hint="default"/>
        <w:lang w:val="en-US" w:eastAsia="en-US" w:bidi="ar-SA"/>
      </w:rPr>
    </w:lvl>
  </w:abstractNum>
  <w:abstractNum w:abstractNumId="2">
    <w:nsid w:val="161A3F26"/>
    <w:multiLevelType w:val="hybridMultilevel"/>
    <w:tmpl w:val="00000000"/>
    <w:lvl w:ilvl="0">
      <w:start w:val="5"/>
      <w:numFmt w:val="decimal"/>
      <w:lvlText w:val="%1"/>
      <w:lvlJc w:val="left"/>
      <w:pPr>
        <w:ind w:left="2558" w:hanging="593"/>
        <w:jc w:val="left"/>
      </w:pPr>
      <w:rPr>
        <w:rFonts w:ascii="微软雅黑" w:eastAsia="微软雅黑" w:hAnsi="微软雅黑" w:cs="微软雅黑" w:hint="default"/>
        <w:b/>
        <w:bCs/>
        <w:color w:val="99CC00"/>
        <w:w w:val="100"/>
        <w:sz w:val="48"/>
        <w:szCs w:val="48"/>
        <w:lang w:val="en-US" w:eastAsia="en-US" w:bidi="ar-SA"/>
      </w:rPr>
    </w:lvl>
    <w:lvl w:ilvl="1">
      <w:start w:val="0"/>
      <w:numFmt w:val="bullet"/>
      <w:lvlText w:val="•"/>
      <w:lvlJc w:val="left"/>
      <w:pPr>
        <w:ind w:left="3672" w:hanging="593"/>
      </w:pPr>
      <w:rPr>
        <w:rFonts w:hint="default"/>
        <w:lang w:val="en-US" w:eastAsia="en-US" w:bidi="ar-SA"/>
      </w:rPr>
    </w:lvl>
    <w:lvl w:ilvl="2">
      <w:start w:val="0"/>
      <w:numFmt w:val="bullet"/>
      <w:lvlText w:val="•"/>
      <w:lvlJc w:val="left"/>
      <w:pPr>
        <w:ind w:left="4784" w:hanging="593"/>
      </w:pPr>
      <w:rPr>
        <w:rFonts w:hint="default"/>
        <w:lang w:val="en-US" w:eastAsia="en-US" w:bidi="ar-SA"/>
      </w:rPr>
    </w:lvl>
    <w:lvl w:ilvl="3">
      <w:start w:val="0"/>
      <w:numFmt w:val="bullet"/>
      <w:lvlText w:val="•"/>
      <w:lvlJc w:val="left"/>
      <w:pPr>
        <w:ind w:left="5896" w:hanging="593"/>
      </w:pPr>
      <w:rPr>
        <w:rFonts w:hint="default"/>
        <w:lang w:val="en-US" w:eastAsia="en-US" w:bidi="ar-SA"/>
      </w:rPr>
    </w:lvl>
    <w:lvl w:ilvl="4">
      <w:start w:val="0"/>
      <w:numFmt w:val="bullet"/>
      <w:lvlText w:val="•"/>
      <w:lvlJc w:val="left"/>
      <w:pPr>
        <w:ind w:left="7008" w:hanging="593"/>
      </w:pPr>
      <w:rPr>
        <w:rFonts w:hint="default"/>
        <w:lang w:val="en-US" w:eastAsia="en-US" w:bidi="ar-SA"/>
      </w:rPr>
    </w:lvl>
    <w:lvl w:ilvl="5">
      <w:start w:val="0"/>
      <w:numFmt w:val="bullet"/>
      <w:lvlText w:val="•"/>
      <w:lvlJc w:val="left"/>
      <w:pPr>
        <w:ind w:left="8120" w:hanging="593"/>
      </w:pPr>
      <w:rPr>
        <w:rFonts w:hint="default"/>
        <w:lang w:val="en-US" w:eastAsia="en-US" w:bidi="ar-SA"/>
      </w:rPr>
    </w:lvl>
    <w:lvl w:ilvl="6">
      <w:start w:val="0"/>
      <w:numFmt w:val="bullet"/>
      <w:lvlText w:val="•"/>
      <w:lvlJc w:val="left"/>
      <w:pPr>
        <w:ind w:left="9232" w:hanging="593"/>
      </w:pPr>
      <w:rPr>
        <w:rFonts w:hint="default"/>
        <w:lang w:val="en-US" w:eastAsia="en-US" w:bidi="ar-SA"/>
      </w:rPr>
    </w:lvl>
    <w:lvl w:ilvl="7">
      <w:start w:val="0"/>
      <w:numFmt w:val="bullet"/>
      <w:lvlText w:val="•"/>
      <w:lvlJc w:val="left"/>
      <w:pPr>
        <w:ind w:left="10344" w:hanging="593"/>
      </w:pPr>
      <w:rPr>
        <w:rFonts w:hint="default"/>
        <w:lang w:val="en-US" w:eastAsia="en-US" w:bidi="ar-SA"/>
      </w:rPr>
    </w:lvl>
    <w:lvl w:ilvl="8">
      <w:start w:val="0"/>
      <w:numFmt w:val="bullet"/>
      <w:lvlText w:val="•"/>
      <w:lvlJc w:val="left"/>
      <w:pPr>
        <w:ind w:left="11456" w:hanging="593"/>
      </w:pPr>
      <w:rPr>
        <w:rFonts w:hint="default"/>
        <w:lang w:val="en-US" w:eastAsia="en-US" w:bidi="ar-SA"/>
      </w:rPr>
    </w:lvl>
  </w:abstractNum>
  <w:abstractNum w:abstractNumId="3">
    <w:nsid w:val="276090F0"/>
    <w:multiLevelType w:val="hybridMultilevel"/>
    <w:tmpl w:val="00000000"/>
    <w:lvl w:ilvl="0">
      <w:start w:val="3"/>
      <w:numFmt w:val="decimal"/>
      <w:lvlText w:val="%1"/>
      <w:lvlJc w:val="left"/>
      <w:pPr>
        <w:ind w:left="2558" w:hanging="593"/>
        <w:jc w:val="left"/>
      </w:pPr>
      <w:rPr>
        <w:rFonts w:ascii="微软雅黑" w:eastAsia="微软雅黑" w:hAnsi="微软雅黑" w:cs="微软雅黑" w:hint="default"/>
        <w:b/>
        <w:bCs/>
        <w:color w:val="99CC00"/>
        <w:w w:val="100"/>
        <w:sz w:val="48"/>
        <w:szCs w:val="48"/>
        <w:lang w:val="en-US" w:eastAsia="en-US" w:bidi="ar-SA"/>
      </w:rPr>
    </w:lvl>
    <w:lvl w:ilvl="1">
      <w:start w:val="0"/>
      <w:numFmt w:val="bullet"/>
      <w:lvlText w:val="•"/>
      <w:lvlJc w:val="left"/>
      <w:pPr>
        <w:ind w:left="3672" w:hanging="593"/>
      </w:pPr>
      <w:rPr>
        <w:rFonts w:hint="default"/>
        <w:lang w:val="en-US" w:eastAsia="en-US" w:bidi="ar-SA"/>
      </w:rPr>
    </w:lvl>
    <w:lvl w:ilvl="2">
      <w:start w:val="0"/>
      <w:numFmt w:val="bullet"/>
      <w:lvlText w:val="•"/>
      <w:lvlJc w:val="left"/>
      <w:pPr>
        <w:ind w:left="4784" w:hanging="593"/>
      </w:pPr>
      <w:rPr>
        <w:rFonts w:hint="default"/>
        <w:lang w:val="en-US" w:eastAsia="en-US" w:bidi="ar-SA"/>
      </w:rPr>
    </w:lvl>
    <w:lvl w:ilvl="3">
      <w:start w:val="0"/>
      <w:numFmt w:val="bullet"/>
      <w:lvlText w:val="•"/>
      <w:lvlJc w:val="left"/>
      <w:pPr>
        <w:ind w:left="5896" w:hanging="593"/>
      </w:pPr>
      <w:rPr>
        <w:rFonts w:hint="default"/>
        <w:lang w:val="en-US" w:eastAsia="en-US" w:bidi="ar-SA"/>
      </w:rPr>
    </w:lvl>
    <w:lvl w:ilvl="4">
      <w:start w:val="0"/>
      <w:numFmt w:val="bullet"/>
      <w:lvlText w:val="•"/>
      <w:lvlJc w:val="left"/>
      <w:pPr>
        <w:ind w:left="7008" w:hanging="593"/>
      </w:pPr>
      <w:rPr>
        <w:rFonts w:hint="default"/>
        <w:lang w:val="en-US" w:eastAsia="en-US" w:bidi="ar-SA"/>
      </w:rPr>
    </w:lvl>
    <w:lvl w:ilvl="5">
      <w:start w:val="0"/>
      <w:numFmt w:val="bullet"/>
      <w:lvlText w:val="•"/>
      <w:lvlJc w:val="left"/>
      <w:pPr>
        <w:ind w:left="8120" w:hanging="593"/>
      </w:pPr>
      <w:rPr>
        <w:rFonts w:hint="default"/>
        <w:lang w:val="en-US" w:eastAsia="en-US" w:bidi="ar-SA"/>
      </w:rPr>
    </w:lvl>
    <w:lvl w:ilvl="6">
      <w:start w:val="0"/>
      <w:numFmt w:val="bullet"/>
      <w:lvlText w:val="•"/>
      <w:lvlJc w:val="left"/>
      <w:pPr>
        <w:ind w:left="9232" w:hanging="593"/>
      </w:pPr>
      <w:rPr>
        <w:rFonts w:hint="default"/>
        <w:lang w:val="en-US" w:eastAsia="en-US" w:bidi="ar-SA"/>
      </w:rPr>
    </w:lvl>
    <w:lvl w:ilvl="7">
      <w:start w:val="0"/>
      <w:numFmt w:val="bullet"/>
      <w:lvlText w:val="•"/>
      <w:lvlJc w:val="left"/>
      <w:pPr>
        <w:ind w:left="10344" w:hanging="593"/>
      </w:pPr>
      <w:rPr>
        <w:rFonts w:hint="default"/>
        <w:lang w:val="en-US" w:eastAsia="en-US" w:bidi="ar-SA"/>
      </w:rPr>
    </w:lvl>
    <w:lvl w:ilvl="8">
      <w:start w:val="0"/>
      <w:numFmt w:val="bullet"/>
      <w:lvlText w:val="•"/>
      <w:lvlJc w:val="left"/>
      <w:pPr>
        <w:ind w:left="11456" w:hanging="593"/>
      </w:pPr>
      <w:rPr>
        <w:rFonts w:hint="default"/>
        <w:lang w:val="en-US" w:eastAsia="en-US" w:bidi="ar-SA"/>
      </w:rPr>
    </w:lvl>
  </w:abstractNum>
  <w:abstractNum w:abstractNumId="4">
    <w:nsid w:val="2CEEDB9C"/>
    <w:multiLevelType w:val="hybridMultilevel"/>
    <w:tmpl w:val="00000000"/>
    <w:lvl w:ilvl="0">
      <w:start w:val="3"/>
      <w:numFmt w:val="decimal"/>
      <w:lvlText w:val="%1"/>
      <w:lvlJc w:val="left"/>
      <w:pPr>
        <w:ind w:left="2558" w:hanging="593"/>
        <w:jc w:val="left"/>
      </w:pPr>
      <w:rPr>
        <w:rFonts w:ascii="微软雅黑" w:eastAsia="微软雅黑" w:hAnsi="微软雅黑" w:cs="微软雅黑" w:hint="default"/>
        <w:b/>
        <w:bCs/>
        <w:color w:val="99CC00"/>
        <w:w w:val="100"/>
        <w:sz w:val="48"/>
        <w:szCs w:val="48"/>
        <w:lang w:val="en-US" w:eastAsia="en-US" w:bidi="ar-SA"/>
      </w:rPr>
    </w:lvl>
    <w:lvl w:ilvl="1">
      <w:start w:val="0"/>
      <w:numFmt w:val="bullet"/>
      <w:lvlText w:val="•"/>
      <w:lvlJc w:val="left"/>
      <w:pPr>
        <w:ind w:left="3672" w:hanging="593"/>
      </w:pPr>
      <w:rPr>
        <w:rFonts w:hint="default"/>
        <w:lang w:val="en-US" w:eastAsia="en-US" w:bidi="ar-SA"/>
      </w:rPr>
    </w:lvl>
    <w:lvl w:ilvl="2">
      <w:start w:val="0"/>
      <w:numFmt w:val="bullet"/>
      <w:lvlText w:val="•"/>
      <w:lvlJc w:val="left"/>
      <w:pPr>
        <w:ind w:left="4784" w:hanging="593"/>
      </w:pPr>
      <w:rPr>
        <w:rFonts w:hint="default"/>
        <w:lang w:val="en-US" w:eastAsia="en-US" w:bidi="ar-SA"/>
      </w:rPr>
    </w:lvl>
    <w:lvl w:ilvl="3">
      <w:start w:val="0"/>
      <w:numFmt w:val="bullet"/>
      <w:lvlText w:val="•"/>
      <w:lvlJc w:val="left"/>
      <w:pPr>
        <w:ind w:left="5896" w:hanging="593"/>
      </w:pPr>
      <w:rPr>
        <w:rFonts w:hint="default"/>
        <w:lang w:val="en-US" w:eastAsia="en-US" w:bidi="ar-SA"/>
      </w:rPr>
    </w:lvl>
    <w:lvl w:ilvl="4">
      <w:start w:val="0"/>
      <w:numFmt w:val="bullet"/>
      <w:lvlText w:val="•"/>
      <w:lvlJc w:val="left"/>
      <w:pPr>
        <w:ind w:left="7008" w:hanging="593"/>
      </w:pPr>
      <w:rPr>
        <w:rFonts w:hint="default"/>
        <w:lang w:val="en-US" w:eastAsia="en-US" w:bidi="ar-SA"/>
      </w:rPr>
    </w:lvl>
    <w:lvl w:ilvl="5">
      <w:start w:val="0"/>
      <w:numFmt w:val="bullet"/>
      <w:lvlText w:val="•"/>
      <w:lvlJc w:val="left"/>
      <w:pPr>
        <w:ind w:left="8120" w:hanging="593"/>
      </w:pPr>
      <w:rPr>
        <w:rFonts w:hint="default"/>
        <w:lang w:val="en-US" w:eastAsia="en-US" w:bidi="ar-SA"/>
      </w:rPr>
    </w:lvl>
    <w:lvl w:ilvl="6">
      <w:start w:val="0"/>
      <w:numFmt w:val="bullet"/>
      <w:lvlText w:val="•"/>
      <w:lvlJc w:val="left"/>
      <w:pPr>
        <w:ind w:left="9232" w:hanging="593"/>
      </w:pPr>
      <w:rPr>
        <w:rFonts w:hint="default"/>
        <w:lang w:val="en-US" w:eastAsia="en-US" w:bidi="ar-SA"/>
      </w:rPr>
    </w:lvl>
    <w:lvl w:ilvl="7">
      <w:start w:val="0"/>
      <w:numFmt w:val="bullet"/>
      <w:lvlText w:val="•"/>
      <w:lvlJc w:val="left"/>
      <w:pPr>
        <w:ind w:left="10344" w:hanging="593"/>
      </w:pPr>
      <w:rPr>
        <w:rFonts w:hint="default"/>
        <w:lang w:val="en-US" w:eastAsia="en-US" w:bidi="ar-SA"/>
      </w:rPr>
    </w:lvl>
    <w:lvl w:ilvl="8">
      <w:start w:val="0"/>
      <w:numFmt w:val="bullet"/>
      <w:lvlText w:val="•"/>
      <w:lvlJc w:val="left"/>
      <w:pPr>
        <w:ind w:left="11456" w:hanging="593"/>
      </w:pPr>
      <w:rPr>
        <w:rFonts w:hint="default"/>
        <w:lang w:val="en-US" w:eastAsia="en-US" w:bidi="ar-SA"/>
      </w:r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spacing w:line="700" w:lineRule="exact"/>
      <w:ind w:left="1965"/>
      <w:outlineLvl w:val="0"/>
    </w:pPr>
    <w:rPr>
      <w:rFonts w:ascii="微软雅黑" w:eastAsia="微软雅黑" w:hAnsi="微软雅黑" w:cs="微软雅黑"/>
      <w:b/>
      <w:bCs/>
      <w:sz w:val="48"/>
      <w:szCs w:val="48"/>
      <w:lang w:val="en-US" w:eastAsia="en-US" w:bidi="ar-SA"/>
    </w:rPr>
  </w:style>
  <w:style w:type="paragraph" w:styleId="Heading2">
    <w:name w:val="heading 2"/>
    <w:basedOn w:val="Normal"/>
    <w:uiPriority w:val="1"/>
    <w:qFormat/>
    <w:pPr>
      <w:ind w:left="1416"/>
      <w:outlineLvl w:val="1"/>
    </w:pPr>
    <w:rPr>
      <w:rFonts w:ascii="Microsoft JhengHei" w:eastAsia="Microsoft JhengHei" w:hAnsi="Microsoft JhengHei" w:cs="Microsoft JhengHei"/>
      <w:b/>
      <w:bCs/>
      <w:sz w:val="28"/>
      <w:szCs w:val="28"/>
      <w:lang w:val="en-US" w:eastAsia="en-US" w:bidi="ar-SA"/>
    </w:rPr>
  </w:style>
  <w:style w:type="paragraph" w:styleId="Heading3">
    <w:name w:val="heading 3"/>
    <w:basedOn w:val="Normal"/>
    <w:uiPriority w:val="1"/>
    <w:qFormat/>
    <w:pPr>
      <w:spacing w:before="44"/>
      <w:ind w:left="2163"/>
      <w:outlineLvl w:val="2"/>
    </w:pPr>
    <w:rPr>
      <w:rFonts w:ascii="Microsoft JhengHei" w:eastAsia="Microsoft JhengHei" w:hAnsi="Microsoft JhengHei" w:cs="Microsoft JhengHei"/>
      <w:b/>
      <w:bCs/>
      <w:sz w:val="22"/>
      <w:szCs w:val="22"/>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2"/>
      <w:szCs w:val="22"/>
      <w:lang w:val="en-US" w:eastAsia="en-US" w:bidi="ar-SA"/>
    </w:rPr>
  </w:style>
  <w:style w:type="paragraph" w:styleId="Title">
    <w:name w:val="Title"/>
    <w:basedOn w:val="Normal"/>
    <w:uiPriority w:val="1"/>
    <w:qFormat/>
    <w:pPr>
      <w:spacing w:before="641"/>
      <w:ind w:left="109" w:right="3061"/>
    </w:pPr>
    <w:rPr>
      <w:rFonts w:ascii="Arial" w:eastAsia="Arial" w:hAnsi="Arial" w:cs="Arial"/>
      <w:sz w:val="160"/>
      <w:szCs w:val="160"/>
      <w:lang w:val="en-US" w:eastAsia="en-US" w:bidi="ar-SA"/>
    </w:rPr>
  </w:style>
  <w:style w:type="paragraph" w:styleId="ListParagraph">
    <w:name w:val="List Paragraph"/>
    <w:basedOn w:val="Normal"/>
    <w:uiPriority w:val="1"/>
    <w:qFormat/>
    <w:pPr>
      <w:spacing w:line="700" w:lineRule="exact"/>
      <w:ind w:left="2558" w:hanging="593"/>
    </w:pPr>
    <w:rPr>
      <w:rFonts w:ascii="微软雅黑" w:eastAsia="微软雅黑" w:hAnsi="微软雅黑" w:cs="微软雅黑"/>
      <w:lang w:val="en-US" w:eastAsia="en-US" w:bidi="ar-SA"/>
    </w:rPr>
  </w:style>
  <w:style w:type="paragraph" w:customStyle="1" w:styleId="TableParagraph">
    <w:name w:val="Table Paragraph"/>
    <w:basedOn w:val="Normal"/>
    <w:uiPriority w:val="1"/>
    <w:qFormat/>
    <w:pPr>
      <w:jc w:val="center"/>
    </w:pPr>
    <w:rPr>
      <w:rFonts w:ascii="宋体" w:eastAsia="宋体" w:hAnsi="宋体" w:cs="宋体"/>
      <w:lang w:val="en-U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image" Target="media/image10.png" /><Relationship Id="rId17" Type="http://schemas.openxmlformats.org/officeDocument/2006/relationships/image" Target="media/image11.png" /><Relationship Id="rId18" Type="http://schemas.openxmlformats.org/officeDocument/2006/relationships/image" Target="media/image12.png" /><Relationship Id="rId19" Type="http://schemas.openxmlformats.org/officeDocument/2006/relationships/image" Target="media/image13.png"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image" Target="media/image14.png" /><Relationship Id="rId22" Type="http://schemas.openxmlformats.org/officeDocument/2006/relationships/image" Target="media/image15.jpeg" /><Relationship Id="rId23" Type="http://schemas.openxmlformats.org/officeDocument/2006/relationships/header" Target="header6.xml" /><Relationship Id="rId24" Type="http://schemas.openxmlformats.org/officeDocument/2006/relationships/header" Target="header7.xml"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header" Target="header8.xml" /><Relationship Id="rId28" Type="http://schemas.openxmlformats.org/officeDocument/2006/relationships/header" Target="head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hyperlink" Target="https://d.book118.com/436235000122010050" TargetMode="External" /><Relationship Id="rId32" Type="http://schemas.openxmlformats.org/officeDocument/2006/relationships/header" Target="header12.xm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image" Target="media/image4.png"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_rels/header11.xml.rels><?xml version="1.0" encoding="utf-8" standalone="yes"?><Relationships xmlns="http://schemas.openxmlformats.org/package/2006/relationships"><Relationship Id="rId1" Type="http://schemas.openxmlformats.org/officeDocument/2006/relationships/image" Target="media/image3.png"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幻灯片 1</dc:title>
  <dc:creator>Nina</dc:creator>
  <cp:revision>0</cp:revision>
  <dcterms:created xsi:type="dcterms:W3CDTF">2024-01-20T05:25:29Z</dcterms:created>
  <dcterms:modified xsi:type="dcterms:W3CDTF">2024-01-20T05:25:29Z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2013-03-11T00:00:00Z</vt:filetime>
  </property>
  <property fmtid="{D5CDD505-2E9C-101B-9397-08002B2CF9AE}" pid="3" name="Creator">
    <vt:lpwstr>Microsoft® PowerPoint® 2010</vt:lpwstr>
  </property>
  <property fmtid="{D5CDD505-2E9C-101B-9397-08002B2CF9AE}" pid="4" name="LastSaved">
    <vt:filetime>2024-01-20T00:00:00Z</vt:filetime>
  </property>
</Properties>
</file>