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310"/>
        <w:keepNext/>
        <w:keepLines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吉林省工程建设地方标准</w:t>
      </w:r>
      <w:bookmarkEnd w:id="0"/>
      <w:bookmarkEnd w:id="1"/>
      <w:bookmarkEnd w:id="2"/>
    </w:p>
    <w:p>
      <w:pPr>
        <w:pStyle w:val="Heading310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城镇污水处理厂污泥处理处置技术标准</w:t>
      </w:r>
      <w:bookmarkEnd w:id="3"/>
      <w:bookmarkEnd w:id="4"/>
      <w:bookmarkEnd w:id="5"/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500" w:line="326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Technical standard for sludge treatment and disposal</w:t>
        <w:br/>
        <w:t>in urban sewage treatment plants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940" w:line="326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DB22A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 5134-2022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1040" w:right="0" w:firstLine="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主编部门：吉林省建设标准化管理,</w:t>
      </w:r>
      <w:r>
        <w:rPr>
          <w:color w:val="49515A"/>
          <w:spacing w:val="0"/>
          <w:w w:val="100"/>
          <w:position w:val="0"/>
          <w:sz w:val="20"/>
          <w:szCs w:val="20"/>
        </w:rPr>
        <w:t xml:space="preserve">检 </w:t>
      </w:r>
      <w:r>
        <w:rPr>
          <w:color w:val="000000"/>
          <w:spacing w:val="0"/>
          <w:w w:val="100"/>
          <w:position w:val="0"/>
          <w:sz w:val="20"/>
          <w:szCs w:val="20"/>
        </w:rPr>
        <w:t>批准部门：吉林省住房和城乡建设厅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212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吉林省市场监督管理厅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1520" w:line="312" w:lineRule="exact"/>
        <w:ind w:left="104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施行日期：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2022</w:t>
      </w:r>
      <w:r>
        <w:rPr>
          <w:color w:val="000000"/>
          <w:spacing w:val="0"/>
          <w:w w:val="100"/>
          <w:position w:val="0"/>
          <w:sz w:val="20"/>
          <w:szCs w:val="20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12</w:t>
      </w:r>
      <w:r>
        <w:rPr>
          <w:color w:val="000000"/>
          <w:spacing w:val="0"/>
          <w:w w:val="100"/>
          <w:position w:val="0"/>
          <w:sz w:val="20"/>
          <w:szCs w:val="20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19</w:t>
      </w:r>
      <w:r>
        <w:rPr>
          <w:color w:val="000000"/>
          <w:spacing w:val="0"/>
          <w:w w:val="100"/>
          <w:position w:val="0"/>
          <w:sz w:val="20"/>
          <w:szCs w:val="20"/>
        </w:rPr>
        <w:t>日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pgSz w:w="8400" w:h="11900"/>
          <w:pgMar w:top="2203" w:right="1225" w:bottom="1568" w:left="1235" w:header="1775" w:footer="1140" w:gutter="0"/>
          <w:pgNumType w:start="1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2022 &lt;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春</w:t>
      </w:r>
    </w:p>
    <w:p>
      <w:pPr>
        <w:pStyle w:val="Heading1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吉林省住房眦乡建设厅</w:t>
        <w:br/>
        <w:t>吉林省市场监督管理厅</w:t>
      </w:r>
      <w:bookmarkEnd w:id="6"/>
      <w:bookmarkEnd w:id="7"/>
      <w:bookmarkEnd w:id="8"/>
    </w:p>
    <w:p>
      <w:pPr>
        <w:pStyle w:val="Heading2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9" w:name="bookmark10"/>
      <w:bookmarkStart w:id="10" w:name="bookmark11"/>
      <w:bookmarkStart w:id="11" w:name="bookmark9"/>
      <w:r>
        <w:rPr>
          <w:color w:val="000000"/>
          <w:spacing w:val="0"/>
          <w:w w:val="100"/>
          <w:position w:val="0"/>
        </w:rPr>
        <w:t>通告</w:t>
      </w:r>
      <w:bookmarkEnd w:id="9"/>
      <w:bookmarkEnd w:id="10"/>
      <w:bookmarkEnd w:id="11"/>
    </w:p>
    <w:p>
      <w:pPr>
        <w:pStyle w:val="Bodytext3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616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号</w:t>
      </w:r>
    </w:p>
    <w:p>
      <w:pPr>
        <w:pStyle w:val="Bodytext4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吉林省住房和城</w:t>
      </w:r>
      <w:r>
        <w:rPr>
          <w:color w:val="000000"/>
          <w:spacing w:val="0"/>
          <w:w w:val="100"/>
          <w:position w:val="0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</w:rPr>
        <w:t>建设厅吉林省市场监督管理厅</w:t>
        <w:br/>
        <w:t>关于发布《城市停车设施技术标准》等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项</w:t>
        <w:br/>
        <w:t>吉林省工程建设弛方标准的通告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620" w:line="356" w:lineRule="exact"/>
        <w:ind w:left="0" w:right="0" w:firstLine="420"/>
        <w:jc w:val="both"/>
        <w:sectPr>
          <w:pgSz w:w="8400" w:h="11900"/>
          <w:pgMar w:top="1066" w:right="1193" w:bottom="1066" w:left="1164" w:header="638" w:footer="638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现批准《城市停车设施技术标准》《物</w:t>
      </w:r>
      <w:r>
        <w:rPr>
          <w:color w:val="49515A"/>
          <w:spacing w:val="0"/>
          <w:w w:val="100"/>
          <w:position w:val="0"/>
        </w:rPr>
        <w:t>业服务</w:t>
      </w:r>
      <w:r>
        <w:rPr>
          <w:color w:val="23272B"/>
          <w:spacing w:val="0"/>
          <w:w w:val="100"/>
          <w:position w:val="0"/>
        </w:rPr>
        <w:t>标准》</w:t>
      </w:r>
      <w:r>
        <w:rPr>
          <w:color w:val="000000"/>
          <w:spacing w:val="0"/>
          <w:w w:val="100"/>
          <w:position w:val="0"/>
        </w:rPr>
        <w:t>《城 镇污水处理厂污泥处理处置技术标准》为吉林</w:t>
      </w:r>
      <w:r>
        <w:rPr>
          <w:color w:val="23272B"/>
          <w:spacing w:val="0"/>
          <w:w w:val="100"/>
          <w:position w:val="0"/>
        </w:rPr>
        <w:t>省工程</w:t>
      </w:r>
      <w:r>
        <w:rPr>
          <w:color w:val="49515A"/>
          <w:spacing w:val="0"/>
          <w:w w:val="100"/>
          <w:position w:val="0"/>
        </w:rPr>
        <w:t>建设略</w:t>
      </w:r>
      <w:r>
        <w:rPr>
          <w:color w:val="49515A"/>
          <w:spacing w:val="0"/>
          <w:w w:val="100"/>
          <w:position w:val="0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</w:rPr>
        <w:t>标准，编号依次为：</w:t>
      </w:r>
      <w:r>
        <w:rPr>
          <w:rFonts w:ascii="Times New Roman" w:eastAsia="Times New Roman" w:hAnsi="Times New Roman" w:cs="Times New Roman"/>
          <w:color w:val="000000"/>
          <w:spacing w:val="0"/>
          <w:w w:val="80"/>
          <w:position w:val="0"/>
          <w:lang w:val="en-US" w:eastAsia="en-US" w:bidi="en-US"/>
        </w:rPr>
        <w:t xml:space="preserve">DB22/T 5132-2022, DB22/T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80"/>
          <w:position w:val="0"/>
          <w:lang w:val="en-US" w:eastAsia="en-US" w:bidi="en-US"/>
        </w:rPr>
        <w:t>5133-20</w:t>
      </w:r>
      <w:r>
        <w:rPr>
          <w:i/>
          <w:iCs/>
          <w:color w:val="23272B"/>
          <w:spacing w:val="0"/>
          <w:w w:val="100"/>
          <w:position w:val="0"/>
          <w:sz w:val="26"/>
          <w:szCs w:val="26"/>
          <w:lang w:val="zh-CN" w:eastAsia="zh-CN" w:bidi="zh-CN"/>
        </w:rPr>
        <w:t xml:space="preserve">剧' </w:t>
      </w:r>
      <w:r>
        <w:rPr>
          <w:rFonts w:ascii="Times New Roman" w:eastAsia="Times New Roman" w:hAnsi="Times New Roman" w:cs="Times New Roman"/>
          <w:color w:val="000000"/>
          <w:spacing w:val="0"/>
          <w:w w:val="80"/>
          <w:position w:val="0"/>
          <w:lang w:val="en-US" w:eastAsia="en-US" w:bidi="en-US"/>
        </w:rPr>
        <w:t>DB22/T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620" w:line="356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80"/>
          <w:position w:val="0"/>
          <w:lang w:val="en-US" w:eastAsia="en-US" w:bidi="en-US"/>
        </w:rPr>
        <w:t xml:space="preserve"> 5134-2022,</w:t>
      </w:r>
      <w:r>
        <w:rPr>
          <w:color w:val="000000"/>
          <w:spacing w:val="0"/>
          <w:w w:val="100"/>
          <w:position w:val="0"/>
        </w:rPr>
        <w:t>自发布之日起实施。原《普通住宅物</w:t>
      </w:r>
      <w:r>
        <w:rPr>
          <w:color w:val="23272B"/>
          <w:spacing w:val="0"/>
          <w:w w:val="100"/>
          <w:position w:val="0"/>
        </w:rPr>
        <w:t xml:space="preserve">业發务 </w:t>
      </w:r>
      <w:r>
        <w:rPr>
          <w:color w:val="000000"/>
          <w:spacing w:val="0"/>
          <w:w w:val="100"/>
          <w:position w:val="0"/>
        </w:rPr>
        <w:t>规范》</w:t>
      </w:r>
      <w:r>
        <w:rPr>
          <w:rFonts w:ascii="Times New Roman" w:eastAsia="Times New Roman" w:hAnsi="Times New Roman" w:cs="Times New Roman"/>
          <w:color w:val="000000"/>
          <w:spacing w:val="0"/>
          <w:w w:val="80"/>
          <w:position w:val="0"/>
          <w:lang w:val="en-US" w:eastAsia="en-US" w:bidi="en-US"/>
        </w:rPr>
        <w:t>DB22/T 5082-2021</w:t>
      </w:r>
      <w:r>
        <w:rPr>
          <w:color w:val="000000"/>
          <w:spacing w:val="0"/>
          <w:w w:val="100"/>
          <w:position w:val="0"/>
        </w:rPr>
        <w:t>同时废止。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40" w:line="312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吉林省住房和城乡建设厅</w:t>
        <w:br/>
        <w:t>吉林省市场监督管理厅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420" w:line="298" w:lineRule="auto"/>
        <w:ind w:left="0" w:right="280" w:firstLine="0"/>
        <w:jc w:val="right"/>
        <w:rPr>
          <w:sz w:val="22"/>
          <w:szCs w:val="22"/>
        </w:rPr>
        <w:sectPr>
          <w:type w:val="nextPage"/>
          <w:pgSz w:w="8400" w:h="11900"/>
          <w:pgMar w:top="1066" w:right="1193" w:bottom="1066" w:left="1164" w:header="638" w:footer="638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80"/>
          <w:position w:val="0"/>
          <w:sz w:val="22"/>
          <w:szCs w:val="22"/>
          <w:lang w:val="zh-TW" w:eastAsia="zh-TW" w:bidi="zh-TW"/>
        </w:rPr>
        <w:t>2022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  <w:lang w:val="zh-TW" w:eastAsia="zh-TW" w:bidi="zh-TW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80"/>
          <w:position w:val="0"/>
          <w:sz w:val="22"/>
          <w:szCs w:val="22"/>
          <w:lang w:val="zh-TW" w:eastAsia="zh-TW" w:bidi="zh-TW"/>
        </w:rPr>
        <w:t>12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  <w:lang w:val="zh-TW" w:eastAsia="zh-TW" w:bidi="zh-TW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80"/>
          <w:position w:val="0"/>
          <w:sz w:val="22"/>
          <w:szCs w:val="22"/>
          <w:lang w:val="zh-TW" w:eastAsia="zh-TW" w:bidi="zh-TW"/>
        </w:rPr>
        <w:t>19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  <w:lang w:val="zh-TW" w:eastAsia="zh-TW" w:bidi="zh-TW"/>
        </w:rPr>
        <w:t>日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根据吉林省住房和城乡建设厅《关于下达〈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2021</w:t>
      </w:r>
      <w:r>
        <w:rPr>
          <w:color w:val="000000"/>
          <w:spacing w:val="0"/>
          <w:w w:val="100"/>
          <w:position w:val="0"/>
          <w:sz w:val="20"/>
          <w:szCs w:val="20"/>
        </w:rPr>
        <w:t>年全省工程建 设地方标准制定（修订）计划（二）〉的函》（吉建函〔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2021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694 </w:t>
      </w:r>
      <w:r>
        <w:rPr>
          <w:color w:val="000000"/>
          <w:spacing w:val="0"/>
          <w:w w:val="100"/>
          <w:position w:val="0"/>
          <w:sz w:val="20"/>
          <w:szCs w:val="20"/>
        </w:rPr>
        <w:t>号）的要求，编制组经深入的调查研究，认真总结实践经验，依据 国家现行相关标准，并在广泛征求有关单位意见的基础上，制定本 标准。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本标准的主要技术内容：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总则；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术语；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20"/>
          <w:szCs w:val="20"/>
        </w:rPr>
        <w:t>基本规定；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  <w:sz w:val="20"/>
          <w:szCs w:val="20"/>
        </w:rPr>
        <w:t>污 泥处理；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5</w:t>
      </w:r>
      <w:r>
        <w:rPr>
          <w:color w:val="000000"/>
          <w:spacing w:val="0"/>
          <w:w w:val="100"/>
          <w:position w:val="0"/>
          <w:sz w:val="20"/>
          <w:szCs w:val="20"/>
        </w:rPr>
        <w:t>污泥处置；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6</w:t>
      </w:r>
      <w:r>
        <w:rPr>
          <w:color w:val="000000"/>
          <w:spacing w:val="0"/>
          <w:w w:val="100"/>
          <w:position w:val="0"/>
          <w:sz w:val="20"/>
          <w:szCs w:val="20"/>
        </w:rPr>
        <w:t>运行管理。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260" w:line="310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本标准由吉林省建设标准化管理办公室负责管理，由中国市政 工程东北设计研究总院有限公司负责具体技术内容的解释。本标准 在执行过程中，请相关单位总结经验，积累资料，随时将有关意见 和建议反馈给吉</w:t>
      </w:r>
      <w:r>
        <w:rPr>
          <w:color w:val="23272B"/>
          <w:spacing w:val="0"/>
          <w:w w:val="100"/>
          <w:position w:val="0"/>
          <w:sz w:val="20"/>
          <w:szCs w:val="20"/>
        </w:rPr>
        <w:t>林省建设标准</w:t>
      </w:r>
      <w:r>
        <w:rPr>
          <w:color w:val="000000"/>
          <w:spacing w:val="0"/>
          <w:w w:val="100"/>
          <w:position w:val="0"/>
          <w:sz w:val="20"/>
          <w:szCs w:val="20"/>
        </w:rPr>
        <w:t>化管理办公室（长春市民康路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519</w:t>
      </w:r>
      <w:r>
        <w:rPr>
          <w:color w:val="000000"/>
          <w:spacing w:val="0"/>
          <w:w w:val="100"/>
          <w:position w:val="0"/>
          <w:sz w:val="20"/>
          <w:szCs w:val="20"/>
        </w:rPr>
        <w:t>号， 邮编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130041,</w:t>
      </w:r>
      <w:r>
        <w:rPr>
          <w:color w:val="000000"/>
          <w:spacing w:val="0"/>
          <w:w w:val="100"/>
          <w:position w:val="0"/>
          <w:sz w:val="20"/>
          <w:szCs w:val="20"/>
        </w:rPr>
        <w:t>电子邮箱:</w:t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  <w:sz w:val="20"/>
          <w:szCs w:val="20"/>
          <w:lang w:val="en-US" w:eastAsia="en-US" w:bidi="en-US"/>
        </w:rPr>
        <w:t>jljsbz§126.com）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,</w:t>
      </w:r>
      <w:r>
        <w:rPr>
          <w:color w:val="000000"/>
          <w:spacing w:val="0"/>
          <w:w w:val="100"/>
          <w:position w:val="0"/>
          <w:sz w:val="20"/>
          <w:szCs w:val="20"/>
        </w:rPr>
        <w:t>以供今后修订时参考。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420" w:right="0" w:firstLine="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本标准主编单位：中国市</w:t>
      </w:r>
      <w:r>
        <w:rPr>
          <w:color w:val="23272B"/>
          <w:spacing w:val="0"/>
          <w:w w:val="100"/>
          <w:position w:val="0"/>
          <w:sz w:val="20"/>
          <w:szCs w:val="20"/>
        </w:rPr>
        <w:t>政工程</w:t>
      </w:r>
      <w:r>
        <w:rPr>
          <w:color w:val="49515A"/>
          <w:spacing w:val="0"/>
          <w:w w:val="100"/>
          <w:position w:val="0"/>
          <w:sz w:val="20"/>
          <w:szCs w:val="20"/>
        </w:rPr>
        <w:t>东北设</w:t>
      </w:r>
      <w:r>
        <w:rPr>
          <w:color w:val="23272B"/>
          <w:spacing w:val="0"/>
          <w:w w:val="100"/>
          <w:position w:val="0"/>
          <w:sz w:val="20"/>
          <w:szCs w:val="20"/>
        </w:rPr>
        <w:t>计研究</w:t>
      </w:r>
      <w:r>
        <w:rPr>
          <w:color w:val="000000"/>
          <w:spacing w:val="0"/>
          <w:w w:val="100"/>
          <w:position w:val="0"/>
          <w:sz w:val="20"/>
          <w:szCs w:val="20"/>
        </w:rPr>
        <w:t>总院有限公司 本标准参编单位：吉林建筑大学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2100" w:right="0" w:firstLine="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吉林大学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60" w:line="312" w:lineRule="exact"/>
        <w:ind w:left="0" w:right="0" w:firstLine="0"/>
        <w:jc w:val="center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吉林省农业科学院</w:t>
      </w:r>
    </w:p>
    <w:tbl>
      <w:tblPr>
        <w:tblStyle w:val="TableNormal"/>
        <w:tblOverlap w:val="never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04"/>
        <w:gridCol w:w="946"/>
        <w:gridCol w:w="946"/>
        <w:gridCol w:w="806"/>
      </w:tblGrid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278"/>
          <w:jc w:val="center"/>
        </w:trPr>
        <w:tc>
          <w:tcPr>
            <w:tcW w:w="2904" w:type="dxa"/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本标准主要起草人员：闫钱</w:t>
            </w:r>
          </w:p>
        </w:tc>
        <w:tc>
          <w:tcPr>
            <w:tcW w:w="946" w:type="dxa"/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张富国</w:t>
            </w:r>
          </w:p>
        </w:tc>
        <w:tc>
          <w:tcPr>
            <w:tcW w:w="946" w:type="dxa"/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刘学勇</w:t>
            </w:r>
          </w:p>
        </w:tc>
        <w:tc>
          <w:tcPr>
            <w:tcW w:w="806" w:type="dxa"/>
            <w:shd w:val="clear" w:color="auto" w:fill="FFFFFF"/>
            <w:vAlign w:val="top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49515A"/>
                <w:spacing w:val="0"/>
                <w:w w:val="100"/>
                <w:position w:val="0"/>
                <w:sz w:val="20"/>
                <w:szCs w:val="20"/>
              </w:rPr>
              <w:t>董艳伊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2"/>
          <w:jc w:val="center"/>
        </w:trPr>
        <w:tc>
          <w:tcPr>
            <w:tcW w:w="2904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陈雷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李科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张勇</w:t>
            </w:r>
          </w:p>
        </w:tc>
        <w:tc>
          <w:tcPr>
            <w:tcW w:w="8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2"/>
          <w:jc w:val="center"/>
        </w:trPr>
        <w:tc>
          <w:tcPr>
            <w:tcW w:w="2904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孙海燕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周睿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路杨</w:t>
            </w:r>
          </w:p>
        </w:tc>
        <w:tc>
          <w:tcPr>
            <w:tcW w:w="80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闻笑男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17"/>
          <w:jc w:val="center"/>
        </w:trPr>
        <w:tc>
          <w:tcPr>
            <w:tcW w:w="2904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徐鸿魁</w:t>
            </w:r>
          </w:p>
        </w:tc>
        <w:tc>
          <w:tcPr>
            <w:tcW w:w="94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4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307"/>
          <w:jc w:val="center"/>
        </w:trPr>
        <w:tc>
          <w:tcPr>
            <w:tcW w:w="2904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本标准主要审查人员：尹军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周毅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卜义惠</w:t>
            </w:r>
          </w:p>
        </w:tc>
        <w:tc>
          <w:tcPr>
            <w:tcW w:w="80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陶乐然</w:t>
            </w:r>
          </w:p>
        </w:tc>
      </w:tr>
      <w:tr>
        <w:tblPrEx>
          <w:jc w:val="cente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hRule="exact" w:val="288"/>
          <w:jc w:val="center"/>
        </w:trPr>
        <w:tc>
          <w:tcPr>
            <w:tcW w:w="2904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边德军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杨宏志</w:t>
            </w:r>
          </w:p>
        </w:tc>
        <w:tc>
          <w:tcPr>
            <w:tcW w:w="946" w:type="dxa"/>
            <w:shd w:val="clear" w:color="auto" w:fill="FFFFFF"/>
            <w:vAlign w:val="bottom"/>
          </w:tcPr>
          <w:p>
            <w:pPr>
              <w:pStyle w:val="Other1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陈利</w:t>
            </w:r>
          </w:p>
        </w:tc>
        <w:tc>
          <w:tcPr>
            <w:tcW w:w="80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pgSz w:w="8400" w:h="11900"/>
          <w:pgMar w:top="2553" w:right="1160" w:bottom="1965" w:left="1174" w:header="2125" w:footer="1537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18"/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总则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18"/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术语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</w:p>
    <w:p>
      <w:pPr>
        <w:pStyle w:val="Tableofcontents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318"/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基本规定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污泥处理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55"/>
          <w:tab w:val="right" w:leader="dot" w:pos="5911"/>
        </w:tabs>
        <w:bidi w:val="0"/>
        <w:spacing w:before="0" w:line="240" w:lineRule="auto"/>
        <w:ind w:left="0" w:right="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一般规定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</w:rPr>
        <w:t>污泥浓缩、消化和脱水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4.3</w:t>
      </w:r>
      <w:r>
        <w:rPr>
          <w:color w:val="000000"/>
          <w:spacing w:val="0"/>
          <w:w w:val="100"/>
          <w:position w:val="0"/>
        </w:rPr>
        <w:t>好氧发酵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4.4</w:t>
      </w:r>
      <w:r>
        <w:rPr>
          <w:color w:val="000000"/>
          <w:spacing w:val="0"/>
          <w:w w:val="100"/>
          <w:position w:val="0"/>
        </w:rPr>
        <w:t>污泥热干化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pos="655"/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4.5</w:t>
        <w:tab/>
      </w:r>
      <w:r>
        <w:rPr>
          <w:color w:val="000000"/>
          <w:spacing w:val="0"/>
          <w:w w:val="100"/>
          <w:position w:val="0"/>
        </w:rPr>
        <w:t>污泥焚烧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10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4.6</w:t>
      </w:r>
      <w:r>
        <w:rPr>
          <w:color w:val="000000"/>
          <w:spacing w:val="0"/>
          <w:w w:val="100"/>
          <w:position w:val="0"/>
        </w:rPr>
        <w:t>污泥碳化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污泥处置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</w:p>
    <w:p>
      <w:pPr>
        <w:pStyle w:val="Tableofcontents1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55"/>
          <w:tab w:val="right" w:leader="dot" w:pos="5911"/>
        </w:tabs>
        <w:bidi w:val="0"/>
        <w:spacing w:before="0" w:line="240" w:lineRule="auto"/>
        <w:ind w:left="0" w:right="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一般规定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5.2</w:t>
      </w:r>
      <w:r>
        <w:rPr>
          <w:color w:val="000000"/>
          <w:spacing w:val="0"/>
          <w:w w:val="100"/>
          <w:position w:val="0"/>
        </w:rPr>
        <w:t>污泥土地利用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5.3</w:t>
      </w:r>
      <w:r>
        <w:rPr>
          <w:color w:val="000000"/>
          <w:spacing w:val="0"/>
          <w:w w:val="100"/>
          <w:position w:val="0"/>
        </w:rPr>
        <w:t>污泥建筑材料利用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pos="655"/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5.4</w:t>
        <w:tab/>
      </w:r>
      <w:r>
        <w:rPr>
          <w:color w:val="000000"/>
          <w:spacing w:val="0"/>
          <w:w w:val="100"/>
          <w:position w:val="0"/>
        </w:rPr>
        <w:t>填埋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14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运行管理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17</w:t>
      </w:r>
    </w:p>
    <w:p>
      <w:pPr>
        <w:pStyle w:val="Tableofcontents1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55"/>
          <w:tab w:val="right" w:leader="dot" w:pos="5911"/>
        </w:tabs>
        <w:bidi w:val="0"/>
        <w:spacing w:before="0" w:line="240" w:lineRule="auto"/>
        <w:ind w:left="0" w:right="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一般规定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color w:val="23272B"/>
          <w:spacing w:val="0"/>
          <w:w w:val="100"/>
          <w:position w:val="0"/>
        </w:rPr>
        <w:t>：</w:t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</w:rPr>
        <w:t>17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after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6.2</w:t>
      </w:r>
      <w:r>
        <w:rPr>
          <w:color w:val="000000"/>
          <w:spacing w:val="0"/>
          <w:w w:val="100"/>
          <w:position w:val="0"/>
        </w:rPr>
        <w:t>污泥贮存与运输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717D8C"/>
          <w:spacing w:val="0"/>
          <w:w w:val="100"/>
          <w:position w:val="0"/>
          <w:lang w:val="en-US" w:eastAsia="en-US" w:bidi="en-US"/>
        </w:rPr>
        <w:t>J17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left" w:pos="655"/>
          <w:tab w:val="right" w:leader="dot" w:pos="5911"/>
        </w:tabs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6.3</w:t>
        <w:tab/>
      </w:r>
      <w:r>
        <w:rPr>
          <w:color w:val="000000"/>
          <w:spacing w:val="0"/>
          <w:w w:val="100"/>
          <w:position w:val="0"/>
        </w:rPr>
        <w:t>安全措施与监测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  <w:lang w:val="en-US" w:eastAsia="en-US" w:bidi="en-US"/>
        </w:rPr>
        <w:t>'19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本标准用词说明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引用标准名录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21</w:t>
      </w:r>
    </w:p>
    <w:p>
      <w:pPr>
        <w:pStyle w:val="Tableofcontents10"/>
        <w:keepNext w:val="0"/>
        <w:keepLines w:val="0"/>
        <w:widowControl w:val="0"/>
        <w:shd w:val="clear" w:color="auto" w:fill="auto"/>
        <w:tabs>
          <w:tab w:val="right" w:leader="dot" w:pos="5911"/>
        </w:tabs>
        <w:bidi w:val="0"/>
        <w:spacing w:before="0" w:line="240" w:lineRule="auto"/>
        <w:ind w:left="0" w:right="0" w:firstLine="0"/>
        <w:jc w:val="both"/>
        <w:sectPr>
          <w:pgSz w:w="8400" w:h="11900"/>
          <w:pgMar w:top="2621" w:right="1217" w:bottom="2259" w:left="1169" w:header="2193" w:footer="1831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附：条文说明</w:t>
      </w:r>
      <w:r>
        <w:rPr>
          <w:color w:val="000000"/>
          <w:spacing w:val="0"/>
          <w:w w:val="100"/>
          <w:position w:val="0"/>
          <w:lang w:val="en-US" w:eastAsia="en-US" w:bidi="en-US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23</w:t>
      </w:r>
      <w:r>
        <w:fldChar w:fldCharType="end"/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1.0.1</w:t>
      </w:r>
      <w:r>
        <w:rPr>
          <w:color w:val="000000"/>
          <w:spacing w:val="0"/>
          <w:w w:val="100"/>
          <w:position w:val="0"/>
          <w:sz w:val="20"/>
          <w:szCs w:val="20"/>
        </w:rPr>
        <w:t>为实现城镇污水处理厂所产生污泥的科学处理处置，推进污 泥稳定化、减量化、无害化和资源化，减少污泥对环境的不良影响， 保障人居安全，制定本标准。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1.0.2</w:t>
      </w:r>
      <w:r>
        <w:rPr>
          <w:color w:val="000000"/>
          <w:spacing w:val="0"/>
          <w:w w:val="100"/>
          <w:position w:val="0"/>
          <w:sz w:val="20"/>
          <w:szCs w:val="20"/>
        </w:rPr>
        <w:t>本标准适用于城镇污水处理厂污泥处理处置的工艺设计、设 施设备配置及运行管理。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0"/>
        <w:jc w:val="both"/>
        <w:rPr>
          <w:sz w:val="20"/>
          <w:szCs w:val="20"/>
        </w:rPr>
        <w:sectPr>
          <w:headerReference w:type="even" r:id="rId4"/>
          <w:headerReference w:type="default" r:id="rId5"/>
          <w:pgSz w:w="8400" w:h="11900"/>
          <w:pgMar w:top="2648" w:right="1174" w:bottom="2648" w:left="1174" w:header="0" w:footer="2220" w:gutter="0"/>
          <w:pgNumType w:start="9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1.0.3</w:t>
      </w:r>
      <w:r>
        <w:rPr>
          <w:color w:val="000000"/>
          <w:spacing w:val="0"/>
          <w:w w:val="100"/>
          <w:position w:val="0"/>
          <w:sz w:val="20"/>
          <w:szCs w:val="20"/>
        </w:rPr>
        <w:t>城镇污水处理厂污泥处理处置，除应符合本标准外，尚应符 合国家现行有关标准的规定。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城镇污水处理厂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municipal wastewater treatment plant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对进入城镇污水收集系统的污水进行净化处理的厂。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城镇污水处理厂污泥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from municipal wastewater treatment plant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城镇污水处理厂在污水净化处理过程中产生的含水率不同的 半固态或固态物质，不包括栅渣、浮渣和沉砂池砂砾。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污泥处理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treatment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对污泥进行减量化、稳定化、无害化处理的过程，一般包括浓 缩（调理）、脱水、稳定、干化和焚烧等过程。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污泥处置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sludcge disposal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污泥处理后</w:t>
      </w:r>
      <w:r>
        <w:rPr>
          <w:color w:val="23272B"/>
          <w:spacing w:val="0"/>
          <w:w w:val="100"/>
          <w:position w:val="0"/>
          <w:sz w:val="20"/>
          <w:szCs w:val="20"/>
        </w:rPr>
        <w:t>的消纳过程，</w:t>
      </w:r>
      <w:r>
        <w:rPr>
          <w:color w:val="000000"/>
          <w:spacing w:val="0"/>
          <w:w w:val="100"/>
          <w:position w:val="0"/>
          <w:sz w:val="20"/>
          <w:szCs w:val="20"/>
        </w:rPr>
        <w:t>一般包括土地利用、填埋、建筑材 料利用和焚烧等。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污泥稳定化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stabilization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44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使污泥得到稳定不易腐败，以利</w:t>
      </w:r>
      <w:r>
        <w:rPr>
          <w:color w:val="23272B"/>
          <w:spacing w:val="0"/>
          <w:w w:val="100"/>
          <w:position w:val="0"/>
          <w:sz w:val="20"/>
          <w:szCs w:val="20"/>
        </w:rPr>
        <w:t>污泥进</w:t>
      </w:r>
      <w:r>
        <w:rPr>
          <w:color w:val="000000"/>
          <w:spacing w:val="0"/>
          <w:w w:val="100"/>
          <w:position w:val="0"/>
          <w:sz w:val="20"/>
          <w:szCs w:val="20"/>
        </w:rPr>
        <w:t>一步处理和利用的过 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0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污泥减量化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reduction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使污泥体积减小或污泥质量减少的过程。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污泥无害化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hannless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使污泥中病原菌和寄生虫卵数量减少的过程。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污泥资源化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resourcification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污泥适当处理，作为制造肥料、燃料和建材的原料，是污泥 处理处置可持续发展的过程。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污泥浓缩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thickening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40"/>
        <w:jc w:val="both"/>
        <w:rPr>
          <w:sz w:val="20"/>
          <w:szCs w:val="20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8400" w:h="11900"/>
          <w:pgMar w:top="2544" w:right="1164" w:bottom="1576" w:left="1164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0"/>
          <w:szCs w:val="20"/>
        </w:rPr>
        <w:t>采用重力、气浮或机械的方法降低污泥含水率，减少污泥体积 的方法。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污泥消化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digestion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使污泥中的有机物进行生物降解和稳定的过程。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污泥脱水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dewatering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浓缩污泥进一步去除大量水分的过程，普遍采用机械脱水的 方式。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污泥好氧发酵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compost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在充分供氧的条件下，污泥在好氧微生物的作用下产生较高 温度，使有机物生物降解及无害化，最终生成性质稳定腐殖化产 物的过程。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污泥碳化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carbonization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在无氧或缺氧的状态下，将干化污泥加热至适当的温度使其热 解，污泥中的大分子有机物裂解成可挥发的低分子有机物，同时使 污泥转化成黑色炭质颗粒状物质的过程。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污泥热干化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heat drying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污泥脱水后，</w:t>
      </w:r>
      <w:r>
        <w:rPr>
          <w:color w:val="49515A"/>
          <w:spacing w:val="0"/>
          <w:w w:val="100"/>
          <w:position w:val="0"/>
          <w:sz w:val="20"/>
          <w:szCs w:val="20"/>
        </w:rPr>
        <w:t>在外部加</w:t>
      </w:r>
      <w:r>
        <w:rPr>
          <w:color w:val="000000"/>
          <w:spacing w:val="0"/>
          <w:w w:val="100"/>
          <w:position w:val="0"/>
          <w:sz w:val="20"/>
          <w:szCs w:val="20"/>
        </w:rPr>
        <w:t>热的条件下，通过传热和传质过程， 使污泥中水分随着相变化</w:t>
      </w:r>
      <w:r>
        <w:rPr>
          <w:color w:val="23272B"/>
          <w:spacing w:val="0"/>
          <w:w w:val="100"/>
          <w:position w:val="0"/>
          <w:sz w:val="20"/>
          <w:szCs w:val="20"/>
        </w:rPr>
        <w:t>分离的</w:t>
      </w:r>
      <w:r>
        <w:rPr>
          <w:color w:val="000000"/>
          <w:spacing w:val="0"/>
          <w:w w:val="100"/>
          <w:position w:val="0"/>
          <w:sz w:val="20"/>
          <w:szCs w:val="20"/>
        </w:rPr>
        <w:t>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污泥焚烧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sludge </w:t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  <w:lang w:val="en-US" w:eastAsia="en-US" w:bidi="en-US"/>
        </w:rPr>
        <w:t>incineration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利用焚烧炉将污泥完全矿化</w:t>
      </w:r>
      <w:r>
        <w:rPr>
          <w:color w:val="49515A"/>
          <w:spacing w:val="0"/>
          <w:w w:val="100"/>
          <w:position w:val="0"/>
          <w:sz w:val="20"/>
          <w:szCs w:val="20"/>
        </w:rPr>
        <w:t>为少量灰烬的</w:t>
      </w:r>
      <w:r>
        <w:rPr>
          <w:color w:val="000000"/>
          <w:spacing w:val="0"/>
          <w:w w:val="100"/>
          <w:position w:val="0"/>
          <w:sz w:val="20"/>
          <w:szCs w:val="20"/>
        </w:rPr>
        <w:t>过程。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污泥填埋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sludge landfilling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采用工程措施将处理后的污泥集中进行堆、</w:t>
      </w:r>
      <w:r>
        <w:rPr>
          <w:color w:val="49515A"/>
          <w:spacing w:val="0"/>
          <w:w w:val="100"/>
          <w:position w:val="0"/>
          <w:sz w:val="20"/>
          <w:szCs w:val="20"/>
        </w:rPr>
        <w:t>填、</w:t>
      </w:r>
      <w:r>
        <w:rPr>
          <w:color w:val="000000"/>
          <w:spacing w:val="0"/>
          <w:w w:val="100"/>
          <w:position w:val="0"/>
          <w:sz w:val="20"/>
          <w:szCs w:val="20"/>
        </w:rPr>
        <w:t>埋，置于受 控制场地内的处置方式。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2.0.17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污泥士地利用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land application of sludge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20"/>
          <w:szCs w:val="20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pgSz w:w="8400" w:h="11900"/>
          <w:pgMar w:top="1263" w:right="1169" w:bottom="1388" w:left="1169" w:header="835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0"/>
          <w:szCs w:val="20"/>
        </w:rPr>
        <w:t>将处理后的污泥作为肥料或土壤改良的材料，用于园林纟</w:t>
      </w:r>
      <w:r>
        <w:rPr>
          <w:color w:val="717D8C"/>
          <w:spacing w:val="0"/>
          <w:w w:val="100"/>
          <w:position w:val="0"/>
          <w:sz w:val="20"/>
          <w:szCs w:val="20"/>
        </w:rPr>
        <w:t xml:space="preserve">寮化、 </w:t>
      </w:r>
      <w:r>
        <w:rPr>
          <w:color w:val="000000"/>
          <w:spacing w:val="0"/>
          <w:w w:val="100"/>
          <w:position w:val="0"/>
          <w:sz w:val="20"/>
          <w:szCs w:val="20"/>
        </w:rPr>
        <w:t>土地改良或农业等场合的处置方式。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3.0.1</w:t>
      </w:r>
      <w:r>
        <w:rPr>
          <w:color w:val="000000"/>
          <w:spacing w:val="0"/>
          <w:w w:val="100"/>
          <w:position w:val="0"/>
          <w:sz w:val="20"/>
          <w:szCs w:val="20"/>
        </w:rPr>
        <w:t>污泥应以最终安全处置为目标，因地制宜科学地选择污泥处 理处置技术路线和建设方案，优先选择成熟可靠适用的技术和设备, 积极稳妥地选用新技术、新工艺、新材料和新设备。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3.0.2</w:t>
      </w:r>
      <w:r>
        <w:rPr>
          <w:color w:val="000000"/>
          <w:spacing w:val="0"/>
          <w:w w:val="100"/>
          <w:position w:val="0"/>
          <w:sz w:val="20"/>
          <w:szCs w:val="20"/>
        </w:rPr>
        <w:t>污泥处理处置设施的规模应以污泥产量为依据，并应综合考 虑排水体制，污水处理水量、水质和工艺季节变化的影响，综合确 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4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3.0.3</w:t>
      </w:r>
      <w:r>
        <w:rPr>
          <w:color w:val="000000"/>
          <w:spacing w:val="0"/>
          <w:w w:val="100"/>
          <w:position w:val="0"/>
          <w:sz w:val="20"/>
          <w:szCs w:val="20"/>
        </w:rPr>
        <w:t>污泥处理处置的设计能力应满足设施检修维护时的污泥处 理处置要求，当设施检修时仍能全量处理处置产生的污泥。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4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3.0.4</w:t>
      </w:r>
      <w:r>
        <w:rPr>
          <w:color w:val="000000"/>
          <w:spacing w:val="0"/>
          <w:w w:val="100"/>
          <w:position w:val="0"/>
          <w:sz w:val="20"/>
          <w:szCs w:val="20"/>
        </w:rPr>
        <w:t>污泥的处置方式应根据污泥特性、当地自然环境条件、最终 出路等因素综合考虑，包括土地利用、建筑材料利用和填埋等。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3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3.0.5</w:t>
      </w:r>
      <w:r>
        <w:rPr>
          <w:color w:val="000000"/>
          <w:spacing w:val="0"/>
          <w:w w:val="100"/>
          <w:position w:val="0"/>
          <w:sz w:val="20"/>
          <w:szCs w:val="20"/>
        </w:rPr>
        <w:t>有条件的</w:t>
      </w:r>
      <w:r>
        <w:rPr>
          <w:color w:val="23272B"/>
          <w:spacing w:val="0"/>
          <w:w w:val="100"/>
          <w:position w:val="0"/>
          <w:sz w:val="20"/>
          <w:szCs w:val="20"/>
        </w:rPr>
        <w:t>城市</w:t>
      </w:r>
      <w:r>
        <w:rPr>
          <w:color w:val="49515A"/>
          <w:spacing w:val="0"/>
          <w:w w:val="100"/>
          <w:position w:val="0"/>
          <w:sz w:val="20"/>
          <w:szCs w:val="20"/>
        </w:rPr>
        <w:t>和地区</w:t>
      </w:r>
      <w:r>
        <w:rPr>
          <w:color w:val="000000"/>
          <w:spacing w:val="0"/>
          <w:w w:val="100"/>
          <w:position w:val="0"/>
          <w:sz w:val="20"/>
          <w:szCs w:val="20"/>
        </w:rPr>
        <w:t>，应积极采用污泥资源化利用等方案替 代污泥填埋。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3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3.0.6</w:t>
      </w:r>
      <w:r>
        <w:rPr>
          <w:color w:val="000000"/>
          <w:spacing w:val="0"/>
          <w:w w:val="100"/>
          <w:position w:val="0"/>
          <w:sz w:val="20"/>
          <w:szCs w:val="20"/>
        </w:rPr>
        <w:t>污泥处置的产物资源化利用时应符合国家现行相关标准的 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3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3.0.7</w:t>
      </w:r>
      <w:r>
        <w:rPr>
          <w:color w:val="000000"/>
          <w:spacing w:val="0"/>
          <w:w w:val="100"/>
          <w:position w:val="0"/>
          <w:sz w:val="20"/>
          <w:szCs w:val="20"/>
        </w:rPr>
        <w:t>污泥产生、运输、储存、处理处</w:t>
      </w:r>
      <w:r>
        <w:rPr>
          <w:color w:val="23272B"/>
          <w:spacing w:val="0"/>
          <w:w w:val="100"/>
          <w:position w:val="0"/>
          <w:sz w:val="20"/>
          <w:szCs w:val="20"/>
        </w:rPr>
        <w:t>置的全过程应</w:t>
      </w:r>
      <w:r>
        <w:rPr>
          <w:color w:val="000000"/>
          <w:spacing w:val="0"/>
          <w:w w:val="100"/>
          <w:position w:val="0"/>
          <w:sz w:val="20"/>
          <w:szCs w:val="20"/>
        </w:rPr>
        <w:t>符合国家现行 有关污染控制标准的规定。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3" w:lineRule="exact"/>
        <w:ind w:left="0" w:right="0" w:firstLine="0"/>
        <w:jc w:val="left"/>
        <w:rPr>
          <w:sz w:val="20"/>
          <w:szCs w:val="20"/>
        </w:rPr>
        <w:sectPr>
          <w:headerReference w:type="even" r:id="rId14"/>
          <w:headerReference w:type="default" r:id="rId15"/>
          <w:footerReference w:type="even" r:id="rId16"/>
          <w:footerReference w:type="default" r:id="rId17"/>
          <w:pgSz w:w="8400" w:h="11900"/>
          <w:pgMar w:top="2505" w:right="967" w:bottom="2505" w:left="1169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3.0.8</w:t>
      </w:r>
      <w:r>
        <w:rPr>
          <w:color w:val="000000"/>
          <w:spacing w:val="0"/>
          <w:w w:val="100"/>
          <w:position w:val="0"/>
          <w:sz w:val="20"/>
          <w:szCs w:val="20"/>
        </w:rPr>
        <w:t>污泥处理处置应进行全过程管理。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500" w:after="420" w:line="317" w:lineRule="exact"/>
        <w:ind w:left="0" w:right="0" w:firstLine="0"/>
        <w:jc w:val="center"/>
        <w:rPr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sz w:val="19"/>
          <w:szCs w:val="19"/>
        </w:rPr>
        <w:t>污泥处理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7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4.1 </w:t>
      </w:r>
      <w:r>
        <w:rPr>
          <w:color w:val="000000"/>
          <w:spacing w:val="0"/>
          <w:w w:val="100"/>
          <w:position w:val="0"/>
        </w:rPr>
        <w:t>一般规定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4.1.1</w:t>
      </w:r>
      <w:r>
        <w:rPr>
          <w:color w:val="000000"/>
          <w:spacing w:val="0"/>
          <w:w w:val="100"/>
          <w:position w:val="0"/>
        </w:rPr>
        <w:t>污泥处理工艺应根据污泥性质、处理后的泥质标准、当地经 济条件、污泥处置出路、占地面积等因素合理选择，包括浓缩、消 化、脱水、好氧发酵、干化和焚烧等。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4.1.2</w:t>
      </w:r>
      <w:r>
        <w:rPr>
          <w:color w:val="000000"/>
          <w:spacing w:val="0"/>
          <w:w w:val="100"/>
          <w:position w:val="0"/>
        </w:rPr>
        <w:t>污泥处理工艺的设计应符合国家现行标准《室外排水设计标 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50014</w:t>
      </w:r>
      <w:r>
        <w:rPr>
          <w:color w:val="000000"/>
          <w:spacing w:val="0"/>
          <w:w w:val="100"/>
          <w:position w:val="0"/>
        </w:rPr>
        <w:t>、《城乡排水工程项目规范》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55027</w:t>
      </w:r>
      <w:r>
        <w:rPr>
          <w:color w:val="000000"/>
          <w:spacing w:val="0"/>
          <w:w w:val="100"/>
          <w:position w:val="0"/>
        </w:rPr>
        <w:t>和《城镇污 水处理厂污泥处理技术规程》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CJJ131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4.1.3</w:t>
      </w:r>
      <w:r>
        <w:rPr>
          <w:color w:val="000000"/>
          <w:spacing w:val="0"/>
          <w:w w:val="100"/>
          <w:position w:val="0"/>
        </w:rPr>
        <w:t>污泥可在污水处理厂内就地处理，也可在污水处理厂外的专 用污泥处理设施处理或协同处理。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4.1.4</w:t>
      </w:r>
      <w:r>
        <w:rPr>
          <w:color w:val="000000"/>
          <w:spacing w:val="0"/>
          <w:w w:val="100"/>
          <w:position w:val="0"/>
        </w:rPr>
        <w:t>污泥处理</w:t>
      </w:r>
      <w:r>
        <w:rPr>
          <w:color w:val="23272B"/>
          <w:spacing w:val="0"/>
          <w:w w:val="100"/>
          <w:position w:val="0"/>
          <w:lang w:val="zh-CN" w:eastAsia="zh-CN" w:bidi="zh-CN"/>
        </w:rPr>
        <w:t>厂立玲</w:t>
      </w:r>
      <w:r>
        <w:rPr>
          <w:color w:val="000000"/>
          <w:spacing w:val="0"/>
          <w:w w:val="100"/>
          <w:position w:val="0"/>
        </w:rPr>
        <w:t>照现行国家标准《建筑设计防火规范》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50016</w:t>
      </w:r>
      <w:r>
        <w:rPr>
          <w:color w:val="000000"/>
          <w:spacing w:val="0"/>
          <w:w w:val="100"/>
          <w:position w:val="0"/>
        </w:rPr>
        <w:t>的规定设置消防、防爆、防噪、抗震等设施。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4.1.5</w:t>
      </w:r>
      <w:r>
        <w:rPr>
          <w:color w:val="000000"/>
          <w:spacing w:val="0"/>
          <w:w w:val="100"/>
          <w:position w:val="0"/>
        </w:rPr>
        <w:t>污泥处理厂的噪声、恶臭</w:t>
      </w:r>
      <w:r>
        <w:rPr>
          <w:color w:val="23272B"/>
          <w:spacing w:val="0"/>
          <w:w w:val="100"/>
          <w:position w:val="0"/>
        </w:rPr>
        <w:t>污染物</w:t>
      </w:r>
      <w:r>
        <w:rPr>
          <w:color w:val="000000"/>
          <w:spacing w:val="0"/>
          <w:w w:val="100"/>
          <w:position w:val="0"/>
        </w:rPr>
        <w:t>排放和卫生指标应符合相关 环境标准的规定。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7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4.2</w:t>
      </w:r>
      <w:r>
        <w:rPr>
          <w:color w:val="000000"/>
          <w:spacing w:val="0"/>
          <w:w w:val="100"/>
          <w:position w:val="0"/>
        </w:rPr>
        <w:t>污泥浓缩、消化和脱水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9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4.2.1</w:t>
      </w:r>
      <w:r>
        <w:rPr>
          <w:color w:val="000000"/>
          <w:spacing w:val="0"/>
          <w:w w:val="100"/>
          <w:position w:val="0"/>
        </w:rPr>
        <w:t>污泥浓缩、消化、脱水工艺的设计应符合现行国家标准《室 外排水设计标准》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50014</w:t>
      </w:r>
      <w:r>
        <w:rPr>
          <w:color w:val="000000"/>
          <w:spacing w:val="0"/>
          <w:w w:val="100"/>
          <w:position w:val="0"/>
        </w:rPr>
        <w:t>和《城乡排水工程项目规范》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55027 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7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4.3</w:t>
      </w:r>
      <w:r>
        <w:rPr>
          <w:color w:val="000000"/>
          <w:spacing w:val="0"/>
          <w:w w:val="100"/>
          <w:position w:val="0"/>
        </w:rPr>
        <w:t>好氧发酵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  <w:sectPr>
          <w:headerReference w:type="even" r:id="rId18"/>
          <w:headerReference w:type="default" r:id="rId19"/>
          <w:footerReference w:type="even" r:id="rId20"/>
          <w:footerReference w:type="default" r:id="rId21"/>
          <w:pgSz w:w="8400" w:h="11900"/>
          <w:pgMar w:top="1262" w:right="1015" w:bottom="1342" w:left="1107" w:header="834" w:footer="3" w:gutter="0"/>
          <w:pgNumType w:start="5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4.3.1</w:t>
      </w:r>
      <w:r>
        <w:rPr>
          <w:color w:val="000000"/>
          <w:spacing w:val="0"/>
          <w:w w:val="100"/>
          <w:position w:val="0"/>
        </w:rPr>
        <w:t>用于好氧发酵的污泥含水率应小于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80%,</w:t>
      </w:r>
      <w:r>
        <w:rPr>
          <w:color w:val="000000"/>
          <w:spacing w:val="0"/>
          <w:w w:val="100"/>
          <w:position w:val="0"/>
        </w:rPr>
        <w:t xml:space="preserve">有机物含量宜高于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40%,</w:t>
      </w:r>
      <w:r>
        <w:rPr>
          <w:color w:val="000000"/>
          <w:spacing w:val="0"/>
          <w:w w:val="100"/>
          <w:position w:val="0"/>
        </w:rPr>
        <w:t xml:space="preserve">有害物质含量应符合现行国家标准《城镇污水处理厂污泥泥 </w:t>
      </w:r>
      <w:r>
        <w:rPr>
          <w:rStyle w:val="Bodytext3"/>
          <w:rFonts w:ascii="SimSun" w:eastAsia="SimSun" w:hAnsi="SimSun" w:cs="SimSun"/>
          <w:lang w:val="zh-TW" w:eastAsia="zh-TW" w:bidi="zh-TW"/>
        </w:rPr>
        <w:t>质》</w:t>
      </w:r>
      <w:r>
        <w:rPr>
          <w:rStyle w:val="Bodytext3"/>
        </w:rPr>
        <w:t xml:space="preserve">GB </w:t>
      </w:r>
      <w:r>
        <w:rPr>
          <w:rStyle w:val="Bodytext3"/>
          <w:lang w:val="zh-TW" w:eastAsia="zh-TW" w:bidi="zh-TW"/>
        </w:rPr>
        <w:t>24188</w:t>
      </w:r>
      <w:r>
        <w:rPr>
          <w:rStyle w:val="Bodytext3"/>
          <w:rFonts w:ascii="SimSun" w:eastAsia="SimSun" w:hAnsi="SimSun" w:cs="SimSun"/>
          <w:lang w:val="zh-TW" w:eastAsia="zh-TW" w:bidi="zh-TW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4.3.2</w:t>
      </w:r>
      <w:r>
        <w:rPr>
          <w:color w:val="000000"/>
          <w:spacing w:val="0"/>
          <w:w w:val="100"/>
          <w:position w:val="0"/>
        </w:rPr>
        <w:t>污泥好氧发酵系统应包括混料、发酵、供氧、除臭等工艺设 施。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4.3.3</w:t>
      </w:r>
      <w:r>
        <w:rPr>
          <w:color w:val="000000"/>
          <w:spacing w:val="0"/>
          <w:w w:val="100"/>
          <w:position w:val="0"/>
        </w:rPr>
        <w:t xml:space="preserve">污泥好氧发酵工艺主要根据物料发酵分段、翻堆方式和供氧 方式进行分类，工艺应符合现行国家标准《室外排水设计标准》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50014</w:t>
      </w:r>
      <w:r>
        <w:rPr>
          <w:color w:val="000000"/>
          <w:spacing w:val="0"/>
          <w:w w:val="100"/>
          <w:position w:val="0"/>
        </w:rPr>
        <w:t>的规定，污泥好氧发酵工艺的设备配置应满足工艺运行 的需要。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4.3.4</w:t>
      </w:r>
      <w:r>
        <w:rPr>
          <w:color w:val="000000"/>
          <w:spacing w:val="0"/>
          <w:w w:val="100"/>
          <w:position w:val="0"/>
        </w:rPr>
        <w:t>污泥接收区、混料区、发酵处理区、发酵产物储存区的地面 及周边车行道必须进行防渗处理；发酵产物储存区应有防雨淋措施。 辅料存放和污泥接收区应防雨、防水、防火。接收的污泥应尽快与 辅料进行混合并输送至发酵处理区，存放时间不宜超过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do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4.3.5</w:t>
      </w:r>
      <w:r>
        <w:rPr>
          <w:color w:val="000000"/>
          <w:spacing w:val="0"/>
          <w:w w:val="100"/>
          <w:position w:val="0"/>
        </w:rPr>
        <w:t>污泥好氧发酵前，脱水污泥应与辅料进行混合，辅料宜采用 农作物秸秆、稻壳、菌糠、园林废弃物、锯木屑，混合后的物料含 水率宜小于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60%,</w:t>
      </w:r>
      <w:r>
        <w:rPr>
          <w:color w:val="000000"/>
          <w:spacing w:val="0"/>
          <w:w w:val="100"/>
          <w:position w:val="0"/>
        </w:rPr>
        <w:t>碳氮比</w:t>
      </w:r>
      <w:r>
        <w:rPr>
          <w:color w:val="000000"/>
          <w:spacing w:val="0"/>
          <w:w w:val="100"/>
          <w:position w:val="0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C/N）</w:t>
      </w:r>
      <w:r>
        <w:rPr>
          <w:color w:val="000000"/>
          <w:spacing w:val="0"/>
          <w:w w:val="100"/>
          <w:position w:val="0"/>
        </w:rPr>
        <w:t>应为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20:1</w:t>
      </w:r>
      <w:r>
        <w:rPr>
          <w:color w:val="000000"/>
          <w:spacing w:val="0"/>
          <w:w w:val="100"/>
          <w:position w:val="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30:1,</w:t>
      </w:r>
      <w:r>
        <w:rPr>
          <w:color w:val="000000"/>
          <w:spacing w:val="0"/>
          <w:w w:val="100"/>
          <w:position w:val="0"/>
        </w:rPr>
        <w:t>粒径不大于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mm, pH 6.0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pH 9.0</w:t>
      </w:r>
      <w:r>
        <w:rPr>
          <w:rFonts w:ascii="Times New Roman" w:eastAsia="Times New Roman" w:hAnsi="Times New Roman" w:cs="Times New Roman"/>
          <w:color w:val="49515A"/>
          <w:spacing w:val="0"/>
          <w:w w:val="100"/>
          <w:position w:val="0"/>
          <w:lang w:val="en-US" w:eastAsia="en-US" w:bidi="en-US"/>
        </w:rPr>
        <w:t>cF&gt;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4.3.6</w:t>
      </w:r>
      <w:r>
        <w:rPr>
          <w:color w:val="000000"/>
          <w:spacing w:val="0"/>
          <w:w w:val="100"/>
          <w:position w:val="0"/>
        </w:rPr>
        <w:t>污泥好氧发酵过程通常包括一次发酵和二次发酵两个阶段。 一次发酵可采用条垛式馮&lt; 槽式</w:t>
      </w:r>
      <w:r>
        <w:rPr>
          <w:color w:val="49515A"/>
          <w:spacing w:val="0"/>
          <w:w w:val="100"/>
          <w:position w:val="0"/>
        </w:rPr>
        <w:t>发酵或</w:t>
      </w:r>
      <w:r>
        <w:rPr>
          <w:color w:val="000000"/>
          <w:spacing w:val="0"/>
          <w:w w:val="100"/>
          <w:position w:val="0"/>
        </w:rPr>
        <w:t>反应器发酵等工艺。高温 发酵阶段周期应大于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7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d,</w:t>
      </w:r>
      <w:r>
        <w:rPr>
          <w:color w:val="000000"/>
          <w:spacing w:val="0"/>
          <w:w w:val="100"/>
          <w:position w:val="0"/>
        </w:rPr>
        <w:t>发酵堆</w:t>
      </w:r>
      <w:r>
        <w:rPr>
          <w:color w:val="49515A"/>
          <w:spacing w:val="0"/>
          <w:w w:val="100"/>
          <w:position w:val="0"/>
        </w:rPr>
        <w:t>体内温度达到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55°C</w:t>
      </w:r>
      <w:r>
        <w:rPr>
          <w:color w:val="000000"/>
          <w:spacing w:val="0"/>
          <w:w w:val="100"/>
          <w:position w:val="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65°C</w:t>
      </w:r>
      <w:r>
        <w:rPr>
          <w:color w:val="000000"/>
          <w:spacing w:val="0"/>
          <w:w w:val="100"/>
          <w:position w:val="0"/>
        </w:rPr>
        <w:t>的持续 时间应在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3d</w:t>
      </w:r>
      <w:r>
        <w:rPr>
          <w:color w:val="000000"/>
          <w:spacing w:val="0"/>
          <w:w w:val="100"/>
          <w:position w:val="0"/>
        </w:rPr>
        <w:t>以上。二次发酵宜采用条</w:t>
      </w:r>
      <w:r>
        <w:rPr>
          <w:color w:val="23272B"/>
          <w:spacing w:val="0"/>
          <w:w w:val="100"/>
          <w:position w:val="0"/>
        </w:rPr>
        <w:t>垛发酵</w:t>
      </w:r>
      <w:r>
        <w:rPr>
          <w:color w:val="49515A"/>
          <w:spacing w:val="0"/>
          <w:w w:val="100"/>
          <w:position w:val="0"/>
        </w:rPr>
        <w:t>工艺，</w:t>
      </w:r>
      <w:r>
        <w:rPr>
          <w:color w:val="000000"/>
          <w:spacing w:val="0"/>
          <w:w w:val="100"/>
          <w:position w:val="0"/>
        </w:rPr>
        <w:t>熟化处理持续 时间应大于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30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do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4.3.7</w:t>
      </w:r>
      <w:r>
        <w:rPr>
          <w:color w:val="000000"/>
          <w:spacing w:val="0"/>
          <w:w w:val="100"/>
          <w:position w:val="0"/>
        </w:rPr>
        <w:t>条垛式发酵工艺参数应符合下列规定：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物料混匀后堆制成梯形或三角形，条垛宽度宜为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2.0m</w:t>
      </w:r>
      <w:r>
        <w:rPr>
          <w:color w:val="000000"/>
          <w:spacing w:val="0"/>
          <w:w w:val="100"/>
          <w:position w:val="0"/>
        </w:rPr>
        <w:t>为/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4.5m,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高度宜控制在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.0 m~2.0 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1"/>
          <w:szCs w:val="11"/>
        </w:rPr>
        <w:t>2</w:t>
      </w:r>
      <w:r>
        <w:rPr>
          <w:color w:val="000000"/>
          <w:spacing w:val="0"/>
          <w:w w:val="100"/>
          <w:position w:val="0"/>
        </w:rPr>
        <w:t>条垛式发酵可采用强制通风或机械翻抛为发酵物料供氧，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调整堆体结构，均匀温度；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强制通风曝气风量以每立方米物料为基准，宜为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0.05 m7min~0.2 m°/min,</w:t>
      </w:r>
      <w:r>
        <w:rPr>
          <w:color w:val="000000"/>
          <w:spacing w:val="0"/>
          <w:w w:val="100"/>
          <w:position w:val="0"/>
        </w:rPr>
        <w:t>每次通风时间不宜超过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30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min,</w:t>
      </w:r>
      <w:r>
        <w:rPr>
          <w:color w:val="000000"/>
          <w:spacing w:val="0"/>
          <w:w w:val="100"/>
          <w:position w:val="0"/>
        </w:rPr>
        <w:t>间隔时间不 超过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2h,</w:t>
      </w:r>
      <w:r>
        <w:rPr>
          <w:color w:val="000000"/>
          <w:spacing w:val="0"/>
          <w:w w:val="100"/>
          <w:position w:val="0"/>
        </w:rPr>
        <w:t>使堆体内部氧气浓度不少于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5%,</w:t>
      </w:r>
      <w:r>
        <w:rPr>
          <w:color w:val="000000"/>
          <w:spacing w:val="0"/>
          <w:w w:val="100"/>
          <w:position w:val="0"/>
        </w:rPr>
        <w:t>冬季低温条件下可适当 减少曝气风量；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</w:rPr>
        <w:t>采用机械翻抛条垛式发酵工艺，翻堆次数不宜低于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0.5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'</w:t>
      </w:r>
      <w:r>
        <w:rPr>
          <w:i/>
          <w:iCs/>
          <w:color w:val="000000"/>
          <w:spacing w:val="0"/>
          <w:w w:val="100"/>
          <w:position w:val="0"/>
        </w:rPr>
        <w:t>次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&amp; </w:t>
      </w:r>
      <w:r>
        <w:rPr>
          <w:color w:val="000000"/>
          <w:spacing w:val="0"/>
          <w:w w:val="100"/>
          <w:position w:val="0"/>
        </w:rPr>
        <w:t>当堆体温度高于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65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</w:rPr>
        <w:t>时应及时翻堆；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条垛式发酵翻抛设备宜选择自走式或牵引式翻抛机，并根 据条垛宽度和处理量选择翻抛机；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12" w:lineRule="exact"/>
        <w:ind w:left="0" w:right="0" w:firstLine="420"/>
        <w:jc w:val="both"/>
        <w:sectPr>
          <w:headerReference w:type="even" r:id="rId22"/>
          <w:headerReference w:type="default" r:id="rId23"/>
          <w:footerReference w:type="even" r:id="rId24"/>
          <w:footerReference w:type="default" r:id="rId25"/>
          <w:type w:val="nextPage"/>
          <w:pgSz w:w="8400" w:h="11900"/>
          <w:pgMar w:top="1262" w:right="1015" w:bottom="1342" w:left="1107" w:header="834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可在发酵堆体上覆盖具有防水透气功能的膜材料以降低发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8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 xml:space="preserve"> 酵过程的臭气排放量，膜材料应符合现行行业标准《堆肥用功能性</w:t>
      </w:r>
      <w:r>
        <w:rPr>
          <w:color w:val="000000"/>
          <w:spacing w:val="0"/>
          <w:w w:val="100"/>
          <w:position w:val="0"/>
        </w:rPr>
        <w:t xml:space="preserve"> 覆盖膜》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JB/T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13739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4.3.8</w:t>
      </w:r>
      <w:r>
        <w:rPr>
          <w:color w:val="000000"/>
          <w:spacing w:val="0"/>
          <w:w w:val="100"/>
          <w:position w:val="0"/>
        </w:rPr>
        <w:t>槽式发酵工艺参数应符合下列规定：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发酵槽宽度依处理规模设计为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2.0 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5.0 m,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 xml:space="preserve">高度宜控制 在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1.5 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2.0 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翻堆机应符合现行行业标准《堆肥翻堆机行业标准》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CJ/T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506</w:t>
      </w:r>
      <w:r>
        <w:rPr>
          <w:color w:val="000000"/>
          <w:spacing w:val="0"/>
          <w:w w:val="100"/>
          <w:position w:val="0"/>
        </w:rPr>
        <w:t>的规定，并配备移行车实现翻堆机的换槽功能；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槽式发酵宜配备自动监测与控制设备，设备应符合现行行 业标准《堆肥自动检测与控制设备》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CJ/T369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4.3.9</w:t>
      </w:r>
      <w:r>
        <w:rPr>
          <w:color w:val="000000"/>
          <w:spacing w:val="0"/>
          <w:w w:val="100"/>
          <w:position w:val="0"/>
        </w:rPr>
        <w:t>反应器发酵工</w:t>
      </w:r>
      <w:r>
        <w:rPr>
          <w:color w:val="49515A"/>
          <w:spacing w:val="0"/>
          <w:w w:val="100"/>
          <w:position w:val="0"/>
        </w:rPr>
        <w:t>艺的设</w:t>
      </w:r>
      <w:r>
        <w:rPr>
          <w:color w:val="000000"/>
          <w:spacing w:val="0"/>
          <w:w w:val="100"/>
          <w:position w:val="0"/>
        </w:rPr>
        <w:t>计应符合下列规定：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反应器主</w:t>
      </w:r>
      <w:r>
        <w:rPr>
          <w:color w:val="23272B"/>
          <w:spacing w:val="0"/>
          <w:w w:val="100"/>
          <w:position w:val="0"/>
        </w:rPr>
        <w:t>要包括</w:t>
      </w:r>
      <w:r>
        <w:rPr>
          <w:color w:val="49515A"/>
          <w:spacing w:val="0"/>
          <w:w w:val="100"/>
          <w:position w:val="0"/>
        </w:rPr>
        <w:t>筒仓式</w:t>
      </w:r>
      <w:r>
        <w:rPr>
          <w:color w:val="000000"/>
          <w:spacing w:val="0"/>
          <w:w w:val="100"/>
          <w:position w:val="0"/>
        </w:rPr>
        <w:t>、滚筒式和隧道式等类型；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采用筒仓式或滚</w:t>
      </w:r>
      <w:r>
        <w:rPr>
          <w:color w:val="000000"/>
          <w:spacing w:val="0"/>
          <w:w w:val="100"/>
          <w:position w:val="0"/>
          <w:lang w:val="zh-CN" w:eastAsia="zh-CN" w:bidi="zh-CN"/>
        </w:rPr>
        <w:t>符式</w:t>
      </w:r>
      <w:r>
        <w:rPr>
          <w:color w:val="000000"/>
          <w:spacing w:val="0"/>
          <w:w w:val="100"/>
          <w:position w:val="0"/>
        </w:rPr>
        <w:t>族酵寂应器时，反应器内物料填充率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（反应器内物料体积/反应器容积）应小于</w:t>
      </w:r>
      <w:r>
        <w:rPr>
          <w:rFonts w:ascii="Times New Roman" w:eastAsia="Times New Roman" w:hAnsi="Times New Roman" w:cs="Times New Roman"/>
          <w:color w:val="49515A"/>
          <w:spacing w:val="0"/>
          <w:w w:val="100"/>
          <w:position w:val="0"/>
        </w:rPr>
        <w:t>80%</w:t>
      </w:r>
      <w:r>
        <w:rPr>
          <w:color w:val="49515A"/>
          <w:spacing w:val="0"/>
          <w:w w:val="100"/>
          <w:position w:val="0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隧道式反应器应符合现行行业标准《污</w:t>
      </w:r>
      <w:r>
        <w:rPr>
          <w:color w:val="49515A"/>
          <w:spacing w:val="0"/>
          <w:w w:val="100"/>
          <w:position w:val="0"/>
        </w:rPr>
        <w:t>泥堆</w:t>
      </w:r>
      <w:r>
        <w:rPr>
          <w:color w:val="000000"/>
          <w:spacing w:val="0"/>
          <w:w w:val="100"/>
          <w:position w:val="0"/>
        </w:rPr>
        <w:t>肥翻堆曝气发 酵仓》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JB/T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11245</w:t>
      </w:r>
      <w:r>
        <w:rPr>
          <w:color w:val="000000"/>
          <w:spacing w:val="0"/>
          <w:w w:val="100"/>
          <w:position w:val="0"/>
        </w:rPr>
        <w:t>的规定；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反应器发酵宜配备自动监测与控制设备，设备应符合现行 行业标准《堆肥自动监测与控制设备》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CJ/T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369</w:t>
      </w:r>
      <w:r>
        <w:rPr>
          <w:color w:val="000000"/>
          <w:spacing w:val="0"/>
          <w:w w:val="100"/>
          <w:position w:val="0"/>
        </w:rPr>
        <w:t>的</w:t>
      </w:r>
      <w:r>
        <w:rPr>
          <w:color w:val="49515A"/>
          <w:spacing w:val="0"/>
          <w:w w:val="100"/>
          <w:position w:val="0"/>
        </w:rPr>
        <w:t>规定/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4.3.10</w:t>
      </w:r>
      <w:r>
        <w:rPr>
          <w:color w:val="000000"/>
          <w:spacing w:val="0"/>
          <w:w w:val="100"/>
          <w:position w:val="0"/>
        </w:rPr>
        <w:t>污泥经好氧发酵处理后，污泥控制指标及限值应符</w:t>
      </w:r>
      <w:r>
        <w:rPr>
          <w:color w:val="23272B"/>
          <w:spacing w:val="0"/>
          <w:w w:val="100"/>
          <w:position w:val="0"/>
        </w:rPr>
        <w:t xml:space="preserve">合国家 </w:t>
      </w:r>
      <w:r>
        <w:rPr>
          <w:color w:val="000000"/>
          <w:spacing w:val="0"/>
          <w:w w:val="100"/>
          <w:position w:val="0"/>
        </w:rPr>
        <w:t>现行标准《城市污水处理厂污染物排放标准》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18918</w:t>
      </w:r>
      <w:r>
        <w:rPr>
          <w:color w:val="000000"/>
          <w:spacing w:val="0"/>
          <w:w w:val="100"/>
          <w:position w:val="0"/>
        </w:rPr>
        <w:t>和《城镇“ 污水处理厂污泥处理稳定标准》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CJ/T51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4.3.11</w:t>
      </w:r>
      <w:r>
        <w:rPr>
          <w:color w:val="000000"/>
          <w:spacing w:val="0"/>
          <w:w w:val="100"/>
          <w:position w:val="0"/>
        </w:rPr>
        <w:t>污泥好氧发酵产物用于改良土壤时，其泥质指标，施用范 围、施用量和跟踪检测应符合国家现行标准《农用污泥污染物控制 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GB4284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 xml:space="preserve">《城镇污水处理厂污泥处置园林绿化用泥质》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23486</w:t>
      </w:r>
      <w:r>
        <w:rPr>
          <w:color w:val="000000"/>
          <w:spacing w:val="0"/>
          <w:w w:val="100"/>
          <w:position w:val="0"/>
        </w:rPr>
        <w:t>、《城镇污水处理厂污泥处置土地改良用泥质》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24600</w:t>
      </w:r>
      <w:r>
        <w:rPr>
          <w:color w:val="000000"/>
          <w:spacing w:val="0"/>
          <w:w w:val="100"/>
          <w:position w:val="0"/>
        </w:rPr>
        <w:t>和《城镇污水处理厂污泥处置 林地用泥质》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CJ/T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362</w:t>
      </w:r>
      <w:r>
        <w:rPr>
          <w:color w:val="000000"/>
          <w:spacing w:val="0"/>
          <w:w w:val="100"/>
          <w:position w:val="0"/>
        </w:rPr>
        <w:t>等有 关规定。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31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4.3.12</w:t>
      </w:r>
      <w:r>
        <w:rPr>
          <w:color w:val="000000"/>
          <w:spacing w:val="0"/>
          <w:w w:val="100"/>
          <w:position w:val="0"/>
        </w:rPr>
        <w:t>在原料预处理和发酵等过程中产生的渗滤液，应设有专门 的收集装置，渗滤液应用于堆体水分调节。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3" w:lineRule="exact"/>
        <w:ind w:left="0" w:right="0" w:firstLine="0"/>
        <w:jc w:val="both"/>
        <w:sectPr>
          <w:headerReference w:type="even" r:id="rId26"/>
          <w:headerReference w:type="default" r:id="rId27"/>
          <w:footerReference w:type="even" r:id="rId28"/>
          <w:footerReference w:type="default" r:id="rId29"/>
          <w:type w:val="nextPage"/>
          <w:pgSz w:w="8400" w:h="11900"/>
          <w:pgMar w:top="1262" w:right="1015" w:bottom="1342" w:left="1107" w:header="834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4.3.13</w:t>
      </w:r>
      <w:r>
        <w:rPr>
          <w:color w:val="000000"/>
          <w:spacing w:val="0"/>
          <w:w w:val="100"/>
          <w:position w:val="0"/>
        </w:rPr>
        <w:t>发酵过程中产生的臭气污染物的收集、处理应符合现行行 业标准《城镇污水处理厂臭气处理技术规程》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CJJ/T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243</w:t>
      </w:r>
      <w:r>
        <w:rPr>
          <w:color w:val="000000"/>
          <w:spacing w:val="0"/>
          <w:w w:val="100"/>
          <w:position w:val="0"/>
        </w:rPr>
        <w:t>的规定，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 经处理后排放的恶臭气体浓度应符合现行国家标准《环境空气质量</w:t>
      </w:r>
      <w:r>
        <w:rPr>
          <w:color w:val="000000"/>
          <w:spacing w:val="0"/>
          <w:w w:val="100"/>
          <w:position w:val="0"/>
        </w:rPr>
        <w:t xml:space="preserve"> 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3095</w:t>
      </w:r>
      <w:r>
        <w:rPr>
          <w:color w:val="000000"/>
          <w:spacing w:val="0"/>
          <w:w w:val="100"/>
          <w:position w:val="0"/>
        </w:rPr>
        <w:t>和《恶臭污染物排放标准》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14554</w:t>
      </w:r>
      <w:r>
        <w:rPr>
          <w:color w:val="000000"/>
          <w:spacing w:val="0"/>
          <w:w w:val="100"/>
          <w:position w:val="0"/>
        </w:rPr>
        <w:t>的规定。处 理场所中的恶臭气体浓度应符合现行国家标准《工作场所有害因素 职业接触限值》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GBZ2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313" w:lineRule="exact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4.4</w:t>
      </w:r>
      <w:r>
        <w:rPr>
          <w:color w:val="000000"/>
          <w:spacing w:val="0"/>
          <w:w w:val="100"/>
          <w:position w:val="0"/>
        </w:rPr>
        <w:t>污泥热干化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4.4.1</w:t>
      </w:r>
      <w:r>
        <w:rPr>
          <w:color w:val="000000"/>
          <w:spacing w:val="0"/>
          <w:w w:val="100"/>
          <w:position w:val="0"/>
        </w:rPr>
        <w:t>污泥热干化可采用直接干化或间接干化，宜采用间接干化, 污泥热干化设备的选</w:t>
      </w:r>
      <w:r>
        <w:rPr>
          <w:color w:val="23272B"/>
          <w:spacing w:val="0"/>
          <w:w w:val="100"/>
          <w:position w:val="0"/>
        </w:rPr>
        <w:t>型应根</w:t>
      </w:r>
      <w:r>
        <w:rPr>
          <w:color w:val="000000"/>
          <w:spacing w:val="0"/>
          <w:w w:val="100"/>
          <w:position w:val="0"/>
        </w:rPr>
        <w:t>据热干化的实际需要确定。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4.4.2</w:t>
      </w:r>
      <w:r>
        <w:rPr>
          <w:color w:val="000000"/>
          <w:spacing w:val="0"/>
          <w:w w:val="100"/>
          <w:position w:val="0"/>
        </w:rPr>
        <w:t>污泥热干化工艺及设备可采用流化床式、圆盘式、桨叶式和 薄层式等，设计年运行时间不宜小于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8000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h„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4.4.3</w:t>
      </w:r>
      <w:r>
        <w:rPr>
          <w:color w:val="000000"/>
          <w:spacing w:val="0"/>
          <w:w w:val="100"/>
          <w:position w:val="0"/>
        </w:rPr>
        <w:t>流化床干化系统的工艺参数应符</w:t>
      </w:r>
      <w:r>
        <w:rPr>
          <w:color w:val="23272B"/>
          <w:spacing w:val="0"/>
          <w:w w:val="100"/>
          <w:position w:val="0"/>
        </w:rPr>
        <w:t>合下列</w:t>
      </w:r>
      <w:r>
        <w:rPr>
          <w:color w:val="000000"/>
          <w:spacing w:val="0"/>
          <w:w w:val="100"/>
          <w:position w:val="0"/>
        </w:rPr>
        <w:t>规定：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热媒温度宜为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180°C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250°C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11"/>
          <w:szCs w:val="11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单机蒸发水量宜为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1000kg/h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2000kg/L#</w:t>
      </w:r>
      <w:r>
        <w:rPr>
          <w:rFonts w:ascii="SimSun" w:eastAsia="SimSun" w:hAnsi="SimSun" w:cs="SimSun"/>
          <w:color w:val="23272B"/>
          <w:spacing w:val="0"/>
          <w:w w:val="100"/>
          <w:position w:val="0"/>
          <w:sz w:val="20"/>
          <w:szCs w:val="20"/>
          <w:lang w:val="zh-TW" w:eastAsia="zh-TW" w:bidi="zh-TW"/>
        </w:rPr>
        <w:t>区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机污泥处理能 力宜为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30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t/d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600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t/d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（含水率以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80%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计）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11"/>
          <w:szCs w:val="11"/>
          <w:lang w:val="zh-TW" w:eastAsia="zh-TW" w:bidi="zh-TW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系统氧含量应小于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6%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 xml:space="preserve">机械设备应符合现行行业标准《污泥干化用流化床干燥机》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JB/T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13843 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4.4.4</w:t>
      </w:r>
      <w:r>
        <w:rPr>
          <w:color w:val="000000"/>
          <w:spacing w:val="0"/>
          <w:w w:val="100"/>
          <w:position w:val="0"/>
        </w:rPr>
        <w:t>带式干化系统的工艺参数应符合下列规定：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系统宜设置造粒装置；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11"/>
          <w:szCs w:val="11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低温干化装置单机蒸发水量宜小于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1000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kg/h,</w:t>
      </w:r>
      <w:r>
        <w:rPr>
          <w:color w:val="000000"/>
          <w:spacing w:val="0"/>
          <w:w w:val="100"/>
          <w:position w:val="0"/>
          <w:sz w:val="20"/>
          <w:szCs w:val="20"/>
        </w:rPr>
        <w:t>单机污泥处 理能力宜小于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30t/d </w:t>
      </w:r>
      <w:r>
        <w:rPr>
          <w:color w:val="000000"/>
          <w:spacing w:val="0"/>
          <w:w w:val="100"/>
          <w:position w:val="0"/>
          <w:sz w:val="20"/>
          <w:szCs w:val="20"/>
        </w:rPr>
        <w:t>（含水率以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80%</w:t>
      </w:r>
      <w:r>
        <w:rPr>
          <w:color w:val="000000"/>
          <w:spacing w:val="0"/>
          <w:w w:val="100"/>
          <w:position w:val="0"/>
          <w:sz w:val="20"/>
          <w:szCs w:val="20"/>
        </w:rPr>
        <w:t>计）</w:t>
      </w:r>
      <w:r>
        <w:rPr>
          <w:i/>
          <w:iCs/>
          <w:color w:val="000000"/>
          <w:spacing w:val="0"/>
          <w:w w:val="100"/>
          <w:position w:val="0"/>
          <w:sz w:val="11"/>
          <w:szCs w:val="11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sectPr>
          <w:headerReference w:type="even" r:id="rId30"/>
          <w:headerReference w:type="default" r:id="rId31"/>
          <w:footerReference w:type="even" r:id="rId32"/>
          <w:footerReference w:type="default" r:id="rId33"/>
          <w:type w:val="nextPage"/>
          <w:pgSz w:w="8400" w:h="11900"/>
          <w:pgMar w:top="1262" w:right="1015" w:bottom="1342" w:left="1107" w:header="834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热媒温度宜为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230°C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  <w:sz w:val="20"/>
          <w:szCs w:val="20"/>
        </w:rPr>
        <w:t>带式热干化系统内氧气含量应小于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10%</w:t>
      </w:r>
      <w:r>
        <w:rPr>
          <w:color w:val="000000"/>
          <w:spacing w:val="0"/>
          <w:w w:val="100"/>
          <w:position w:val="0"/>
          <w:sz w:val="20"/>
          <w:szCs w:val="20"/>
        </w:rPr>
        <w:t>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4.4.5</w:t>
      </w:r>
      <w:r>
        <w:rPr>
          <w:color w:val="000000"/>
          <w:spacing w:val="0"/>
          <w:w w:val="100"/>
          <w:position w:val="0"/>
          <w:sz w:val="20"/>
          <w:szCs w:val="20"/>
        </w:rPr>
        <w:t>桨叶式干化系统的工艺参数应符合下列规定：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污泥颗粒温度应小于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°C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系统含氧量宜小于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10%</w:t>
      </w:r>
      <w:r>
        <w:rPr>
          <w:color w:val="000000"/>
          <w:spacing w:val="0"/>
          <w:w w:val="100"/>
          <w:position w:val="0"/>
          <w:sz w:val="20"/>
          <w:szCs w:val="20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热媒温度宜为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150C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220C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20"/>
          <w:szCs w:val="20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type w:val="continuous"/>
          <w:pgSz w:w="8400" w:h="11900"/>
          <w:pgMar w:top="1262" w:right="1015" w:bottom="1342" w:left="1107" w:header="834" w:footer="3" w:gutter="0"/>
          <w:pgNumType w:start="9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机械设备应符合现行行业标准《污泥干化用桨叶式干燥机》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JB/T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13171 </w:t>
      </w:r>
      <w:r>
        <w:rPr>
          <w:color w:val="000000"/>
          <w:spacing w:val="0"/>
          <w:w w:val="100"/>
          <w:position w:val="0"/>
          <w:sz w:val="20"/>
          <w:szCs w:val="20"/>
        </w:rPr>
        <w:t>的规定。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4.4.6</w:t>
      </w:r>
      <w:r>
        <w:rPr>
          <w:color w:val="000000"/>
          <w:spacing w:val="0"/>
          <w:w w:val="100"/>
          <w:position w:val="0"/>
          <w:sz w:val="20"/>
          <w:szCs w:val="20"/>
        </w:rPr>
        <w:t>卧式转盘式干化系统的工艺参数应符合下列规定：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全干化工艺系统温度宜为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105°C,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半干化工艺系统温度宜 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100°C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系统含氧量宜小于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10%</w:t>
      </w:r>
      <w:r>
        <w:rPr>
          <w:color w:val="000000"/>
          <w:spacing w:val="0"/>
          <w:w w:val="100"/>
          <w:position w:val="0"/>
          <w:sz w:val="20"/>
          <w:szCs w:val="20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热媒温度宜为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150°C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180°C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11"/>
          <w:szCs w:val="11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单机蒸发水量宜为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1000kg/h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7500kg/h,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单机污泥处理能 力宜为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30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t/d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225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t/d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（含水率以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80%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计）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11"/>
          <w:szCs w:val="11"/>
          <w:lang w:val="zh-TW" w:eastAsia="zh-TW" w:bidi="zh-TW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1"/>
          <w:szCs w:val="11"/>
        </w:rPr>
        <w:t>5</w:t>
      </w:r>
      <w:r>
        <w:rPr>
          <w:color w:val="000000"/>
          <w:spacing w:val="0"/>
          <w:w w:val="100"/>
          <w:position w:val="0"/>
          <w:sz w:val="20"/>
          <w:szCs w:val="20"/>
        </w:rPr>
        <w:t>返混污泥含水率宜小于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30%„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4.4.7</w:t>
      </w:r>
      <w:r>
        <w:rPr>
          <w:color w:val="000000"/>
          <w:spacing w:val="0"/>
          <w:w w:val="100"/>
          <w:position w:val="0"/>
          <w:sz w:val="20"/>
          <w:szCs w:val="20"/>
        </w:rPr>
        <w:t>立式圆盘式干化系统的工艺参数应符合下列规定：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系统含氧量宜小于</w:t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  <w:sz w:val="20"/>
          <w:szCs w:val="20"/>
        </w:rPr>
        <w:t>5%</w:t>
      </w:r>
      <w:r>
        <w:rPr>
          <w:color w:val="23272B"/>
          <w:spacing w:val="0"/>
          <w:w w:val="100"/>
          <w:position w:val="0"/>
          <w:sz w:val="20"/>
          <w:szCs w:val="20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系统工作温度宜为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40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ipOC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  <w:rPr>
          <w:sz w:val="11"/>
          <w:szCs w:val="11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热媒温度宜为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250°C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300°C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  <w:r>
        <w:rPr>
          <w:rFonts w:ascii="SimSun" w:eastAsia="SimSun" w:hAnsi="SimSun" w:cs="SimSun"/>
          <w:color w:val="717D8C"/>
          <w:spacing w:val="0"/>
          <w:w w:val="100"/>
          <w:position w:val="0"/>
          <w:sz w:val="20"/>
          <w:szCs w:val="20"/>
          <w:lang w:val="zh-TW" w:eastAsia="zh-TW" w:bidi="zh-TW"/>
        </w:rPr>
        <w:t>鸟袖</w:t>
      </w:r>
      <w:r>
        <w:rPr>
          <w:rFonts w:ascii="SimSun" w:eastAsia="SimSun" w:hAnsi="SimSun" w:cs="SimSun"/>
          <w:color w:val="23272B"/>
          <w:spacing w:val="0"/>
          <w:w w:val="100"/>
          <w:position w:val="0"/>
          <w:sz w:val="20"/>
          <w:szCs w:val="20"/>
          <w:lang w:val="zh-TW" w:eastAsia="zh-TW" w:bidi="zh-TW"/>
        </w:rPr>
        <w:t>饱和蒸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汽时，压力应 在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0.2MPa~1.3 MPa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（表压）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11"/>
          <w:szCs w:val="11"/>
          <w:lang w:val="zh-TW" w:eastAsia="zh-TW" w:bidi="zh-TW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单机蒸发水量宜为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3000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kg/h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10000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kg/li,</w:t>
      </w:r>
      <w:r>
        <w:rPr>
          <w:rFonts w:ascii="SimSun" w:eastAsia="SimSun" w:hAnsi="SimSun" w:cs="SimSun"/>
          <w:color w:val="23272B"/>
          <w:spacing w:val="0"/>
          <w:w w:val="100"/>
          <w:position w:val="0"/>
          <w:lang w:val="zh-CN" w:eastAsia="zh-CN" w:bidi="zh-CN"/>
        </w:rPr>
        <w:t>单祐渤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尼姓理 能力宜为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90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t/d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300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t/d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（含水率以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>80%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计）。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4.4.8</w:t>
      </w:r>
      <w:r>
        <w:rPr>
          <w:color w:val="000000"/>
          <w:spacing w:val="0"/>
          <w:w w:val="100"/>
          <w:position w:val="0"/>
          <w:sz w:val="20"/>
          <w:szCs w:val="20"/>
        </w:rPr>
        <w:t>喷雾干化系统的工艺参数应符合下列规定：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系统工作温度应小于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70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°C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采用污泥焚烧高温烟气作热媒时，进塔温度宜为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400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°C-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650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°C,</w:t>
      </w:r>
      <w:r>
        <w:rPr>
          <w:color w:val="000000"/>
          <w:spacing w:val="0"/>
          <w:w w:val="100"/>
          <w:position w:val="0"/>
          <w:sz w:val="20"/>
          <w:szCs w:val="20"/>
        </w:rPr>
        <w:t>排气温度宜为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70°C</w:t>
      </w:r>
      <w:r>
        <w:rPr>
          <w:color w:val="000000"/>
          <w:spacing w:val="0"/>
          <w:w w:val="100"/>
          <w:position w:val="0"/>
          <w:sz w:val="20"/>
          <w:szCs w:val="2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110°C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单机蒸发能力宜为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kg/h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12000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kg/li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  <w:rPr>
          <w:sz w:val="11"/>
          <w:szCs w:val="11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干燥强度宜为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12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kg/ （m°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h）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zh-TW" w:eastAsia="zh-TW" w:bidi="zh-TW"/>
        </w:rPr>
        <w:t xml:space="preserve">15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kg/ （m°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h）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11"/>
          <w:szCs w:val="11"/>
          <w:lang w:val="zh-TW" w:eastAsia="zh-TW" w:bidi="zh-TW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0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1"/>
          <w:szCs w:val="11"/>
        </w:rPr>
        <w:t>5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污泥干化设备应设有安全保护措施。干化装置必须全封闭， </w:t>
      </w:r>
      <w:r>
        <w:rPr>
          <w:color w:val="000000"/>
          <w:spacing w:val="0"/>
          <w:w w:val="100"/>
          <w:position w:val="0"/>
          <w:sz w:val="20"/>
          <w:szCs w:val="20"/>
        </w:rPr>
        <w:t>污泥干化设备内部和污泥干化车间应保持微负压，干化后污泥应密 封储存；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380" w:line="317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6</w:t>
      </w:r>
      <w:r>
        <w:rPr>
          <w:color w:val="000000"/>
          <w:spacing w:val="0"/>
          <w:w w:val="100"/>
          <w:position w:val="0"/>
          <w:sz w:val="20"/>
          <w:szCs w:val="20"/>
        </w:rPr>
        <w:t>热干化系统必须设置烟气净化处理设施，尾气应符合现行 国家标准《恶臭污染物排放标准》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14554</w:t>
      </w:r>
      <w:r>
        <w:rPr>
          <w:color w:val="000000"/>
          <w:spacing w:val="0"/>
          <w:w w:val="100"/>
          <w:position w:val="0"/>
          <w:sz w:val="20"/>
          <w:szCs w:val="20"/>
        </w:rPr>
        <w:t>、《大气污染物综合 排放标准》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16297</w:t>
      </w:r>
      <w:r>
        <w:rPr>
          <w:color w:val="000000"/>
          <w:spacing w:val="0"/>
          <w:w w:val="100"/>
          <w:position w:val="0"/>
          <w:sz w:val="20"/>
          <w:szCs w:val="20"/>
        </w:rPr>
        <w:t>及《锅炉大气污染物排放标准》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13271</w:t>
      </w:r>
      <w:r>
        <w:rPr>
          <w:color w:val="000000"/>
          <w:spacing w:val="0"/>
          <w:w w:val="100"/>
          <w:position w:val="0"/>
          <w:sz w:val="20"/>
          <w:szCs w:val="20"/>
        </w:rPr>
        <w:t>的 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  <w:rPr>
          <w:sz w:val="20"/>
          <w:szCs w:val="20"/>
        </w:rPr>
        <w:sectPr>
          <w:headerReference w:type="even" r:id="rId38"/>
          <w:headerReference w:type="default" r:id="rId39"/>
          <w:footerReference w:type="even" r:id="rId40"/>
          <w:footerReference w:type="default" r:id="rId41"/>
          <w:type w:val="nextPage"/>
          <w:pgSz w:w="8400" w:h="11900"/>
          <w:pgMar w:top="1262" w:right="1015" w:bottom="1342" w:left="1107" w:header="834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>污泥焚烧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8" w:lineRule="exact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4.5.1</w:t>
      </w:r>
      <w:r>
        <w:rPr>
          <w:color w:val="000000"/>
          <w:spacing w:val="0"/>
          <w:w w:val="100"/>
          <w:position w:val="0"/>
          <w:sz w:val="20"/>
          <w:szCs w:val="20"/>
        </w:rPr>
        <w:t>污泥焚烧系统的设计应对污泥进行特性分析，宜采用流化床 工艺。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18" w:lineRule="exact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4.5.2</w:t>
      </w:r>
      <w:r>
        <w:rPr>
          <w:color w:val="000000"/>
          <w:spacing w:val="0"/>
          <w:w w:val="100"/>
          <w:position w:val="0"/>
          <w:sz w:val="20"/>
          <w:szCs w:val="20"/>
        </w:rPr>
        <w:t>污泥焚烧工艺系统主要包括污泥预处理装置、进料及计量装 置、焚烧炉装置、燃料空气系统、应急处理装置及其他辅助装置。 焚烧系统的主要设备应采用单元制配置方式。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4.5.3</w:t>
      </w:r>
      <w:r>
        <w:rPr>
          <w:color w:val="000000"/>
          <w:spacing w:val="0"/>
          <w:w w:val="100"/>
          <w:position w:val="0"/>
          <w:sz w:val="20"/>
          <w:szCs w:val="20"/>
        </w:rPr>
        <w:t>污泥焚烧设</w:t>
      </w:r>
      <w:r>
        <w:rPr>
          <w:color w:val="23272B"/>
          <w:spacing w:val="0"/>
          <w:w w:val="100"/>
          <w:position w:val="0"/>
          <w:sz w:val="20"/>
          <w:szCs w:val="20"/>
        </w:rPr>
        <w:t>.施的</w:t>
      </w:r>
      <w:r>
        <w:rPr>
          <w:color w:val="49515A"/>
          <w:spacing w:val="0"/>
          <w:w w:val="100"/>
          <w:position w:val="0"/>
          <w:sz w:val="20"/>
          <w:szCs w:val="20"/>
        </w:rPr>
        <w:t>口</w:t>
      </w:r>
      <w:r>
        <w:rPr>
          <w:color w:val="000000"/>
          <w:spacing w:val="0"/>
          <w:w w:val="100"/>
          <w:position w:val="0"/>
          <w:sz w:val="20"/>
          <w:szCs w:val="20"/>
        </w:rPr>
        <w:t>计年运行时间不应小于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7200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ho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4.5.4</w:t>
      </w:r>
      <w:r>
        <w:rPr>
          <w:color w:val="000000"/>
          <w:spacing w:val="0"/>
          <w:w w:val="100"/>
          <w:position w:val="0"/>
          <w:sz w:val="20"/>
          <w:szCs w:val="20"/>
        </w:rPr>
        <w:t>污泥单独焚烧寸艺参数应符合下列规定：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12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用于焚烧的污泥泥质</w:t>
      </w:r>
      <w:r>
        <w:rPr>
          <w:color w:val="23272B"/>
          <w:spacing w:val="0"/>
          <w:w w:val="100"/>
          <w:position w:val="0"/>
          <w:sz w:val="20"/>
          <w:szCs w:val="20"/>
        </w:rPr>
        <w:t>应满足现行国</w:t>
      </w:r>
      <w:r>
        <w:rPr>
          <w:color w:val="000000"/>
          <w:spacing w:val="0"/>
          <w:w w:val="100"/>
          <w:position w:val="0"/>
          <w:sz w:val="20"/>
          <w:szCs w:val="20"/>
        </w:rPr>
        <w:t>家标准《城镇污水处理 厂污泥处置单独焚烧用泥质》</w:t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  <w:sz w:val="20"/>
          <w:szCs w:val="20"/>
        </w:rPr>
        <w:t>2460</w:t>
      </w:r>
      <w:r>
        <w:rPr>
          <w:rFonts w:ascii="Times New Roman" w:eastAsia="Times New Roman" w:hAnsi="Times New Roman" w:cs="Times New Roman"/>
          <w:color w:val="717D8C"/>
          <w:spacing w:val="0"/>
          <w:w w:val="100"/>
          <w:position w:val="0"/>
          <w:sz w:val="20"/>
          <w:szCs w:val="20"/>
        </w:rPr>
        <w:t>2</w:t>
      </w:r>
      <w:r>
        <w:rPr>
          <w:color w:val="23272B"/>
          <w:spacing w:val="0"/>
          <w:w w:val="100"/>
          <w:position w:val="0"/>
          <w:sz w:val="20"/>
          <w:szCs w:val="20"/>
        </w:rPr>
        <w:t>的</w:t>
      </w:r>
      <w:r>
        <w:rPr>
          <w:color w:val="000000"/>
          <w:spacing w:val="0"/>
          <w:w w:val="100"/>
          <w:position w:val="0"/>
          <w:sz w:val="20"/>
          <w:szCs w:val="20"/>
        </w:rPr>
        <w:t>规定；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泥焚烧产生的高温烟气所含热量</w:t>
      </w:r>
      <w:r>
        <w:rPr>
          <w:color w:val="23272B"/>
          <w:spacing w:val="0"/>
          <w:w w:val="100"/>
          <w:position w:val="0"/>
          <w:sz w:val="20"/>
          <w:szCs w:val="20"/>
        </w:rPr>
        <w:t>应回收</w:t>
      </w:r>
      <w:r>
        <w:rPr>
          <w:color w:val="49515A"/>
          <w:spacing w:val="0"/>
          <w:w w:val="100"/>
          <w:position w:val="0"/>
          <w:sz w:val="20"/>
          <w:szCs w:val="20"/>
        </w:rPr>
        <w:t>利用；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20"/>
          <w:szCs w:val="20"/>
        </w:rPr>
        <w:t>单独焚烧系统必须设置自动控制和监测簽统；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12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  <w:sz w:val="20"/>
          <w:szCs w:val="20"/>
        </w:rPr>
        <w:t>焚烧炉内温度应大于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700°C,</w:t>
      </w:r>
      <w:r>
        <w:rPr>
          <w:color w:val="000000"/>
          <w:spacing w:val="0"/>
          <w:w w:val="100"/>
          <w:position w:val="0"/>
          <w:sz w:val="20"/>
          <w:szCs w:val="20"/>
        </w:rPr>
        <w:t>焚烧持续时间宜为</w:t>
      </w:r>
      <w:r>
        <w:rPr>
          <w:rFonts w:ascii="Times New Roman" w:eastAsia="Times New Roman" w:hAnsi="Times New Roman" w:cs="Times New Roman"/>
          <w:color w:val="23272B"/>
          <w:spacing w:val="0"/>
          <w:w w:val="100"/>
          <w:position w:val="0"/>
          <w:sz w:val="20"/>
          <w:szCs w:val="20"/>
          <w:lang w:val="en-US" w:eastAsia="en-US" w:bidi="en-US"/>
        </w:rPr>
        <w:t xml:space="preserve">0.5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z w:val="20"/>
          <w:szCs w:val="2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1.5 h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5</w:t>
      </w:r>
      <w:r>
        <w:rPr>
          <w:color w:val="000000"/>
          <w:spacing w:val="0"/>
          <w:w w:val="100"/>
          <w:position w:val="0"/>
          <w:sz w:val="20"/>
          <w:szCs w:val="20"/>
        </w:rPr>
        <w:t>气化焚烧系统应设有防爆安全保护措施；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12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6</w:t>
      </w:r>
      <w:r>
        <w:rPr>
          <w:color w:val="000000"/>
          <w:spacing w:val="0"/>
          <w:w w:val="100"/>
          <w:position w:val="0"/>
          <w:sz w:val="20"/>
          <w:szCs w:val="20"/>
        </w:rPr>
        <w:t>单独焚烧的污泥焚烧炉的机械设备应符合现行行</w:t>
      </w:r>
      <w:r>
        <w:rPr>
          <w:color w:val="23272B"/>
          <w:spacing w:val="0"/>
          <w:w w:val="100"/>
          <w:position w:val="0"/>
          <w:sz w:val="20"/>
          <w:szCs w:val="20"/>
        </w:rPr>
        <w:t xml:space="preserve">业标屜 </w:t>
      </w:r>
      <w:r>
        <w:rPr>
          <w:color w:val="000000"/>
          <w:spacing w:val="0"/>
          <w:w w:val="100"/>
          <w:position w:val="0"/>
          <w:sz w:val="20"/>
          <w:szCs w:val="20"/>
        </w:rPr>
        <w:t>《城镇污水处理厂污泥焚烧炉》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JB/T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11825</w:t>
      </w:r>
      <w:r>
        <w:rPr>
          <w:color w:val="000000"/>
          <w:spacing w:val="0"/>
          <w:w w:val="100"/>
          <w:position w:val="0"/>
          <w:sz w:val="20"/>
          <w:szCs w:val="20"/>
        </w:rPr>
        <w:t>的规定。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4.5.5</w:t>
      </w:r>
      <w:r>
        <w:rPr>
          <w:color w:val="000000"/>
          <w:spacing w:val="0"/>
          <w:w w:val="100"/>
          <w:position w:val="0"/>
          <w:sz w:val="20"/>
          <w:szCs w:val="20"/>
        </w:rPr>
        <w:t>生活垃圾协同焚烧工艺参数应符合下列规定：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auto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焚烧前宜将污泥干燥，使其热值接近生活垃圾；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12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干化污泥（含固率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90%</w:t>
      </w:r>
      <w:r>
        <w:rPr>
          <w:color w:val="000000"/>
          <w:spacing w:val="0"/>
          <w:w w:val="100"/>
          <w:position w:val="0"/>
          <w:sz w:val="20"/>
          <w:szCs w:val="20"/>
        </w:rPr>
        <w:t>以上）与垃圾混合的质量比不宜大 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1:3,</w:t>
      </w:r>
      <w:r>
        <w:rPr>
          <w:color w:val="000000"/>
          <w:spacing w:val="0"/>
          <w:w w:val="100"/>
          <w:position w:val="0"/>
          <w:sz w:val="20"/>
          <w:szCs w:val="20"/>
        </w:rPr>
        <w:t>脱水污泥（含固率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25%）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与生活垃圾直接混烧比例不宜大 于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1:4</w:t>
      </w:r>
      <w:r>
        <w:rPr>
          <w:color w:val="000000"/>
          <w:spacing w:val="0"/>
          <w:w w:val="100"/>
          <w:position w:val="0"/>
          <w:sz w:val="20"/>
          <w:szCs w:val="20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zh-CN" w:eastAsia="zh-CN" w:bidi="zh-CN"/>
        </w:rPr>
        <w:t>3</w:t>
      </w:r>
      <w:r>
        <w:rPr>
          <w:color w:val="000000"/>
          <w:spacing w:val="0"/>
          <w:w w:val="100"/>
          <w:position w:val="0"/>
          <w:sz w:val="20"/>
          <w:szCs w:val="20"/>
        </w:rPr>
        <w:t>掺烧后焚烧炉膛温度应高于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850°C</w:t>
      </w:r>
      <w:r>
        <w:rPr>
          <w:color w:val="000000"/>
          <w:spacing w:val="0"/>
          <w:w w:val="100"/>
          <w:position w:val="0"/>
          <w:sz w:val="20"/>
          <w:szCs w:val="20"/>
        </w:rPr>
        <w:t>，烟气在炉内停留时间 宜大于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s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4.5.6</w:t>
      </w:r>
      <w:r>
        <w:rPr>
          <w:color w:val="000000"/>
          <w:spacing w:val="0"/>
          <w:w w:val="100"/>
          <w:position w:val="0"/>
          <w:sz w:val="20"/>
          <w:szCs w:val="20"/>
        </w:rPr>
        <w:t>热电厂（火电厂）燃煤锅炉协同焚烧工艺参数应符合下列规 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宜在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35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t/h</w:t>
      </w:r>
      <w:r>
        <w:rPr>
          <w:color w:val="000000"/>
          <w:spacing w:val="0"/>
          <w:w w:val="100"/>
          <w:position w:val="0"/>
          <w:sz w:val="20"/>
          <w:szCs w:val="20"/>
        </w:rPr>
        <w:t>以上规模的热电厂（火电厂）进行协同焚烧；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在现有热电厂（火电厂）协同处置污泥时，入炉污泥（含 水率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40%</w:t>
      </w:r>
      <w:r>
        <w:rPr>
          <w:color w:val="000000"/>
          <w:spacing w:val="0"/>
          <w:w w:val="100"/>
          <w:position w:val="0"/>
          <w:sz w:val="20"/>
          <w:szCs w:val="20"/>
        </w:rPr>
        <w:t>以下）的掺入量不宜超过燃煤量的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8%</w:t>
      </w:r>
      <w:r>
        <w:rPr>
          <w:color w:val="000000"/>
          <w:spacing w:val="0"/>
          <w:w w:val="100"/>
          <w:position w:val="0"/>
          <w:sz w:val="20"/>
          <w:szCs w:val="20"/>
        </w:rPr>
        <w:t>；对于考虑污泥掺 烧的新建锅炉，污泥掺烧量可不受上述限制；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20"/>
          <w:szCs w:val="20"/>
        </w:rPr>
        <w:t>掺烧后焚烧炉膛温度宜高于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850°C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  <w:sectPr>
          <w:headerReference w:type="even" r:id="rId42"/>
          <w:headerReference w:type="default" r:id="rId43"/>
          <w:footerReference w:type="even" r:id="rId44"/>
          <w:footerReference w:type="default" r:id="rId45"/>
          <w:type w:val="nextPage"/>
          <w:pgSz w:w="8400" w:h="11900"/>
          <w:pgMar w:top="1262" w:right="1015" w:bottom="1342" w:left="1107" w:header="834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  <w:sz w:val="20"/>
          <w:szCs w:val="20"/>
        </w:rPr>
        <w:t>飞灰应按照现行国家标准《危险废物鉴别标准》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5085 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进行鉴定，属于危险废弃物的飞灰，应按危险废物妥善处置，不属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于危险废物的，可按一般固体废物处理；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5</w:t>
      </w:r>
      <w:r>
        <w:rPr>
          <w:color w:val="000000"/>
          <w:spacing w:val="0"/>
          <w:w w:val="100"/>
          <w:position w:val="0"/>
          <w:sz w:val="20"/>
          <w:szCs w:val="20"/>
        </w:rPr>
        <w:t>尾气排放应符合现行国家标准《火电厂大气污染物排放标 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13223</w:t>
      </w:r>
      <w:r>
        <w:rPr>
          <w:color w:val="000000"/>
          <w:spacing w:val="0"/>
          <w:w w:val="100"/>
          <w:position w:val="0"/>
          <w:sz w:val="20"/>
          <w:szCs w:val="20"/>
        </w:rPr>
        <w:t>的规定</w:t>
      </w:r>
      <w:r>
        <w:rPr>
          <w:color w:val="000000"/>
          <w:spacing w:val="0"/>
          <w:w w:val="100"/>
          <w:position w:val="0"/>
          <w:sz w:val="20"/>
          <w:szCs w:val="20"/>
          <w:shd w:val="clear" w:color="auto" w:fill="FFFFFF"/>
        </w:rPr>
        <w:t>&amp;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4.5.7</w:t>
      </w:r>
      <w:r>
        <w:rPr>
          <w:color w:val="000000"/>
          <w:spacing w:val="0"/>
          <w:w w:val="100"/>
          <w:position w:val="0"/>
          <w:sz w:val="20"/>
          <w:szCs w:val="20"/>
        </w:rPr>
        <w:t>污泥焚烧的</w:t>
      </w:r>
      <w:r>
        <w:rPr>
          <w:color w:val="49515A"/>
          <w:spacing w:val="0"/>
          <w:w w:val="100"/>
          <w:position w:val="0"/>
          <w:sz w:val="20"/>
          <w:szCs w:val="20"/>
        </w:rPr>
        <w:t>烟气排</w:t>
      </w:r>
      <w:r>
        <w:rPr>
          <w:color w:val="000000"/>
          <w:spacing w:val="0"/>
          <w:w w:val="100"/>
          <w:position w:val="0"/>
          <w:sz w:val="20"/>
          <w:szCs w:val="20"/>
        </w:rPr>
        <w:t>放应进行净化处理，应符合现行国家标准 《生活垃圾焚烧污染'物控制标准》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18485</w:t>
      </w:r>
      <w:r>
        <w:rPr>
          <w:color w:val="000000"/>
          <w:spacing w:val="0"/>
          <w:w w:val="100"/>
          <w:position w:val="0"/>
          <w:sz w:val="20"/>
          <w:szCs w:val="20"/>
        </w:rPr>
        <w:t>、《大气污染物综合 排放标准》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16297</w:t>
      </w:r>
      <w:r>
        <w:rPr>
          <w:color w:val="000000"/>
          <w:spacing w:val="0"/>
          <w:w w:val="100"/>
          <w:position w:val="0"/>
          <w:sz w:val="20"/>
          <w:szCs w:val="20"/>
        </w:rPr>
        <w:t>及《恶臭污染</w:t>
      </w:r>
      <w:r>
        <w:rPr>
          <w:color w:val="49515A"/>
          <w:spacing w:val="0"/>
          <w:w w:val="100"/>
          <w:position w:val="0"/>
          <w:sz w:val="20"/>
          <w:szCs w:val="20"/>
        </w:rPr>
        <w:t>物排放</w:t>
      </w:r>
      <w:r>
        <w:rPr>
          <w:color w:val="000000"/>
          <w:spacing w:val="0"/>
          <w:w w:val="100"/>
          <w:position w:val="0"/>
          <w:sz w:val="20"/>
          <w:szCs w:val="20"/>
        </w:rPr>
        <w:t>标准》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14554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的规定。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4.5.8</w:t>
      </w:r>
      <w:r>
        <w:rPr>
          <w:color w:val="000000"/>
          <w:spacing w:val="0"/>
          <w:w w:val="100"/>
          <w:position w:val="0"/>
          <w:sz w:val="20"/>
          <w:szCs w:val="20"/>
        </w:rPr>
        <w:t>单独焚烧、协同焚烧的灰渣可用</w:t>
      </w:r>
      <w:r>
        <w:rPr>
          <w:color w:val="49515A"/>
          <w:spacing w:val="0"/>
          <w:w w:val="100"/>
          <w:position w:val="0"/>
          <w:sz w:val="20"/>
          <w:szCs w:val="20"/>
        </w:rPr>
        <w:t>于混合</w:t>
      </w:r>
      <w:r>
        <w:rPr>
          <w:color w:val="000000"/>
          <w:spacing w:val="0"/>
          <w:w w:val="100"/>
          <w:position w:val="0"/>
          <w:sz w:val="20"/>
          <w:szCs w:val="20"/>
        </w:rPr>
        <w:t>填埋、建材利用等， 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5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用作填埋时应符合现行国家标准《城</w:t>
      </w:r>
      <w:r>
        <w:rPr>
          <w:color w:val="49515A"/>
          <w:spacing w:val="0"/>
          <w:w w:val="100"/>
          <w:position w:val="0"/>
          <w:sz w:val="20"/>
          <w:szCs w:val="20"/>
        </w:rPr>
        <w:t>镇污水</w:t>
      </w:r>
      <w:r>
        <w:rPr>
          <w:color w:val="000000"/>
          <w:spacing w:val="0"/>
          <w:w w:val="100"/>
          <w:position w:val="0"/>
          <w:sz w:val="20"/>
          <w:szCs w:val="20"/>
        </w:rPr>
        <w:t>处理厂污泥处 置混合填埋用泥质》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23485</w:t>
      </w:r>
      <w:r>
        <w:rPr>
          <w:color w:val="000000"/>
          <w:spacing w:val="0"/>
          <w:w w:val="100"/>
          <w:position w:val="0"/>
          <w:sz w:val="20"/>
          <w:szCs w:val="20"/>
        </w:rPr>
        <w:t>的规定；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420" w:line="315" w:lineRule="exact"/>
        <w:ind w:left="0" w:right="0" w:firstLine="4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用作制砖时应符合现行国家标准《城镇污水处理厂</w:t>
      </w:r>
      <w:r>
        <w:rPr>
          <w:color w:val="49515A"/>
          <w:spacing w:val="0"/>
          <w:w w:val="100"/>
          <w:position w:val="0"/>
          <w:sz w:val="20"/>
          <w:szCs w:val="20"/>
        </w:rPr>
        <w:t xml:space="preserve">污泥处 </w:t>
      </w:r>
      <w:r>
        <w:rPr>
          <w:color w:val="000000"/>
          <w:spacing w:val="0"/>
          <w:w w:val="100"/>
          <w:position w:val="0"/>
          <w:sz w:val="20"/>
          <w:szCs w:val="20"/>
        </w:rPr>
        <w:t>置制砖用泥质》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25031</w:t>
      </w:r>
      <w:r>
        <w:rPr>
          <w:color w:val="000000"/>
          <w:spacing w:val="0"/>
          <w:w w:val="100"/>
          <w:position w:val="0"/>
          <w:sz w:val="20"/>
          <w:szCs w:val="20"/>
        </w:rPr>
        <w:t>的规定。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>污泥碳化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4.6.1</w:t>
      </w:r>
      <w:r>
        <w:rPr>
          <w:color w:val="000000"/>
          <w:spacing w:val="0"/>
          <w:w w:val="100"/>
          <w:position w:val="0"/>
          <w:sz w:val="20"/>
          <w:szCs w:val="20"/>
        </w:rPr>
        <w:t>污泥碳化进泥含水率宜小于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80%,</w:t>
      </w:r>
      <w:r>
        <w:rPr>
          <w:color w:val="000000"/>
          <w:spacing w:val="0"/>
          <w:w w:val="100"/>
          <w:position w:val="0"/>
          <w:sz w:val="20"/>
          <w:szCs w:val="20"/>
        </w:rPr>
        <w:t>有机物含量不宜小于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35%, </w:t>
      </w:r>
      <w:r>
        <w:rPr>
          <w:color w:val="000000"/>
          <w:spacing w:val="0"/>
          <w:w w:val="100"/>
          <w:position w:val="0"/>
          <w:sz w:val="20"/>
          <w:szCs w:val="20"/>
        </w:rPr>
        <w:t>热值宜大于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5000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kJ/kg„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19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4.6.2</w:t>
      </w:r>
      <w:r>
        <w:rPr>
          <w:color w:val="000000"/>
          <w:spacing w:val="0"/>
          <w:w w:val="100"/>
          <w:position w:val="0"/>
          <w:sz w:val="20"/>
          <w:szCs w:val="20"/>
        </w:rPr>
        <w:t>污泥碳化工艺系统由污泥干燥预处理设备、污泥碳化炉和加 热炉、碳化产物冷却设备、送风及粉尘收集设备，以及烟气处理设 备组成。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4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4.6.3</w:t>
      </w:r>
      <w:r>
        <w:rPr>
          <w:color w:val="000000"/>
          <w:spacing w:val="0"/>
          <w:w w:val="100"/>
          <w:position w:val="0"/>
          <w:sz w:val="20"/>
          <w:szCs w:val="20"/>
        </w:rPr>
        <w:t>污泥碳化系统在常温工况下的设备使用寿命不应低于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15</w:t>
      </w:r>
      <w:r>
        <w:rPr>
          <w:color w:val="000000"/>
          <w:spacing w:val="0"/>
          <w:w w:val="100"/>
          <w:position w:val="0"/>
          <w:sz w:val="20"/>
          <w:szCs w:val="20"/>
        </w:rPr>
        <w:t>年, 高温工况下寿命不应低于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>年。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4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4.6.4</w:t>
      </w:r>
      <w:r>
        <w:rPr>
          <w:color w:val="000000"/>
          <w:spacing w:val="0"/>
          <w:w w:val="100"/>
          <w:position w:val="0"/>
          <w:sz w:val="20"/>
          <w:szCs w:val="20"/>
        </w:rPr>
        <w:t>污泥碳化的燃料种类及供应方式应结合项目的外部条件确 定，可采用天然气、沼气、液化石油气、轻油、重油等。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4.6.5</w:t>
      </w:r>
      <w:r>
        <w:rPr>
          <w:color w:val="000000"/>
          <w:spacing w:val="0"/>
          <w:w w:val="100"/>
          <w:position w:val="0"/>
          <w:sz w:val="20"/>
          <w:szCs w:val="20"/>
        </w:rPr>
        <w:t>为保证系统安全稳定运行，可配置智能温度、压力、氧含量、 流量等检测仪表以及监控、报警装置，实现系统自动控制。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4.6.6</w:t>
      </w:r>
      <w:r>
        <w:rPr>
          <w:color w:val="000000"/>
          <w:spacing w:val="0"/>
          <w:w w:val="100"/>
          <w:position w:val="0"/>
          <w:sz w:val="20"/>
          <w:szCs w:val="20"/>
        </w:rPr>
        <w:t>外热式碳化的工艺参数应符合下列规定：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外热式碳化可用于有机分含量较高的污泥；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  <w:rPr>
          <w:sz w:val="20"/>
          <w:szCs w:val="20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type w:val="nextPage"/>
          <w:pgSz w:w="8400" w:h="11900"/>
          <w:pgMar w:top="1262" w:right="1015" w:bottom="1342" w:left="1107" w:header="834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20"/>
          <w:szCs w:val="20"/>
        </w:rPr>
        <w:t>碳化过程中污泥的温度宜为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450°C</w:t>
      </w:r>
      <w:r>
        <w:rPr>
          <w:color w:val="000000"/>
          <w:spacing w:val="0"/>
          <w:w w:val="100"/>
          <w:position w:val="0"/>
          <w:sz w:val="20"/>
          <w:szCs w:val="2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650°C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，外热室内温度 宜为 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550°C~750°C</w:t>
      </w:r>
      <w:r>
        <w:rPr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容积热负荷宜为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20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kW/m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~80 kW/m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en-US" w:eastAsia="en-US" w:bidi="en-US"/>
        </w:rPr>
        <w:t>；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  <w:sz w:val="20"/>
          <w:szCs w:val="20"/>
        </w:rPr>
        <w:t>碳化物应</w:t>
      </w:r>
      <w:r>
        <w:rPr>
          <w:color w:val="23272B"/>
          <w:spacing w:val="0"/>
          <w:w w:val="100"/>
          <w:position w:val="0"/>
          <w:sz w:val="20"/>
          <w:szCs w:val="20"/>
        </w:rPr>
        <w:t>在进入碳化物</w:t>
      </w:r>
      <w:r>
        <w:rPr>
          <w:color w:val="000000"/>
          <w:spacing w:val="0"/>
          <w:w w:val="100"/>
          <w:position w:val="0"/>
          <w:sz w:val="20"/>
          <w:szCs w:val="20"/>
        </w:rPr>
        <w:t>储存仓前冷却降温，以保证安全储 存。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4.6.7</w:t>
      </w:r>
      <w:r>
        <w:rPr>
          <w:color w:val="000000"/>
          <w:spacing w:val="0"/>
          <w:w w:val="100"/>
          <w:position w:val="0"/>
          <w:sz w:val="20"/>
          <w:szCs w:val="20"/>
        </w:rPr>
        <w:t>内热式碳化的工艺参数应符合下列规定：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4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20"/>
          <w:szCs w:val="20"/>
        </w:rPr>
        <w:t>内热式碳化可用于粘度大</w:t>
      </w:r>
      <w:r>
        <w:rPr>
          <w:color w:val="23272B"/>
          <w:spacing w:val="0"/>
          <w:w w:val="100"/>
          <w:position w:val="0"/>
          <w:sz w:val="20"/>
          <w:szCs w:val="20"/>
        </w:rPr>
        <w:t>、传热差的</w:t>
      </w:r>
      <w:r>
        <w:rPr>
          <w:color w:val="000000"/>
          <w:spacing w:val="0"/>
          <w:w w:val="100"/>
          <w:position w:val="0"/>
          <w:sz w:val="20"/>
          <w:szCs w:val="20"/>
        </w:rPr>
        <w:t>污泥；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20" w:lineRule="exact"/>
        <w:ind w:left="0" w:right="0" w:firstLine="4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碳化温度宜为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550°C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1000°C,</w:t>
      </w:r>
      <w:r>
        <w:rPr>
          <w:rFonts w:ascii="SimSun" w:eastAsia="SimSun" w:hAnsi="SimSun" w:cs="SimSun"/>
          <w:color w:val="23272B"/>
          <w:spacing w:val="0"/>
          <w:w w:val="100"/>
          <w:position w:val="0"/>
          <w:lang w:val="zh-TW" w:eastAsia="zh-TW" w:bidi="zh-TW"/>
        </w:rPr>
        <w:t>并实时监测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温度；</w:t>
      </w:r>
    </w:p>
    <w:p>
      <w:pPr>
        <w:pStyle w:val="Bodytext30"/>
        <w:keepNext w:val="0"/>
        <w:keepLines w:val="0"/>
        <w:widowControl w:val="0"/>
        <w:shd w:val="clear" w:color="auto" w:fill="auto"/>
        <w:bidi w:val="0"/>
        <w:spacing w:before="0" w:after="0" w:line="320" w:lineRule="exact"/>
        <w:ind w:left="0" w:right="0" w:firstLine="44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TW" w:eastAsia="zh-TW" w:bidi="zh-TW"/>
        </w:rPr>
        <w:t xml:space="preserve">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TW" w:eastAsia="zh-TW" w:bidi="zh-TW"/>
        </w:rPr>
        <w:t>容积热负荷宜为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TW" w:eastAsia="zh-TW" w:bidi="zh-TW"/>
        </w:rPr>
        <w:t xml:space="preserve">90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kW/m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~180 kW/m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perscript"/>
          <w:lang w:val="en-US" w:eastAsia="en-US" w:bidi="en-US"/>
        </w:rPr>
        <w:t>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bscript"/>
          <w:lang w:val="en-US" w:eastAsia="en-US" w:bidi="en-US"/>
        </w:rPr>
        <w:t>o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0" w:line="320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4.6.8</w:t>
      </w:r>
      <w:r>
        <w:rPr>
          <w:color w:val="000000"/>
          <w:spacing w:val="0"/>
          <w:w w:val="100"/>
          <w:position w:val="0"/>
          <w:sz w:val="20"/>
          <w:szCs w:val="20"/>
        </w:rPr>
        <w:t>污泥热解碳化过程产生的热解气体宜</w:t>
      </w:r>
      <w:r>
        <w:rPr>
          <w:color w:val="717D8C"/>
          <w:spacing w:val="0"/>
          <w:w w:val="100"/>
          <w:position w:val="0"/>
          <w:sz w:val="20"/>
          <w:szCs w:val="20"/>
        </w:rPr>
        <w:t>回收济</w:t>
      </w:r>
      <w:r>
        <w:rPr>
          <w:color w:val="9AAABE"/>
          <w:spacing w:val="0"/>
          <w:w w:val="100"/>
          <w:position w:val="0"/>
          <w:sz w:val="20"/>
          <w:szCs w:val="20"/>
        </w:rPr>
        <w:t>嗦</w:t>
      </w:r>
      <w:r>
        <w:rPr>
          <w:color w:val="9AAABE"/>
          <w:spacing w:val="0"/>
          <w:w w:val="100"/>
          <w:position w:val="0"/>
          <w:sz w:val="20"/>
          <w:szCs w:val="20"/>
          <w:lang w:val="en-US" w:eastAsia="en-US" w:bidi="en-US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4.6.9</w:t>
      </w:r>
      <w:r>
        <w:rPr>
          <w:color w:val="000000"/>
          <w:spacing w:val="0"/>
          <w:w w:val="100"/>
          <w:position w:val="0"/>
          <w:sz w:val="20"/>
          <w:szCs w:val="20"/>
        </w:rPr>
        <w:t>碳化系统应保持微负压运行，防止碳化炉内高温裂解气体外 泄。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80" w:line="320" w:lineRule="exact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4.6.10</w:t>
      </w:r>
      <w:r>
        <w:rPr>
          <w:color w:val="000000"/>
          <w:spacing w:val="0"/>
          <w:w w:val="100"/>
          <w:position w:val="0"/>
          <w:sz w:val="20"/>
          <w:szCs w:val="20"/>
        </w:rPr>
        <w:t>应具有完整的除臭、除尘、烟气处理系统，保证臭气、</w:t>
      </w:r>
      <w:r>
        <w:rPr>
          <w:color w:val="49515A"/>
          <w:spacing w:val="0"/>
          <w:w w:val="100"/>
          <w:position w:val="0"/>
          <w:sz w:val="20"/>
          <w:szCs w:val="20"/>
        </w:rPr>
        <w:t xml:space="preserve">烟' </w:t>
      </w:r>
      <w:r>
        <w:rPr>
          <w:color w:val="000000"/>
          <w:spacing w:val="0"/>
          <w:w w:val="100"/>
          <w:position w:val="0"/>
          <w:sz w:val="20"/>
          <w:szCs w:val="20"/>
        </w:rPr>
        <w:t>气的达标排放。</w:t>
      </w:r>
    </w:p>
    <w:p>
      <w:pPr>
        <w:pStyle w:val="Bodytext20"/>
        <w:keepNext w:val="0"/>
        <w:keepLines w:val="0"/>
        <w:widowControl w:val="0"/>
        <w:shd w:val="clear" w:color="auto" w:fill="auto"/>
        <w:bidi w:val="0"/>
        <w:spacing w:before="0" w:after="40" w:line="336" w:lineRule="auto"/>
        <w:ind w:left="0" w:right="0" w:firstLine="0"/>
        <w:jc w:val="left"/>
        <w:rPr>
          <w:sz w:val="20"/>
          <w:szCs w:val="20"/>
        </w:rPr>
        <w:sectPr>
          <w:headerReference w:type="even" r:id="rId50"/>
          <w:headerReference w:type="default" r:id="rId51"/>
          <w:footerReference w:type="even" r:id="rId52"/>
          <w:footerReference w:type="default" r:id="rId53"/>
          <w:type w:val="nextPage"/>
          <w:pgSz w:w="8400" w:h="11900"/>
          <w:pgMar w:top="1262" w:right="1015" w:bottom="1342" w:left="1107" w:header="834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lang w:val="en-US" w:eastAsia="en-US" w:bidi="en-US"/>
        </w:rPr>
        <w:t>4.6.11</w:t>
      </w:r>
      <w:r>
        <w:rPr>
          <w:color w:val="000000"/>
          <w:spacing w:val="0"/>
          <w:w w:val="100"/>
          <w:position w:val="0"/>
          <w:sz w:val="20"/>
          <w:szCs w:val="20"/>
        </w:rPr>
        <w:t>污泥碳化后的产物宜实现资源化利用。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480" w:line="312" w:lineRule="exact"/>
        <w:ind w:left="0" w:right="0" w:firstLine="0"/>
        <w:jc w:val="center"/>
        <w:rPr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5</w:t>
      </w:r>
      <w:r>
        <w:rPr>
          <w:color w:val="000000"/>
          <w:spacing w:val="0"/>
          <w:w w:val="100"/>
          <w:position w:val="0"/>
          <w:sz w:val="19"/>
          <w:szCs w:val="19"/>
        </w:rPr>
        <w:t>污泥处置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5.1 </w:t>
      </w:r>
      <w:r>
        <w:rPr>
          <w:b/>
          <w:bCs/>
          <w:color w:val="000000"/>
          <w:spacing w:val="0"/>
          <w:w w:val="100"/>
          <w:position w:val="0"/>
        </w:rPr>
        <w:t>一般规定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2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5.1.1</w:t>
      </w:r>
      <w:r>
        <w:rPr>
          <w:color w:val="000000"/>
          <w:spacing w:val="0"/>
          <w:w w:val="100"/>
          <w:position w:val="0"/>
        </w:rPr>
        <w:t>污泥的处置方式应根据污泥特性、当地自然环境条件、最终 出路等因素综合考虑，包括土地利用、建筑材料利用和填埋等。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5.2</w:t>
      </w:r>
      <w:r>
        <w:rPr>
          <w:b/>
          <w:bCs/>
          <w:color w:val="000000"/>
          <w:spacing w:val="0"/>
          <w:w w:val="100"/>
          <w:position w:val="0"/>
        </w:rPr>
        <w:t>污泥土地利用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5.2.1</w:t>
      </w:r>
      <w:r>
        <w:rPr>
          <w:color w:val="000000"/>
          <w:spacing w:val="0"/>
          <w:w w:val="100"/>
          <w:position w:val="0"/>
        </w:rPr>
        <w:t>用于园林、绿地、林业等的污泥泥质应符合国家现行标准《城 镇污水处理厂污泥处置园林绿化用泥质》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GB/T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23486,</w:t>
      </w:r>
      <w:r>
        <w:rPr>
          <w:color w:val="000000"/>
          <w:spacing w:val="0"/>
          <w:w w:val="100"/>
          <w:position w:val="0"/>
        </w:rPr>
        <w:t>《城镇污 水处理厂污泥处置林地用泥质》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CJ/T36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的规定。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5.2.2</w:t>
      </w:r>
      <w:r>
        <w:rPr>
          <w:color w:val="000000"/>
          <w:spacing w:val="0"/>
          <w:w w:val="100"/>
          <w:position w:val="0"/>
        </w:rPr>
        <w:t>处理后的污淀作为园林绿化种植土时应与其它土壤混合掺 拌，不应直接作为绿化种植土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5.2.3</w:t>
      </w:r>
      <w:r>
        <w:rPr>
          <w:color w:val="000000"/>
          <w:spacing w:val="0"/>
          <w:w w:val="100"/>
          <w:position w:val="0"/>
        </w:rPr>
        <w:t>在饮用水水源保护地带不应使用污泥介质土。</w:t>
      </w:r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1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5.2.4</w:t>
      </w:r>
      <w:r>
        <w:rPr>
          <w:color w:val="000000"/>
          <w:spacing w:val="0"/>
          <w:w w:val="100"/>
          <w:position w:val="0"/>
        </w:rPr>
        <w:t>用于土地改良的污泥必须经</w:t>
      </w:r>
      <w:r>
        <w:rPr>
          <w:color w:val="23272B"/>
          <w:spacing w:val="0"/>
          <w:w w:val="100"/>
          <w:position w:val="0"/>
        </w:rPr>
        <w:t>过稳定</w:t>
      </w:r>
      <w:r>
        <w:rPr>
          <w:color w:val="49515A"/>
          <w:spacing w:val="0"/>
          <w:w w:val="100"/>
          <w:position w:val="0"/>
        </w:rPr>
        <w:t>化处理</w:t>
      </w:r>
      <w:r>
        <w:rPr>
          <w:color w:val="000000"/>
          <w:spacing w:val="0"/>
          <w:w w:val="100"/>
          <w:position w:val="0"/>
        </w:rPr>
        <w:t>，污泥泥质应符合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https://d.book118.com/437032142044006041</w:t>
        </w:r>
      </w:hyperlink>
    </w:p>
    <w:p>
      <w:pPr>
        <w:pStyle w:val="Bodytext10"/>
        <w:keepNext w:val="0"/>
        <w:keepLines w:val="0"/>
        <w:widowControl w:val="0"/>
        <w:shd w:val="clear" w:color="auto" w:fill="auto"/>
        <w:bidi w:val="0"/>
        <w:spacing w:before="0" w:after="360" w:line="312" w:lineRule="exact"/>
        <w:ind w:left="0" w:right="0" w:firstLine="0"/>
        <w:jc w:val="left"/>
      </w:pPr>
    </w:p>
    <w:sectPr>
      <w:headerReference w:type="even" r:id="rId55"/>
      <w:headerReference w:type="default" r:id="rId56"/>
      <w:footerReference w:type="even" r:id="rId57"/>
      <w:footerReference w:type="default" r:id="rId58"/>
      <w:type w:val="continuous"/>
      <w:pgSz w:w="8400" w:h="11900"/>
      <w:pgMar w:top="1262" w:right="1015" w:bottom="1342" w:left="1107" w:header="0" w:footer="3" w:gutter="0"/>
      <w:pgNumType w:start="1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2637790</wp:posOffset>
              </wp:positionH>
              <wp:positionV relativeFrom="page">
                <wp:posOffset>6675120</wp:posOffset>
              </wp:positionV>
              <wp:extent cx="48895" cy="79375"/>
              <wp:wrapNone/>
              <wp:docPr id="11" name="Shape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1" o:spid="_x0000_s2054" type="#_x0000_t202" style="width:3.85pt;height:6.25pt;margin-top:525.6pt;margin-left:207.7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2637790</wp:posOffset>
              </wp:positionH>
              <wp:positionV relativeFrom="page">
                <wp:posOffset>6675120</wp:posOffset>
              </wp:positionV>
              <wp:extent cx="48895" cy="79375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889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7" o:spid="_x0000_s2052" type="#_x0000_t202" style="width:3.85pt;height:6.25pt;margin-top:525.6pt;margin-left:207.7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2644140</wp:posOffset>
              </wp:positionH>
              <wp:positionV relativeFrom="page">
                <wp:posOffset>6675120</wp:posOffset>
              </wp:positionV>
              <wp:extent cx="42545" cy="79375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5" o:spid="_x0000_s2056" type="#_x0000_t202" style="width:3.35pt;height:6.25pt;margin-top:525.6pt;margin-left:208.2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2644140</wp:posOffset>
              </wp:positionH>
              <wp:positionV relativeFrom="page">
                <wp:posOffset>6675120</wp:posOffset>
              </wp:positionV>
              <wp:extent cx="42545" cy="79375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254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2055" type="#_x0000_t202" style="width:3.35pt;height:6.25pt;margin-top:525.6pt;margin-left:208.2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2637790</wp:posOffset>
              </wp:positionH>
              <wp:positionV relativeFrom="page">
                <wp:posOffset>6821170</wp:posOffset>
              </wp:positionV>
              <wp:extent cx="52070" cy="79375"/>
              <wp:wrapNone/>
              <wp:docPr id="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3" o:spid="_x0000_s2060" type="#_x0000_t202" style="width:4.1pt;height:6.25pt;margin-top:537.1pt;margin-left:207.7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4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2637790</wp:posOffset>
              </wp:positionH>
              <wp:positionV relativeFrom="page">
                <wp:posOffset>6821170</wp:posOffset>
              </wp:positionV>
              <wp:extent cx="52070" cy="79375"/>
              <wp:wrapNone/>
              <wp:docPr id="19" name="Shape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20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9" o:spid="_x0000_s2058" type="#_x0000_t202" style="width:4.1pt;height:6.25pt;margin-top:537.1pt;margin-left:207.7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3600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27" name="Shape 2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7" o:spid="_x0000_s2062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4390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25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61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7696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288630330" name="Shape 2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7" o:spid="_x0000_s2064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3980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5648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145923972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63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4185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1792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517408098" name="Shape 2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7" o:spid="_x0000_s2066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3571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9744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461203139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65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3776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5888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625722961" name="Shape 2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7" o:spid="_x0000_s2068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3161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8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3840" behindDoc="1" locked="0" layoutInCell="1" allowOverlap="1">
              <wp:simplePos x="0" y="0"/>
              <wp:positionH relativeFrom="page">
                <wp:posOffset>2658745</wp:posOffset>
              </wp:positionH>
              <wp:positionV relativeFrom="page">
                <wp:posOffset>6833870</wp:posOffset>
              </wp:positionV>
              <wp:extent cx="39370" cy="79375"/>
              <wp:wrapNone/>
              <wp:docPr id="1434333557" name="Shape 2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937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7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5" o:spid="_x0000_s2067" type="#_x0000_t202" style="width:3.1pt;height:6.25pt;margin-top:538.1pt;margin-left:209.35pt;mso-position-horizontal-relative:page;mso-position-vertical-relative:page;mso-wrap-distance-bottom:0;mso-wrap-distance-left:0;mso-wrap-distance-right:0;mso-wrap-distance-top:0;mso-wrap-style:none;position:absolute;v-text-anchor:top;z-index:-25163366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7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9984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31" name="Shape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2070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2752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87936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29" name="Shape 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9" o:spid="_x0000_s2069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2956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9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4080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1942459337" name="Shape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10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2072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2342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10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2032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1311008208" name="Shape 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9" o:spid="_x0000_s2071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2547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8176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370544096" name="Shape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2074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1932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96128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1552166152" name="Shape 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9" o:spid="_x0000_s2073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2137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2272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1895811472" name="Shape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2076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1523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0224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934829618" name="Shape 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9" o:spid="_x0000_s2075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1728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6368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634956503" name="Shape 3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1" o:spid="_x0000_s2078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11136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12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4320" behindDoc="1" locked="0" layoutInCell="1" allowOverlap="1">
              <wp:simplePos x="0" y="0"/>
              <wp:positionH relativeFrom="page">
                <wp:posOffset>2626995</wp:posOffset>
              </wp:positionH>
              <wp:positionV relativeFrom="page">
                <wp:posOffset>6826250</wp:posOffset>
              </wp:positionV>
              <wp:extent cx="94615" cy="79375"/>
              <wp:wrapNone/>
              <wp:docPr id="1528610640" name="Shape 2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4615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13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9" o:spid="_x0000_s2077" type="#_x0000_t202" style="width:7.45pt;height:6.25pt;margin-top:537.5pt;margin-left:206.85pt;mso-position-horizontal-relative:page;mso-position-vertical-relative:page;mso-wrap-distance-bottom:0;mso-wrap-distance-left:0;mso-wrap-distance-right:0;mso-wrap-distance-top:0;mso-wrap-style:none;position:absolute;v-text-anchor:top;z-index:-251613184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13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10464" behindDoc="1" locked="0" layoutInCell="1" allowOverlap="1">
              <wp:simplePos x="0" y="0"/>
              <wp:positionH relativeFrom="page">
                <wp:posOffset>2622550</wp:posOffset>
              </wp:positionH>
              <wp:positionV relativeFrom="page">
                <wp:posOffset>6821170</wp:posOffset>
              </wp:positionV>
              <wp:extent cx="91440" cy="79375"/>
              <wp:wrapNone/>
              <wp:docPr id="37" name="Shape 3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144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16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7" o:spid="_x0000_s2081" type="#_x0000_t202" style="width:7.2pt;height:6.25pt;margin-top:537.1pt;margin-left:206.5pt;mso-position-horizontal-relative:page;mso-position-vertical-relative:page;mso-wrap-distance-bottom:0;mso-wrap-distance-left:0;mso-wrap-distance-right:0;mso-wrap-distance-top:0;mso-wrap-style:none;position:absolute;v-text-anchor:top;z-index:-251607040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16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708416" behindDoc="1" locked="0" layoutInCell="1" allowOverlap="1">
              <wp:simplePos x="0" y="0"/>
              <wp:positionH relativeFrom="page">
                <wp:posOffset>2592705</wp:posOffset>
              </wp:positionH>
              <wp:positionV relativeFrom="page">
                <wp:posOffset>6821170</wp:posOffset>
              </wp:positionV>
              <wp:extent cx="91440" cy="79375"/>
              <wp:wrapNone/>
              <wp:docPr id="33" name="Shape 3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1440" cy="793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15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3" o:spid="_x0000_s2079" type="#_x0000_t202" style="width:7.2pt;height:6.25pt;margin-top:537.1pt;margin-left:204.15pt;mso-position-horizontal-relative:page;mso-position-vertical-relative:page;mso-wrap-distance-bottom:0;mso-wrap-distance-left:0;mso-wrap-distance-right:0;mso-wrap-distance-top:0;mso-wrap-style:none;position:absolute;v-text-anchor:top;z-index:-251609088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15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2330450</wp:posOffset>
              </wp:positionH>
              <wp:positionV relativeFrom="page">
                <wp:posOffset>1172210</wp:posOffset>
              </wp:positionV>
              <wp:extent cx="667385" cy="155575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67385" cy="1555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总贝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I]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2050" type="#_x0000_t202" style="width:52.55pt;height:12.25pt;margin-top:92.3pt;margin-left:183.5pt;mso-position-horizontal-relative:page;mso-position-vertical-relative:page;mso-wrap-distance-bottom:0;mso-wrap-distance-left:0;mso-wrap-distance-right:0;mso-wrap-distance-top:0;mso-wrap-style:none;position:absolute;v-text-anchor:top;z-index:-251656192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总贝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I]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2330450</wp:posOffset>
              </wp:positionH>
              <wp:positionV relativeFrom="page">
                <wp:posOffset>1172210</wp:posOffset>
              </wp:positionV>
              <wp:extent cx="667385" cy="155575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67385" cy="1555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1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总贝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I]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" o:spid="_x0000_s2049" type="#_x0000_t202" style="width:52.55pt;height:12.25pt;margin-top:92.3pt;margin-left:183.5pt;mso-position-horizontal-relative:page;mso-position-vertical-relative:page;mso-wrap-distance-bottom:0;mso-wrap-distance-left:0;mso-wrap-distance-right:0;mso-wrap-distance-top:0;mso-wrap-style:none;position:absolute;v-text-anchor:top;z-index:-25165824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总贝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I]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5408" behindDoc="1" locked="0" layoutInCell="1" allowOverlap="1">
              <wp:simplePos x="0" y="0"/>
              <wp:positionH relativeFrom="page">
                <wp:posOffset>2315210</wp:posOffset>
              </wp:positionH>
              <wp:positionV relativeFrom="page">
                <wp:posOffset>1170305</wp:posOffset>
              </wp:positionV>
              <wp:extent cx="694690" cy="155575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4690" cy="1555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9" o:spid="_x0000_s2053" type="#_x0000_t202" style="width:54.7pt;height:12.25pt;margin-top:92.15pt;margin-left:182.3pt;mso-position-horizontal-relative:page;mso-position-vertical-relative:page;mso-wrap-distance-bottom:0;mso-wrap-distance-left:0;mso-wrap-distance-right:0;mso-wrap-distance-top:0;mso-wrap-style:none;position:absolute;v-text-anchor:top;z-index:-251652096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2315210</wp:posOffset>
              </wp:positionH>
              <wp:positionV relativeFrom="page">
                <wp:posOffset>1170305</wp:posOffset>
              </wp:positionV>
              <wp:extent cx="694690" cy="155575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694690" cy="15557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2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术语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5" o:spid="_x0000_s2051" type="#_x0000_t202" style="width:54.7pt;height:12.25pt;margin-top:92.15pt;margin-left:182.3pt;mso-position-horizontal-relative:page;mso-position-vertical-relative:page;mso-wrap-distance-bottom:0;mso-wrap-distance-left:0;mso-wrap-distance-right:0;mso-wrap-distance-top:0;mso-wrap-style:none;position:absolute;v-text-anchor:top;z-index:-251654144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2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术语</w:t>
                    </w:r>
                  </w:p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9504" behindDoc="1" locked="0" layoutInCell="1" allowOverlap="1">
              <wp:simplePos x="0" y="0"/>
              <wp:positionH relativeFrom="page">
                <wp:posOffset>2183765</wp:posOffset>
              </wp:positionH>
              <wp:positionV relativeFrom="page">
                <wp:posOffset>1142365</wp:posOffset>
              </wp:positionV>
              <wp:extent cx="956945" cy="161290"/>
              <wp:wrapNone/>
              <wp:docPr id="21" name="Shape 2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56945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3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基本规定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21" o:spid="_x0000_s2059" type="#_x0000_t202" style="width:75.35pt;height:12.7pt;margin-top:89.95pt;margin-left:171.95pt;mso-position-horizontal-relative:page;mso-position-vertical-relative:page;mso-wrap-distance-bottom:0;mso-wrap-distance-left:0;mso-wrap-distance-right:0;mso-wrap-distance-top:0;mso-wrap-style:none;position:absolute;v-text-anchor:top;z-index:-251648000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基本规定</w:t>
                    </w:r>
                  </w:p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7456" behindDoc="1" locked="0" layoutInCell="1" allowOverlap="1">
              <wp:simplePos x="0" y="0"/>
              <wp:positionH relativeFrom="page">
                <wp:posOffset>2183765</wp:posOffset>
              </wp:positionH>
              <wp:positionV relativeFrom="page">
                <wp:posOffset>1142365</wp:posOffset>
              </wp:positionV>
              <wp:extent cx="956945" cy="16129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956945" cy="1612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2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CN" w:eastAsia="zh-CN" w:bidi="zh-CN"/>
                            </w:rPr>
                            <w:t>3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基本规定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7" o:spid="_x0000_s2057" type="#_x0000_t202" style="width:75.35pt;height:12.7pt;margin-top:89.95pt;margin-left:171.95pt;mso-position-horizontal-relative:page;mso-position-vertical-relative:page;mso-wrap-distance-bottom:0;mso-wrap-distance-left:0;mso-wrap-distance-right:0;mso-wrap-distance-top:0;mso-wrap-style:none;position:absolute;v-text-anchor:top;z-index:-251650048" filled="f" fillcolor="this">
              <v:textbox style="mso-fit-shape-to-text:t" inset="0,0,0,0">
                <w:txbxContent>
                  <w:p>
                    <w:pPr>
                      <w:pStyle w:val="Headerorfooter2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CN" w:eastAsia="zh-CN" w:bidi="zh-CN"/>
                      </w:rPr>
                      <w:t>3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基本规定</w:t>
                    </w:r>
                  </w:p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71552" behindDoc="1" locked="0" layoutInCell="1" allowOverlap="1">
              <wp:simplePos x="0" y="0"/>
              <wp:positionH relativeFrom="page">
                <wp:posOffset>2388235</wp:posOffset>
              </wp:positionH>
              <wp:positionV relativeFrom="page">
                <wp:posOffset>1084580</wp:posOffset>
              </wp:positionV>
              <wp:extent cx="557530" cy="121920"/>
              <wp:wrapNone/>
              <wp:docPr id="35" name="Shape 3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557530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Headerorfooter10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  <w:lang w:val="en-US" w:eastAsia="en-US" w:bidi="en-US"/>
                            </w:rPr>
                            <w:t>5.4</w:t>
                          </w:r>
                          <w:r>
                            <w:rPr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20"/>
                              <w:szCs w:val="20"/>
                            </w:rPr>
                            <w:t>填埋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5" o:spid="_x0000_s2080" type="#_x0000_t202" style="width:43.9pt;height:9.6pt;margin-top:85.4pt;margin-left:188.05pt;mso-position-horizontal-relative:page;mso-position-vertical-relative:page;mso-wrap-distance-bottom:0;mso-wrap-distance-left:0;mso-wrap-distance-right:0;mso-wrap-distance-top:0;mso-wrap-style:none;position:absolute;v-text-anchor:top;z-index:-251645952" filled="f" fillcolor="this">
              <v:textbox style="mso-fit-shape-to-text:t" inset="0,0,0,0">
                <w:txbxContent>
                  <w:p>
                    <w:pPr>
                      <w:pStyle w:val="Headerorfooter10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  <w:lang w:val="en-US" w:eastAsia="en-US" w:bidi="en-US"/>
                      </w:rPr>
                      <w:t>5.4</w:t>
                    </w:r>
                    <w:r>
                      <w:rPr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20"/>
                        <w:szCs w:val="20"/>
                      </w:rPr>
                      <w:t>填埋</w:t>
                    </w:r>
                  </w:p>
                </w:txbxContent>
              </v:textbox>
            </v:shape>
          </w:pict>
        </mc:Fallback>
      </mc:AlternateConten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19A663"/>
    <w:multiLevelType w:val="multilevel"/>
    <w:tmpl w:val="00000000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7214C5F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93F56EF"/>
    <w:multiLevelType w:val="multilevel"/>
    <w:tmpl w:val="00000000"/>
    <w:lvl w:ilvl="0">
      <w:start w:val="1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CED9035"/>
    <w:multiLevelType w:val="multilevel"/>
    <w:tmpl w:val="00000000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zh-TW" w:eastAsia="zh-TW" w:bidi="zh-TW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614B5D8"/>
    <w:multiLevelType w:val="multilevel"/>
    <w:tmpl w:val="00000000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30EAB3B"/>
    <w:multiLevelType w:val="multilevel"/>
    <w:tmpl w:val="00000000"/>
    <w:lvl w:ilvl="0">
      <w:start w:val="4"/>
      <w:numFmt w:val="decimal"/>
      <w:lvlText w:val="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9A9A60F"/>
    <w:multiLevelType w:val="multilevel"/>
    <w:tmpl w:val="00000000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1">
    <w:name w:val="Heading #3|1_"/>
    <w:basedOn w:val="DefaultParagraphFont"/>
    <w:link w:val="Heading31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Pr>
      <w:bCs w:val="0"/>
      <w:smallCaps w:val="0"/>
      <w:sz w:val="20"/>
      <w:szCs w:val="20"/>
      <w:u w:val="none"/>
      <w:shd w:val="clear" w:color="auto" w:fill="auto"/>
    </w:rPr>
  </w:style>
  <w:style w:type="character" w:customStyle="1" w:styleId="Bodytext2">
    <w:name w:val="Body text|2_"/>
    <w:basedOn w:val="DefaultParagraphFont"/>
    <w:link w:val="Bodytext20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Heading11">
    <w:name w:val="Heading #1|1_"/>
    <w:basedOn w:val="DefaultParagraphFont"/>
    <w:link w:val="Heading110"/>
    <w:rPr>
      <w:rFonts w:ascii="SimSun" w:eastAsia="SimSun" w:hAnsi="SimSun" w:cs="SimSu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  <w:lang w:val="zh-TW" w:eastAsia="zh-TW" w:bidi="zh-TW"/>
    </w:rPr>
  </w:style>
  <w:style w:type="character" w:customStyle="1" w:styleId="Heading21">
    <w:name w:val="Heading #2|1_"/>
    <w:basedOn w:val="DefaultParagraphFont"/>
    <w:link w:val="Heading210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Other1">
    <w:name w:val="Other|1_"/>
    <w:basedOn w:val="DefaultParagraphFont"/>
    <w:link w:val="Other10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Bodytext1">
    <w:name w:val="Body text|1_"/>
    <w:basedOn w:val="DefaultParagraphFont"/>
    <w:link w:val="Bodytext10"/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Heading310">
    <w:name w:val="Heading #3|1"/>
    <w:basedOn w:val="Normal"/>
    <w:link w:val="Heading31"/>
    <w:pPr>
      <w:widowControl w:val="0"/>
      <w:shd w:val="clear" w:color="auto" w:fill="auto"/>
      <w:spacing w:after="880"/>
      <w:jc w:val="center"/>
      <w:outlineLvl w:val="2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Normal"/>
    <w:link w:val="Bodytext3"/>
    <w:pPr>
      <w:widowControl w:val="0"/>
      <w:shd w:val="clear" w:color="auto" w:fill="auto"/>
      <w:spacing w:after="460" w:line="312" w:lineRule="auto"/>
      <w:jc w:val="center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Bodytext20">
    <w:name w:val="Body text|2"/>
    <w:basedOn w:val="Normal"/>
    <w:link w:val="Bodytext2"/>
    <w:pPr>
      <w:widowControl w:val="0"/>
      <w:shd w:val="clear" w:color="auto" w:fill="auto"/>
      <w:spacing w:after="600" w:line="331" w:lineRule="auto"/>
      <w:ind w:firstLine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Normal"/>
    <w:link w:val="Heading11"/>
    <w:pPr>
      <w:widowControl w:val="0"/>
      <w:shd w:val="clear" w:color="auto" w:fill="auto"/>
      <w:spacing w:after="500" w:line="1171" w:lineRule="exact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2"/>
      <w:szCs w:val="7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Normal"/>
    <w:link w:val="Heading21"/>
    <w:pPr>
      <w:widowControl w:val="0"/>
      <w:shd w:val="clear" w:color="auto" w:fill="auto"/>
      <w:spacing w:after="50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Normal"/>
    <w:link w:val="Bodytext4"/>
    <w:pPr>
      <w:widowControl w:val="0"/>
      <w:shd w:val="clear" w:color="auto" w:fill="auto"/>
      <w:spacing w:after="220" w:line="439" w:lineRule="exact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Normal"/>
    <w:link w:val="Other1"/>
    <w:pPr>
      <w:widowControl w:val="0"/>
      <w:shd w:val="clear" w:color="auto" w:fill="auto"/>
      <w:spacing w:after="600" w:line="331" w:lineRule="auto"/>
      <w:ind w:firstLine="2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pPr>
      <w:widowControl w:val="0"/>
      <w:shd w:val="clear" w:color="auto" w:fill="auto"/>
      <w:spacing w:after="60"/>
      <w:ind w:firstLine="2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Normal"/>
    <w:link w:val="Bodytext1"/>
    <w:pPr>
      <w:widowControl w:val="0"/>
      <w:shd w:val="clear" w:color="auto" w:fill="auto"/>
      <w:spacing w:line="317" w:lineRule="auto"/>
    </w:pPr>
    <w:rPr>
      <w:rFonts w:ascii="SimSun" w:eastAsia="SimSun" w:hAnsi="SimSun" w:cs="SimSun"/>
      <w:bCs w:val="0"/>
      <w:smallCaps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header" Target="header11.xml" /><Relationship Id="rId23" Type="http://schemas.openxmlformats.org/officeDocument/2006/relationships/header" Target="header12.xml" /><Relationship Id="rId24" Type="http://schemas.openxmlformats.org/officeDocument/2006/relationships/footer" Target="footer9.xml" /><Relationship Id="rId25" Type="http://schemas.openxmlformats.org/officeDocument/2006/relationships/footer" Target="footer10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footer" Target="footer11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5.xml" /><Relationship Id="rId31" Type="http://schemas.openxmlformats.org/officeDocument/2006/relationships/header" Target="header16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header" Target="header17.xml" /><Relationship Id="rId35" Type="http://schemas.openxmlformats.org/officeDocument/2006/relationships/header" Target="header18.xml" /><Relationship Id="rId36" Type="http://schemas.openxmlformats.org/officeDocument/2006/relationships/footer" Target="footer15.xml" /><Relationship Id="rId37" Type="http://schemas.openxmlformats.org/officeDocument/2006/relationships/footer" Target="footer16.xml" /><Relationship Id="rId38" Type="http://schemas.openxmlformats.org/officeDocument/2006/relationships/header" Target="header19.xml" /><Relationship Id="rId39" Type="http://schemas.openxmlformats.org/officeDocument/2006/relationships/header" Target="header20.xml" /><Relationship Id="rId4" Type="http://schemas.openxmlformats.org/officeDocument/2006/relationships/header" Target="header1.xml" /><Relationship Id="rId40" Type="http://schemas.openxmlformats.org/officeDocument/2006/relationships/footer" Target="footer17.xml" /><Relationship Id="rId41" Type="http://schemas.openxmlformats.org/officeDocument/2006/relationships/footer" Target="footer18.xml" /><Relationship Id="rId42" Type="http://schemas.openxmlformats.org/officeDocument/2006/relationships/header" Target="header21.xml" /><Relationship Id="rId43" Type="http://schemas.openxmlformats.org/officeDocument/2006/relationships/header" Target="header22.xml" /><Relationship Id="rId44" Type="http://schemas.openxmlformats.org/officeDocument/2006/relationships/footer" Target="footer19.xml" /><Relationship Id="rId45" Type="http://schemas.openxmlformats.org/officeDocument/2006/relationships/footer" Target="footer20.xml" /><Relationship Id="rId46" Type="http://schemas.openxmlformats.org/officeDocument/2006/relationships/header" Target="header23.xml" /><Relationship Id="rId47" Type="http://schemas.openxmlformats.org/officeDocument/2006/relationships/header" Target="header24.xml" /><Relationship Id="rId48" Type="http://schemas.openxmlformats.org/officeDocument/2006/relationships/footer" Target="footer21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header" Target="header25.xml" /><Relationship Id="rId51" Type="http://schemas.openxmlformats.org/officeDocument/2006/relationships/header" Target="header26.xml" /><Relationship Id="rId52" Type="http://schemas.openxmlformats.org/officeDocument/2006/relationships/footer" Target="footer23.xml" /><Relationship Id="rId53" Type="http://schemas.openxmlformats.org/officeDocument/2006/relationships/footer" Target="footer24.xml" /><Relationship Id="rId54" Type="http://schemas.openxmlformats.org/officeDocument/2006/relationships/hyperlink" Target="https://d.book118.com/437032142044006041" TargetMode="External" /><Relationship Id="rId55" Type="http://schemas.openxmlformats.org/officeDocument/2006/relationships/header" Target="header27.xml" /><Relationship Id="rId56" Type="http://schemas.openxmlformats.org/officeDocument/2006/relationships/header" Target="header28.xml" /><Relationship Id="rId57" Type="http://schemas.openxmlformats.org/officeDocument/2006/relationships/footer" Target="footer25.xml" /><Relationship Id="rId58" Type="http://schemas.openxmlformats.org/officeDocument/2006/relationships/footer" Target="footer26.xml" /><Relationship Id="rId59" Type="http://schemas.openxmlformats.org/officeDocument/2006/relationships/theme" Target="theme/theme1.xml" /><Relationship Id="rId6" Type="http://schemas.openxmlformats.org/officeDocument/2006/relationships/header" Target="header3.xml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header" Target="header4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河南省工程建设标准</dc:title>
  <dc:creator>微软用户</dc:creator>
  <cp:revision>0</cp:revision>
</cp:coreProperties>
</file>