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微合金粉末项目分析评价报告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2" w:history="1">
        <w:r>
          <w:rPr>
            <w:rFonts w:ascii="仿宋" w:eastAsia="仿宋" w:hAnsi="仿宋" w:cs="仿宋" w:hint="eastAsia"/>
            <w:lang w:eastAsia="zh-CN"/>
          </w:rPr>
          <w:t>一、微合金粉末企业战略的制定</w:t>
        </w:r>
        <w:r>
          <w:tab/>
        </w:r>
        <w:r>
          <w:fldChar w:fldCharType="begin"/>
        </w:r>
        <w:r>
          <w:instrText xml:space="preserve"> PAGEREF _Toc19562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(一)、微合金粉末企业战略的制定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7" w:history="1">
        <w:r>
          <w:rPr>
            <w:rFonts w:ascii="仿宋" w:eastAsia="仿宋" w:hAnsi="仿宋" w:cs="仿宋" w:hint="eastAsia"/>
            <w:lang w:eastAsia="zh-CN"/>
          </w:rPr>
          <w:t>二、微合金粉末行业行业产业链分析</w:t>
        </w:r>
        <w:r>
          <w:tab/>
        </w:r>
        <w:r>
          <w:fldChar w:fldCharType="begin"/>
        </w:r>
        <w:r>
          <w:instrText xml:space="preserve"> PAGEREF _Toc27617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6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_Toc7436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5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_Toc14125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3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_Toc21493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三、微合金粉末生产控制的概念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5" w:history="1">
        <w:r>
          <w:rPr>
            <w:rFonts w:ascii="仿宋" w:eastAsia="仿宋" w:hAnsi="仿宋" w:cs="仿宋" w:hint="eastAsia"/>
            <w:lang w:eastAsia="zh-CN"/>
          </w:rPr>
          <w:t>(一)、微合金粉末生产控制的概念</w:t>
        </w:r>
        <w:r>
          <w:tab/>
        </w:r>
        <w:r>
          <w:fldChar w:fldCharType="begin"/>
        </w:r>
        <w:r>
          <w:instrText xml:space="preserve"> PAGEREF _Toc22665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四、公司简介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8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_Toc23178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五、微合金粉末项目环境保护分析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9" w:history="1">
        <w:r>
          <w:rPr>
            <w:rFonts w:ascii="仿宋" w:eastAsia="仿宋" w:hAnsi="仿宋" w:cs="仿宋" w:hint="eastAsia"/>
            <w:lang w:eastAsia="zh-CN"/>
          </w:rPr>
          <w:t>(四)、微合金粉末项目建设对区域经济的影响</w:t>
        </w:r>
        <w:r>
          <w:tab/>
        </w:r>
        <w:r>
          <w:fldChar w:fldCharType="begin"/>
        </w:r>
        <w:r>
          <w:instrText xml:space="preserve"> PAGEREF _Toc13809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_Toc20097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七、背景、必要性分析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7" w:history="1">
        <w:r>
          <w:rPr>
            <w:rFonts w:ascii="仿宋" w:eastAsia="仿宋" w:hAnsi="仿宋" w:cs="仿宋" w:hint="eastAsia"/>
            <w:lang w:eastAsia="zh-CN"/>
          </w:rPr>
          <w:t>八、微合金粉末财务管理策略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(一)、微合金粉末财务管理原则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(二)、微合金粉末收入及成本核算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(三)、微合金粉末经济效益分析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0" w:history="1">
        <w:r>
          <w:rPr>
            <w:rFonts w:ascii="仿宋" w:eastAsia="仿宋" w:hAnsi="仿宋" w:cs="仿宋" w:hint="eastAsia"/>
            <w:lang w:eastAsia="zh-CN"/>
          </w:rPr>
          <w:t>(四)、微合金粉末利润及利润分配</w:t>
        </w:r>
        <w:r>
          <w:tab/>
        </w:r>
        <w:r>
          <w:fldChar w:fldCharType="begin"/>
        </w:r>
        <w:r>
          <w:instrText xml:space="preserve"> PAGEREF _Toc24400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(一)、微合金粉末项目背景分析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1" w:history="1">
        <w:r>
          <w:rPr>
            <w:rFonts w:ascii="仿宋" w:eastAsia="仿宋" w:hAnsi="仿宋" w:cs="仿宋" w:hint="eastAsia"/>
            <w:lang w:eastAsia="zh-CN"/>
          </w:rPr>
          <w:t>(二)、微合金粉末项目建设必要性分析</w:t>
        </w:r>
        <w:r>
          <w:tab/>
        </w:r>
        <w:r>
          <w:fldChar w:fldCharType="begin"/>
        </w:r>
        <w:r>
          <w:instrText xml:space="preserve"> PAGEREF _Toc3561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十、微合金粉末项目进展与里程碑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(一)、微合金粉末项目进展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4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_Toc15924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十一、选址方案评估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5" w:history="1">
        <w:r>
          <w:rPr>
            <w:rFonts w:ascii="仿宋" w:eastAsia="仿宋" w:hAnsi="仿宋" w:cs="仿宋" w:hint="eastAsia"/>
            <w:lang w:eastAsia="zh-CN"/>
          </w:rPr>
          <w:t>(一)、微合金粉末项目选址原则</w:t>
        </w:r>
        <w:r>
          <w:tab/>
        </w:r>
        <w:r>
          <w:fldChar w:fldCharType="begin"/>
        </w:r>
        <w:r>
          <w:instrText xml:space="preserve"> PAGEREF _Toc24785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(二)、微合金粉末项目选址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十二、第三十八章员工社交媒体管理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(一)、员工社交媒体政策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(二)、个人品牌与公司形象的关联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2" w:history="1">
        <w:r>
          <w:rPr>
            <w:rFonts w:ascii="仿宋" w:eastAsia="仿宋" w:hAnsi="仿宋" w:cs="仿宋" w:hint="eastAsia"/>
            <w:lang w:eastAsia="zh-CN"/>
          </w:rPr>
          <w:t>(三)、社交媒体使用准则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3" w:history="1">
        <w:r>
          <w:rPr>
            <w:rFonts w:ascii="仿宋" w:eastAsia="仿宋" w:hAnsi="仿宋" w:cs="仿宋" w:hint="eastAsia"/>
            <w:lang w:eastAsia="zh-CN"/>
          </w:rPr>
          <w:t>(四)、公司与员工互动</w:t>
        </w:r>
        <w:r>
          <w:tab/>
        </w:r>
        <w:r>
          <w:fldChar w:fldCharType="begin"/>
        </w:r>
        <w:r>
          <w:instrText xml:space="preserve"> PAGEREF _Toc18553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(五)、公司社交媒体账号管理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8" w:history="1">
        <w:r>
          <w:rPr>
            <w:rFonts w:ascii="仿宋" w:eastAsia="仿宋" w:hAnsi="仿宋" w:cs="仿宋" w:hint="eastAsia"/>
            <w:lang w:eastAsia="zh-CN"/>
          </w:rPr>
          <w:t>(六)、职业发展机会的分享与推广</w:t>
        </w:r>
        <w:r>
          <w:tab/>
        </w:r>
        <w:r>
          <w:fldChar w:fldCharType="begin"/>
        </w:r>
        <w:r>
          <w:instrText xml:space="preserve"> PAGEREF _Toc9008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十三、客户关系管理与市场拓展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十四、经济效益与社会效益优化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0" w:history="1">
        <w:r>
          <w:rPr>
            <w:rFonts w:ascii="仿宋" w:eastAsia="仿宋" w:hAnsi="仿宋" w:cs="仿宋" w:hint="eastAsia"/>
            <w:lang w:eastAsia="zh-CN"/>
          </w:rPr>
          <w:t>十五、环境可持续发展方案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6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_Toc17496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十六、管理团队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8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_Toc7588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_Toc393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8" w:history="1">
        <w:r>
          <w:rPr>
            <w:rFonts w:ascii="仿宋" w:eastAsia="仿宋" w:hAnsi="仿宋" w:cs="仿宋" w:hint="eastAsia"/>
            <w:lang w:eastAsia="zh-CN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_Toc31308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_Toc985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二十、微合金粉末数字化发展方案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6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_Toc15416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二十一、供应链管理与物流优化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_Toc17237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1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_Toc27461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62"/>
      <w:r>
        <w:rPr>
          <w:rFonts w:ascii="仿宋" w:eastAsia="仿宋" w:hAnsi="仿宋" w:cs="仿宋" w:hint="eastAsia"/>
          <w:sz w:val="28"/>
          <w:lang w:eastAsia="zh-CN"/>
        </w:rPr>
        <w:t>一、微合金粉末企业战略的制定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95"/>
      <w:r>
        <w:rPr>
          <w:rFonts w:ascii="仿宋" w:eastAsia="仿宋" w:hAnsi="仿宋" w:cs="仿宋" w:hint="eastAsia"/>
          <w:lang w:eastAsia="zh-CN"/>
        </w:rPr>
        <w:t>(一)、微合金粉末企业战略的制定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合金粉末企业策略规划是企业整体发展考虑，目标是为了实现企业使命和战略目标。要考虑行业变化趋势和竞争对手的行动，制定全面的企业战略。制定战略是一个决策过程，所以需要科学有序地管理战略制定的所有环节，才能制定出正确的经营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确立企业愿景、使命和战略目标是制定企业战略的首要任务。企业愿景是通过内部成员共同制定，形成共同努力的未来方向。每位员工都应该参与，以使愿景更有价值和竞争力。企业使命阐述了企业的根本性质和存在理由，为战略目标的确定提供基础。明确的使命有助于确立企业的经营主线，提高整体运行效率。企业战略目标是在一定时期内预期达到的理想成果，需要考虑盈利、服务、员工和社会责任等方面，符合社会道德标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https://d.book118.com/437101103165006045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微合金粉末项目分析评价报告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微合金粉末项目分析评价报告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微合金粉末项目分析评价报告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微合金粉末项目分析评价报告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微合金粉末项目分析评价报告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934BEB"/>
    <w:rsid w:val="0B934BE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7101103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2024-02-20T03:54:00Z</dcterms:created>
  <dcterms:modified xsi:type="dcterms:W3CDTF">2024-02-20T03:55:13Z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527392DBCD694944BC5578B559607DA4_11</vt:lpwstr>
  </property>
  <property fmtid="{D5CDD505-2E9C-101B-9397-08002B2CF9AE}" pid="3" name="KSOProductBuildVer">
    <vt:lpwstr>2052-12.1.0.16250</vt:lpwstr>
  </property>
</Properties>
</file>