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2018-2023年武汉船舶职业技术学院高职单招（数学／语文／英语）历年常考试题库含答案解析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北宋中叶的文坛领袖是（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D.梅尧臣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下面不是茅盾的著名短篇小说集的是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A.《春蚕》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B.《沉落集》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C.《泡沫》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D.《烟云集》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孟子《寡人之于国也》认为实行王道始于（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A.河内凶，则移其民于河东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B.谨庠序之教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D.填然鼓之，兵刃既接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提出“文章合为时而著，歌诗合为事而作”创作主张的诗人是（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欧阳修《五代史伶官传序》是一篇（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A.传记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下列语句中，论述“大同世界”特点的是（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A.各亲其亲，各子其子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C.刑仁讲让，示民有常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D.男有分，女有归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对这首词有关词句的理解不正确的一项是（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A.“断鸿”指快要断气的孤雁。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B.“江南游子”是作者自称。因作者早年在北方起义抗金，失败后南归，故以游子自称。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C.“无人会，登临意”指没人能理解作者登楼远眺时的心情。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D.“可惜流年，忧愁风雨”指时光飞逝，国势仍风雨飘摇，令人不胜忧愁。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《苦恼》《猎人笔记》《麦琪的礼物》的作者依次是（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A.屠格涅夫、欧·亨利、契诃夫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C.欧·亨利、契诃夫、屠格涅夫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D.契诃夫、欧·亨利、屠格涅夫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鲁迅用“史家之绝唱，无韵之《离骚》”赞美（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“人有悲欢离合，月有阴晴圆缺”这两句诗出自（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下列属于闻一多的作品是（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短篇小说《断魂枪》所描写的时代背景是（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A.古代社会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B.近代中国（辛亥革命前后）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https://d.book118.com/437103135156006044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3710313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