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 xml:space="preserve">ICS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65.150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 51</w:t>
      </w:r>
    </w:p>
    <w:p>
      <w:pPr>
        <w:pStyle w:val="Heading110"/>
        <w:keepNext/>
        <w:keepLines/>
        <w:widowControl w:val="0"/>
        <w:shd w:val="clear" w:color="auto" w:fill="auto"/>
        <w:bidi w:val="0"/>
        <w:spacing w:before="0" w:line="240" w:lineRule="auto"/>
        <w:ind w:left="0" w:firstLine="0"/>
        <w:jc w:val="right"/>
      </w:pPr>
      <w:bookmarkStart w:id="0" w:name="bookmark0"/>
      <w:bookmarkStart w:id="1" w:name="bookmark1"/>
      <w:bookmarkStart w:id="2" w:name="bookmark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DB35</w:t>
      </w:r>
      <w:bookmarkEnd w:id="0"/>
      <w:bookmarkEnd w:id="1"/>
      <w:bookmarkEnd w:id="2"/>
    </w:p>
    <w:p>
      <w:pPr>
        <w:pStyle w:val="Heading3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福 建 省 地 方 标 准</w:t>
      </w:r>
      <w:bookmarkEnd w:id="3"/>
      <w:bookmarkEnd w:id="4"/>
      <w:bookmarkEnd w:id="5"/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2900" w:line="240" w:lineRule="auto"/>
        <w:ind w:left="0" w:right="260" w:firstLine="0"/>
        <w:jc w:val="right"/>
        <w:rPr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DB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35/T 1438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2014</w:t>
      </w:r>
    </w:p>
    <w:p>
      <w:pPr>
        <w:pStyle w:val="Heading2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杂色鲍养殖技术规范</w:t>
      </w:r>
      <w:bookmarkEnd w:id="6"/>
      <w:bookmarkEnd w:id="7"/>
      <w:bookmarkEnd w:id="8"/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642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Code for aquaculture of small abalone</w:t>
      </w:r>
    </w:p>
    <w:p>
      <w:pPr>
        <w:pStyle w:val="Bodytext30"/>
        <w:keepNext w:val="0"/>
        <w:keepLines w:val="0"/>
        <w:widowControl w:val="0"/>
        <w:shd w:val="clear" w:color="auto" w:fill="auto"/>
        <w:tabs>
          <w:tab w:val="left" w:pos="7637"/>
        </w:tabs>
        <w:bidi w:val="0"/>
        <w:spacing w:before="0" w:after="800" w:line="240" w:lineRule="auto"/>
        <w:ind w:left="0" w:right="0" w:firstLine="0"/>
        <w:jc w:val="left"/>
        <w:rPr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u w:val="single"/>
          <w:lang w:val="en-US" w:eastAsia="en-US" w:bidi="en-US"/>
        </w:rPr>
        <w:t xml:space="preserve">2014-05-21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6"/>
          <w:szCs w:val="26"/>
          <w:u w:val="single"/>
          <w:lang w:val="zh-TW" w:eastAsia="zh-TW" w:bidi="zh-TW"/>
        </w:rPr>
        <w:t>发布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u w:val="single"/>
          <w:lang w:val="en-US" w:eastAsia="en-US" w:bidi="en-US"/>
        </w:rPr>
        <w:t xml:space="preserve">2014-08-21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6"/>
          <w:szCs w:val="26"/>
          <w:u w:val="single"/>
          <w:lang w:val="zh-TW" w:eastAsia="zh-TW" w:bidi="zh-TW"/>
        </w:rPr>
        <w:t>实施</w:t>
      </w:r>
    </w:p>
    <w:p>
      <w:pPr>
        <w:pStyle w:val="Bodytext5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sectPr>
          <w:pgSz w:w="11900" w:h="16840"/>
          <w:pgMar w:top="582" w:right="796" w:bottom="582" w:left="1380" w:header="154" w:footer="154" w:gutter="0"/>
          <w:pgNumType w:start="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福建省质量技术监督局 发布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960" w:line="240" w:lineRule="auto"/>
        <w:ind w:left="0" w:right="0" w:firstLine="0"/>
        <w:jc w:val="righ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DB35/T 1438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2014</w:t>
      </w:r>
    </w:p>
    <w:p>
      <w:pPr>
        <w:pStyle w:val="Heading4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9" w:name="bookmark10"/>
      <w:bookmarkStart w:id="10" w:name="bookmark11"/>
      <w:bookmarkStart w:id="11" w:name="bookmark9"/>
      <w:r>
        <w:rPr>
          <w:color w:val="000000"/>
          <w:spacing w:val="0"/>
          <w:w w:val="100"/>
          <w:position w:val="0"/>
        </w:rPr>
        <w:t>目 次</w:t>
      </w:r>
      <w:bookmarkEnd w:id="9"/>
      <w:bookmarkEnd w:id="10"/>
      <w:bookmarkEnd w:id="11"/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24"/>
        </w:tabs>
        <w:bidi w:val="0"/>
        <w:spacing w:before="0" w:after="140" w:line="240" w:lineRule="auto"/>
        <w:ind w:left="0" w:right="0" w:firstLine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</w:rPr>
        <w:t>前言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II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24"/>
        </w:tabs>
        <w:bidi w:val="0"/>
        <w:spacing w:before="0" w:after="1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1 范围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1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24"/>
        </w:tabs>
        <w:bidi w:val="0"/>
        <w:spacing w:before="0" w:after="1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2规范性引用文件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1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24"/>
        </w:tabs>
        <w:bidi w:val="0"/>
        <w:spacing w:before="0" w:after="1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3环境条件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1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24"/>
        </w:tabs>
        <w:bidi w:val="0"/>
        <w:spacing w:before="0" w:after="1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4苗种培育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1</w:t>
      </w:r>
    </w:p>
    <w:p>
      <w:pPr>
        <w:pStyle w:val="Tableofcontents10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554"/>
          <w:tab w:val="right" w:leader="dot" w:pos="9224"/>
        </w:tabs>
        <w:bidi w:val="0"/>
        <w:spacing w:before="0" w:after="80" w:line="240" w:lineRule="auto"/>
        <w:ind w:left="0" w:right="0"/>
        <w:jc w:val="both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1场地选择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1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24"/>
        </w:tabs>
        <w:bidi w:val="0"/>
        <w:spacing w:before="0" w:after="8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>4.2</w:t>
      </w:r>
      <w:r>
        <w:rPr>
          <w:color w:val="000000"/>
          <w:spacing w:val="0"/>
          <w:w w:val="100"/>
          <w:position w:val="0"/>
        </w:rPr>
        <w:t>育苗设施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1</w:t>
      </w:r>
    </w:p>
    <w:p>
      <w:pPr>
        <w:pStyle w:val="Tableofcontents1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554"/>
          <w:tab w:val="right" w:leader="dot" w:pos="9224"/>
        </w:tabs>
        <w:bidi w:val="0"/>
        <w:spacing w:before="0" w:after="80" w:line="240" w:lineRule="auto"/>
        <w:ind w:left="0" w:right="0"/>
        <w:jc w:val="both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3亲鲍培育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2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24"/>
        </w:tabs>
        <w:bidi w:val="0"/>
        <w:spacing w:before="0" w:after="8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4.4 </w:t>
      </w:r>
      <w:r>
        <w:rPr>
          <w:color w:val="000000"/>
          <w:spacing w:val="0"/>
          <w:w w:val="100"/>
          <w:position w:val="0"/>
        </w:rPr>
        <w:t>催产与授精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2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24"/>
        </w:tabs>
        <w:bidi w:val="0"/>
        <w:spacing w:before="0" w:after="8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>4.5</w:t>
      </w:r>
      <w:r>
        <w:rPr>
          <w:color w:val="000000"/>
          <w:spacing w:val="0"/>
          <w:w w:val="100"/>
          <w:position w:val="0"/>
        </w:rPr>
        <w:t>幼体培育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3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24"/>
        </w:tabs>
        <w:bidi w:val="0"/>
        <w:spacing w:before="0" w:after="8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4. </w:t>
      </w:r>
      <w:r>
        <w:rPr>
          <w:color w:val="000000"/>
          <w:spacing w:val="0"/>
          <w:w w:val="100"/>
          <w:position w:val="0"/>
        </w:rPr>
        <w:t>6 稚贝剥离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3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24"/>
        </w:tabs>
        <w:bidi w:val="0"/>
        <w:spacing w:before="0" w:after="8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>4.7</w:t>
      </w:r>
      <w:r>
        <w:rPr>
          <w:color w:val="000000"/>
          <w:spacing w:val="0"/>
          <w:w w:val="100"/>
          <w:position w:val="0"/>
        </w:rPr>
        <w:t>中间培育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3</w:t>
      </w:r>
    </w:p>
    <w:p>
      <w:pPr>
        <w:pStyle w:val="Tableofcontents1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554"/>
          <w:tab w:val="right" w:leader="dot" w:pos="9224"/>
        </w:tabs>
        <w:bidi w:val="0"/>
        <w:spacing w:before="0" w:after="140" w:line="240" w:lineRule="auto"/>
        <w:ind w:left="0" w:right="0"/>
        <w:jc w:val="both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8 出池与运输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4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24"/>
        </w:tabs>
        <w:bidi w:val="0"/>
        <w:spacing w:before="0" w:after="1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5成鲍养殖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4</w:t>
      </w:r>
    </w:p>
    <w:p>
      <w:pPr>
        <w:pStyle w:val="Tableofcontents1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554"/>
          <w:tab w:val="right" w:leader="dot" w:pos="9224"/>
        </w:tabs>
        <w:bidi w:val="0"/>
        <w:spacing w:before="0" w:after="80" w:line="240" w:lineRule="auto"/>
        <w:ind w:left="0" w:right="0"/>
        <w:jc w:val="both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>1 陆基水泥池养殖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4</w:t>
      </w:r>
    </w:p>
    <w:p>
      <w:pPr>
        <w:pStyle w:val="Tableofcontents1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550"/>
          <w:tab w:val="right" w:leader="dot" w:pos="9224"/>
        </w:tabs>
        <w:bidi w:val="0"/>
        <w:spacing w:before="0" w:after="80" w:line="240" w:lineRule="auto"/>
        <w:ind w:left="0" w:right="0"/>
        <w:jc w:val="both"/>
      </w:pPr>
      <w:bookmarkStart w:id="16" w:name="bookmark16"/>
      <w:bookmarkEnd w:id="16"/>
      <w:r>
        <w:rPr>
          <w:color w:val="000000"/>
          <w:spacing w:val="0"/>
          <w:w w:val="100"/>
          <w:position w:val="0"/>
        </w:rPr>
        <w:t>2浅海筏架式养殖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5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24"/>
        </w:tabs>
        <w:bidi w:val="0"/>
        <w:spacing w:before="0" w:after="14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5.3 </w:t>
      </w:r>
      <w:r>
        <w:rPr>
          <w:color w:val="000000"/>
          <w:spacing w:val="0"/>
          <w:w w:val="100"/>
          <w:position w:val="0"/>
        </w:rPr>
        <w:t>收获与运输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6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24"/>
        </w:tabs>
        <w:bidi w:val="0"/>
        <w:spacing w:before="0" w:after="140" w:line="240" w:lineRule="auto"/>
        <w:ind w:left="0" w:right="0" w:firstLine="0"/>
        <w:jc w:val="both"/>
        <w:sectPr>
          <w:footerReference w:type="even" r:id="rId4"/>
          <w:footerReference w:type="default" r:id="rId5"/>
          <w:pgSz w:w="11900" w:h="16840"/>
          <w:pgMar w:top="1417" w:right="1213" w:bottom="1417" w:left="1395" w:header="989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6病害防治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6</w:t>
      </w:r>
      <w:r>
        <w:fldChar w:fldCharType="end"/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60" w:line="33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本标准按</w:t>
      </w:r>
      <w:r>
        <w:rPr>
          <w:color w:val="000000"/>
          <w:spacing w:val="0"/>
          <w:w w:val="100"/>
          <w:position w:val="0"/>
          <w:lang w:val="en-US" w:eastAsia="en-US" w:bidi="en-US"/>
        </w:rPr>
        <w:t>GB/T 1.1-2009</w:t>
      </w:r>
      <w:r>
        <w:rPr>
          <w:color w:val="000000"/>
          <w:spacing w:val="0"/>
          <w:w w:val="100"/>
          <w:position w:val="0"/>
        </w:rPr>
        <w:t>《标准化工作导则第1部分：标准的结构和编写》给出的规则编写。 本标准由福建省海洋与渔业厅提出并归口。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本标准起草单位：厦门大学海洋与地球学院。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  <w:sectPr>
          <w:headerReference w:type="even" r:id="rId6"/>
          <w:headerReference w:type="default" r:id="rId7"/>
          <w:footerReference w:type="even" r:id="rId8"/>
          <w:footerReference w:type="default" r:id="rId9"/>
          <w:pgSz w:w="11900" w:h="16840"/>
          <w:pgMar w:top="3663" w:right="1558" w:bottom="3663" w:left="1529" w:header="0" w:footer="3235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本标准主要起草人：柯才焕、游伟伟、骆轩、王德祥、虞晋晋。</w:t>
      </w:r>
    </w:p>
    <w:p>
      <w:pPr>
        <w:pStyle w:val="Heading410"/>
        <w:keepNext/>
        <w:keepLines/>
        <w:widowControl w:val="0"/>
        <w:shd w:val="clear" w:color="auto" w:fill="auto"/>
        <w:bidi w:val="0"/>
        <w:spacing w:before="660" w:after="540" w:line="240" w:lineRule="auto"/>
        <w:ind w:left="0" w:right="0" w:firstLine="0"/>
        <w:jc w:val="center"/>
      </w:pPr>
      <w:bookmarkStart w:id="17" w:name="bookmark17"/>
      <w:bookmarkStart w:id="18" w:name="bookmark18"/>
      <w:bookmarkStart w:id="19" w:name="bookmark19"/>
      <w:r>
        <w:rPr>
          <w:color w:val="000000"/>
          <w:spacing w:val="0"/>
          <w:w w:val="100"/>
          <w:position w:val="0"/>
        </w:rPr>
        <w:t>杂色鲍养殖技术规范</w:t>
      </w:r>
      <w:bookmarkEnd w:id="17"/>
      <w:bookmarkEnd w:id="18"/>
      <w:bookmarkEnd w:id="19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60" w:line="331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1</w:t>
      </w:r>
      <w:r>
        <w:rPr>
          <w:color w:val="000000"/>
          <w:spacing w:val="0"/>
          <w:w w:val="100"/>
          <w:position w:val="0"/>
        </w:rPr>
        <w:t>范围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31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本标准规定了杂色鲍(</w:t>
      </w:r>
      <w:r>
        <w:rPr>
          <w:i/>
          <w:iCs/>
          <w:color w:val="000000"/>
          <w:spacing w:val="0"/>
          <w:w w:val="100"/>
          <w:position w:val="0"/>
          <w:lang w:val="en-US" w:eastAsia="en-US" w:bidi="en-US"/>
        </w:rPr>
        <w:t>Haliotis diversicolor)</w:t>
      </w:r>
      <w:r>
        <w:rPr>
          <w:color w:val="000000"/>
          <w:spacing w:val="0"/>
          <w:w w:val="100"/>
          <w:position w:val="0"/>
        </w:rPr>
        <w:t>养殖的环境条件、苗种繁育、成鲍养殖和病害防 治等内容。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620" w:line="331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本标准适用于福建省杂色鲍的苗种繁育及养成。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307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2</w:t>
      </w:r>
      <w:r>
        <w:rPr>
          <w:color w:val="000000"/>
          <w:spacing w:val="0"/>
          <w:w w:val="100"/>
          <w:position w:val="0"/>
        </w:rPr>
        <w:t>规范性引用文件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下列文件对于本文件的应用是必不可少的。凡是注日期的引用文件，仅注日期的版本适用于本文件。 凡是不注日期的引用文件，其最新版本(包括所有的修改单)适用于本文件。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 </w:t>
      </w:r>
      <w:r>
        <w:rPr>
          <w:color w:val="000000"/>
          <w:spacing w:val="0"/>
          <w:w w:val="100"/>
          <w:position w:val="0"/>
        </w:rPr>
        <w:t>3097海水水质标准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 </w:t>
      </w:r>
      <w:r>
        <w:rPr>
          <w:color w:val="000000"/>
          <w:spacing w:val="0"/>
          <w:w w:val="100"/>
          <w:position w:val="0"/>
        </w:rPr>
        <w:t>13078饲料卫生标准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NY </w:t>
      </w:r>
      <w:r>
        <w:rPr>
          <w:color w:val="000000"/>
          <w:spacing w:val="0"/>
          <w:w w:val="100"/>
          <w:position w:val="0"/>
        </w:rPr>
        <w:t>5052无公害食品海水养殖用水水质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NY </w:t>
      </w:r>
      <w:r>
        <w:rPr>
          <w:color w:val="000000"/>
          <w:spacing w:val="0"/>
          <w:w w:val="100"/>
          <w:position w:val="0"/>
        </w:rPr>
        <w:t>5071无公害食品渔用药物使用准则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NY </w:t>
      </w:r>
      <w:r>
        <w:rPr>
          <w:color w:val="000000"/>
          <w:spacing w:val="0"/>
          <w:w w:val="100"/>
          <w:position w:val="0"/>
        </w:rPr>
        <w:t>5072无公害食品渔用配合饲料安全限量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620" w:line="307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>DB35/T 771-2007</w:t>
      </w:r>
      <w:r>
        <w:rPr>
          <w:color w:val="000000"/>
          <w:spacing w:val="0"/>
          <w:w w:val="100"/>
          <w:position w:val="0"/>
        </w:rPr>
        <w:t>鲍浅海筏架式养殖技术规范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60" w:line="31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3</w:t>
      </w:r>
      <w:r>
        <w:rPr>
          <w:color w:val="000000"/>
          <w:spacing w:val="0"/>
          <w:w w:val="100"/>
          <w:position w:val="0"/>
        </w:rPr>
        <w:t>环境条件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00" w:line="312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水源水质应符合</w:t>
      </w:r>
      <w:r>
        <w:rPr>
          <w:color w:val="292C31"/>
          <w:spacing w:val="0"/>
          <w:w w:val="100"/>
          <w:position w:val="0"/>
          <w:lang w:val="en-US" w:eastAsia="en-US" w:bidi="en-US"/>
        </w:rPr>
        <w:t xml:space="preserve">GB </w:t>
      </w:r>
      <w:r>
        <w:rPr>
          <w:color w:val="000000"/>
          <w:spacing w:val="0"/>
          <w:w w:val="100"/>
          <w:position w:val="0"/>
        </w:rPr>
        <w:t>3097和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NY </w:t>
      </w:r>
      <w:r>
        <w:rPr>
          <w:color w:val="000000"/>
          <w:spacing w:val="0"/>
          <w:w w:val="100"/>
          <w:position w:val="0"/>
        </w:rPr>
        <w:t xml:space="preserve">5052的规定，盐度不低于28,温度不低于10 </w:t>
      </w:r>
      <w:r>
        <w:rPr>
          <w:color w:val="000000"/>
          <w:spacing w:val="0"/>
          <w:w w:val="100"/>
          <w:position w:val="0"/>
          <w:lang w:val="en-US" w:eastAsia="en-US" w:bidi="en-US"/>
        </w:rPr>
        <w:t>°C,</w:t>
      </w:r>
      <w:r>
        <w:rPr>
          <w:color w:val="000000"/>
          <w:spacing w:val="0"/>
          <w:w w:val="100"/>
          <w:position w:val="0"/>
        </w:rPr>
        <w:t xml:space="preserve">最高不超过32 </w:t>
      </w:r>
      <w:r>
        <w:rPr>
          <w:color w:val="000000"/>
          <w:spacing w:val="0"/>
          <w:w w:val="100"/>
          <w:position w:val="0"/>
          <w:lang w:val="en-US" w:eastAsia="en-US" w:bidi="en-US"/>
        </w:rPr>
        <w:t>°C, pH</w:t>
      </w:r>
      <w:r>
        <w:rPr>
          <w:color w:val="000000"/>
          <w:spacing w:val="0"/>
          <w:w w:val="100"/>
          <w:position w:val="0"/>
        </w:rPr>
        <w:t>值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7. 9-8. </w:t>
      </w:r>
      <w:r>
        <w:rPr>
          <w:color w:val="000000"/>
          <w:spacing w:val="0"/>
          <w:w w:val="100"/>
          <w:position w:val="0"/>
        </w:rPr>
        <w:t>4,溶解</w:t>
      </w:r>
      <w:r>
        <w:rPr>
          <w:color w:val="292C31"/>
          <w:spacing w:val="0"/>
          <w:w w:val="100"/>
          <w:position w:val="0"/>
        </w:rPr>
        <w:t>险于或</w:t>
      </w:r>
      <w:r>
        <w:rPr>
          <w:color w:val="C6D4E7"/>
          <w:spacing w:val="0"/>
          <w:w w:val="100"/>
          <w:position w:val="0"/>
        </w:rPr>
        <w:t>雙于</w:t>
      </w:r>
      <w:r>
        <w:rPr>
          <w:color w:val="000000"/>
          <w:spacing w:val="0"/>
          <w:w w:val="100"/>
          <w:position w:val="0"/>
        </w:rPr>
        <w:t xml:space="preserve">5 </w:t>
      </w:r>
      <w:r>
        <w:rPr>
          <w:color w:val="000000"/>
          <w:spacing w:val="0"/>
          <w:w w:val="100"/>
          <w:position w:val="0"/>
          <w:lang w:val="en-US" w:eastAsia="en-US" w:bidi="en-US"/>
        </w:rPr>
        <w:t>mg/L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o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400" w:line="31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4</w:t>
      </w:r>
      <w:r>
        <w:rPr>
          <w:color w:val="000000"/>
          <w:spacing w:val="0"/>
          <w:w w:val="100"/>
          <w:position w:val="0"/>
        </w:rPr>
        <w:t>苗种培育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line="346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1</w:t>
      </w:r>
      <w:r>
        <w:rPr>
          <w:color w:val="000000"/>
          <w:spacing w:val="0"/>
          <w:w w:val="100"/>
          <w:position w:val="0"/>
        </w:rPr>
        <w:t>场地选择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46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>4.1.1</w:t>
      </w:r>
      <w:r>
        <w:rPr>
          <w:color w:val="000000"/>
          <w:spacing w:val="0"/>
          <w:w w:val="100"/>
          <w:position w:val="0"/>
        </w:rPr>
        <w:t>环境良好，海水盐度稳定，周围无污染源，水源充足，</w:t>
      </w:r>
      <w:r>
        <w:rPr>
          <w:color w:val="6A7583"/>
          <w:spacing w:val="0"/>
          <w:w w:val="100"/>
          <w:position w:val="0"/>
        </w:rPr>
        <w:t>且</w:t>
      </w:r>
      <w:r>
        <w:rPr>
          <w:color w:val="292C31"/>
          <w:spacing w:val="0"/>
          <w:w w:val="100"/>
          <w:position w:val="0"/>
        </w:rPr>
        <w:t>进出水</w:t>
      </w:r>
      <w:r>
        <w:rPr>
          <w:color w:val="000000"/>
          <w:spacing w:val="0"/>
          <w:w w:val="100"/>
          <w:position w:val="0"/>
        </w:rPr>
        <w:t>通畅。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line="346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>4.1.2</w:t>
      </w:r>
      <w:r>
        <w:rPr>
          <w:color w:val="000000"/>
          <w:spacing w:val="0"/>
          <w:w w:val="100"/>
          <w:position w:val="0"/>
        </w:rPr>
        <w:t>交通、通讯便利，电力供应充足。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line="346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>4.2</w:t>
      </w:r>
      <w:r>
        <w:rPr>
          <w:color w:val="000000"/>
          <w:spacing w:val="0"/>
          <w:w w:val="100"/>
          <w:position w:val="0"/>
        </w:rPr>
        <w:t>育苗设施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60" w:line="346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>4.2.1</w:t>
      </w:r>
      <w:r>
        <w:rPr>
          <w:color w:val="000000"/>
          <w:spacing w:val="0"/>
          <w:w w:val="100"/>
          <w:position w:val="0"/>
        </w:rPr>
        <w:t>供排水系统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60" w:line="317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>4.2.1.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1</w:t>
      </w:r>
      <w:r>
        <w:rPr>
          <w:color w:val="000000"/>
          <w:spacing w:val="0"/>
          <w:w w:val="100"/>
          <w:position w:val="0"/>
        </w:rPr>
        <w:t>生产区应配备独立完善的供排水系统；供水系统包括抽水设备、沉淀池、过滤池及过滤设备、 贮水池及相应管道。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46" w:lineRule="auto"/>
        <w:ind w:left="0" w:right="0" w:firstLine="0"/>
        <w:jc w:val="left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0" w:h="16840"/>
          <w:pgMar w:top="1969" w:right="1184" w:bottom="1571" w:left="1212" w:header="0" w:footer="3" w:gutter="0"/>
          <w:pgNumType w:start="7"/>
          <w:cols w:space="720"/>
          <w:noEndnote/>
          <w:titlePg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>4.2.1.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2</w:t>
      </w:r>
      <w:r>
        <w:rPr>
          <w:color w:val="000000"/>
          <w:spacing w:val="0"/>
          <w:w w:val="100"/>
          <w:position w:val="0"/>
        </w:rPr>
        <w:t>抽水设备的提水能力、沉淀池、蓄水池的纳水量等应与育苗设施的用水量相适应。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20" w:line="346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>4.2. 1.3</w:t>
      </w:r>
      <w:r>
        <w:rPr>
          <w:color w:val="000000"/>
          <w:spacing w:val="0"/>
          <w:w w:val="100"/>
          <w:position w:val="0"/>
        </w:rPr>
        <w:t>宜增设水处理设备，包括泡沫分离器、微滤机、生物过滤器、水质净化机等。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40" w:line="322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zh-CN" w:eastAsia="zh-CN" w:bidi="zh-CN"/>
        </w:rPr>
        <w:t>4.2.1.4</w:t>
      </w:r>
      <w:r>
        <w:rPr>
          <w:color w:val="000000"/>
          <w:spacing w:val="0"/>
          <w:w w:val="100"/>
          <w:position w:val="0"/>
        </w:rPr>
        <w:t>排水系统分溢水管道和排污管道，前者设于池深</w:t>
      </w:r>
      <w:r>
        <w:rPr>
          <w:color w:val="000000"/>
          <w:spacing w:val="0"/>
          <w:w w:val="100"/>
          <w:position w:val="0"/>
          <w:lang w:val="zh-CN" w:eastAsia="zh-CN" w:bidi="zh-CN"/>
        </w:rPr>
        <w:t>1/2</w:t>
      </w:r>
      <w:r>
        <w:rPr>
          <w:color w:val="000000"/>
          <w:spacing w:val="0"/>
          <w:w w:val="100"/>
          <w:position w:val="0"/>
        </w:rPr>
        <w:t>高度处；后者设于池底，与排污管道联 通，用于排污水。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60" w:line="343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>4.2.2</w:t>
      </w:r>
      <w:r>
        <w:rPr>
          <w:color w:val="000000"/>
          <w:spacing w:val="0"/>
          <w:w w:val="100"/>
          <w:position w:val="0"/>
        </w:rPr>
        <w:t>供气系统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40" w:line="312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应配备提供足够气量的气泵以及相应的气管、气石等；宜配备制氧机等设备。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60" w:line="343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>4.2.3</w:t>
      </w:r>
      <w:r>
        <w:rPr>
          <w:color w:val="000000"/>
          <w:spacing w:val="0"/>
          <w:w w:val="100"/>
          <w:position w:val="0"/>
        </w:rPr>
        <w:t>温控系统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40" w:line="312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应配建供热、供冷及相应的管道等控温设备。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60" w:line="343" w:lineRule="auto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>4.2.4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育苗室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40" w:line="312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 xml:space="preserve">4. 2.4.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zh-TW" w:eastAsia="zh-TW" w:bidi="zh-TW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亲鲍培育池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line="31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 xml:space="preserve">面积以10 </w:t>
      </w:r>
      <w:r>
        <w:rPr>
          <w:color w:val="000000"/>
          <w:spacing w:val="0"/>
          <w:w w:val="100"/>
          <w:position w:val="0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lang w:val="en-US" w:eastAsia="en-US" w:bidi="en-US"/>
        </w:rPr>
        <w:t>~20 m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</w:rPr>
        <w:t>长方形池为宜，也可直接利用养成池。池底向排水口一端倾斜，坡度1：50。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40" w:line="312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 xml:space="preserve">4. 2. 4.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zh-TW" w:eastAsia="zh-TW" w:bidi="zh-TW"/>
        </w:rPr>
        <w:t xml:space="preserve">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催产室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line="312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根据育苗室规模配备相应的亲鲍阴干及催产水泥台、紫外线照射水池及不同规格的催产用容器，并 设显微观察室。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40" w:line="312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zh-TW" w:eastAsia="zh-TW" w:bidi="zh-TW"/>
        </w:rPr>
        <w:t xml:space="preserve">4.2.4.3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育苗池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40" w:line="31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 xml:space="preserve">面积以20 </w:t>
      </w:r>
      <w:r>
        <w:rPr>
          <w:color w:val="000000"/>
          <w:spacing w:val="0"/>
          <w:w w:val="100"/>
          <w:position w:val="0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</w:rPr>
        <w:t>的长方形池为宜，池底向排水口端倾斜，坡度1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.5： </w:t>
      </w:r>
      <w:r>
        <w:rPr>
          <w:color w:val="000000"/>
          <w:spacing w:val="0"/>
          <w:w w:val="100"/>
          <w:position w:val="0"/>
        </w:rPr>
        <w:t>100,室外池顶应搭盖黑色遮阳网。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60" w:line="343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>4.3</w:t>
      </w:r>
      <w:r>
        <w:rPr>
          <w:color w:val="000000"/>
          <w:spacing w:val="0"/>
          <w:w w:val="100"/>
          <w:position w:val="0"/>
        </w:rPr>
        <w:t>亲鲍培育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40" w:line="312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 xml:space="preserve">4. 3.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zh-TW" w:eastAsia="zh-TW" w:bidi="zh-TW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亲鲍选择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line="317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 xml:space="preserve">选择壳体完整，腹足吸力强，软体部丰满，且壳长6 </w:t>
      </w:r>
      <w:r>
        <w:rPr>
          <w:color w:val="000000"/>
          <w:spacing w:val="0"/>
          <w:w w:val="100"/>
          <w:position w:val="0"/>
          <w:lang w:val="en-US" w:eastAsia="en-US" w:bidi="en-US"/>
        </w:rPr>
        <w:t>cm</w:t>
      </w:r>
      <w:r>
        <w:rPr>
          <w:color w:val="000000"/>
          <w:spacing w:val="0"/>
          <w:w w:val="100"/>
          <w:position w:val="0"/>
        </w:rPr>
        <w:t xml:space="preserve">以上，个体重量25 </w:t>
      </w:r>
      <w:r>
        <w:rPr>
          <w:color w:val="000000"/>
          <w:spacing w:val="0"/>
          <w:w w:val="100"/>
          <w:position w:val="0"/>
          <w:lang w:val="en-US" w:eastAsia="en-US" w:bidi="en-US"/>
        </w:rPr>
        <w:t>g</w:t>
      </w:r>
      <w:r>
        <w:rPr>
          <w:color w:val="000000"/>
          <w:spacing w:val="0"/>
          <w:w w:val="100"/>
          <w:position w:val="0"/>
        </w:rPr>
        <w:t>以上者作为亲鲍。角状 体膨大且应覆盖肝脏大部分外表，腹部朝上时，膨大的角状体</w:t>
      </w:r>
      <w:r>
        <w:rPr>
          <w:color w:val="000000"/>
          <w:spacing w:val="0"/>
          <w:w w:val="100"/>
          <w:position w:val="0"/>
          <w:lang w:val="en-US" w:eastAsia="en-US" w:bidi="en-US"/>
        </w:rPr>
        <w:t>1/4-1/3</w:t>
      </w:r>
      <w:r>
        <w:rPr>
          <w:color w:val="000000"/>
          <w:spacing w:val="0"/>
          <w:w w:val="100"/>
          <w:position w:val="0"/>
        </w:rPr>
        <w:t>应高出壳缘水平线之上。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40" w:line="312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 xml:space="preserve">4. 3.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zh-TW" w:eastAsia="zh-TW" w:bidi="zh-TW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亲鲍促熟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40" w:line="312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 xml:space="preserve">4.3.2.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zh-TW" w:eastAsia="zh-TW" w:bidi="zh-TW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培育条件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line="312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 xml:space="preserve">光照强度控制在2000 </w:t>
      </w:r>
      <w:r>
        <w:rPr>
          <w:color w:val="000000"/>
          <w:spacing w:val="0"/>
          <w:w w:val="100"/>
          <w:position w:val="0"/>
          <w:lang w:val="en-US" w:eastAsia="en-US" w:bidi="en-US"/>
        </w:rPr>
        <w:t>lx</w:t>
      </w:r>
      <w:r>
        <w:rPr>
          <w:color w:val="000000"/>
          <w:spacing w:val="0"/>
          <w:w w:val="100"/>
          <w:position w:val="0"/>
        </w:rPr>
        <w:t>以下。</w:t>
      </w:r>
      <w:r>
        <w:rPr>
          <w:color w:val="292C31"/>
          <w:spacing w:val="0"/>
          <w:w w:val="100"/>
          <w:position w:val="0"/>
        </w:rPr>
        <w:t>日水交</w:t>
      </w:r>
      <w:r>
        <w:rPr>
          <w:color w:val="000000"/>
          <w:spacing w:val="0"/>
          <w:w w:val="100"/>
          <w:position w:val="0"/>
        </w:rPr>
        <w:t xml:space="preserve">换量：冬、春季不少于培养水体量的5倍〜6倍，夏季应达6 倍〜10倍。控温培育，积温达到800 </w:t>
      </w:r>
      <w:r>
        <w:rPr>
          <w:color w:val="292C31"/>
          <w:spacing w:val="0"/>
          <w:w w:val="100"/>
          <w:position w:val="0"/>
          <w:lang w:val="en-US" w:eastAsia="en-US" w:bidi="en-US"/>
        </w:rPr>
        <w:t xml:space="preserve">°C-d~ </w:t>
      </w:r>
      <w:r>
        <w:rPr>
          <w:color w:val="6A7583"/>
          <w:spacing w:val="0"/>
          <w:w w:val="100"/>
          <w:position w:val="0"/>
        </w:rPr>
        <w:t xml:space="preserve">1500 </w:t>
      </w:r>
      <w:r>
        <w:rPr>
          <w:color w:val="292C31"/>
          <w:spacing w:val="0"/>
          <w:w w:val="100"/>
          <w:position w:val="0"/>
          <w:lang w:val="en-US" w:eastAsia="en-US" w:bidi="en-US"/>
        </w:rPr>
        <w:t>°C</w:t>
      </w:r>
      <w:r>
        <w:rPr>
          <w:color w:val="000000"/>
          <w:spacing w:val="0"/>
          <w:w w:val="100"/>
          <w:position w:val="0"/>
          <w:lang w:val="en-US" w:eastAsia="en-US" w:bidi="en-US"/>
        </w:rPr>
        <w:t>-do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40" w:line="312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 xml:space="preserve">4. 3. 2.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zh-TW" w:eastAsia="zh-TW" w:bidi="zh-TW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培育密度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line="312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 xml:space="preserve">雌雄分养。可使用40 </w:t>
      </w:r>
      <w:r>
        <w:rPr>
          <w:color w:val="000000"/>
          <w:spacing w:val="0"/>
          <w:w w:val="100"/>
          <w:position w:val="0"/>
          <w:lang w:val="en-US" w:eastAsia="en-US" w:bidi="en-US"/>
        </w:rPr>
        <w:t>cmx30 cmxlO cm</w:t>
      </w:r>
      <w:r>
        <w:rPr>
          <w:color w:val="000000"/>
          <w:spacing w:val="0"/>
          <w:w w:val="100"/>
          <w:position w:val="0"/>
        </w:rPr>
        <w:t>的黑色塑料养殖笼，培育密度控制在10个/笼左右。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40" w:line="312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 xml:space="preserve">4. 3. 2.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zh-TW" w:eastAsia="zh-TW" w:bidi="zh-TW"/>
        </w:rPr>
        <w:t xml:space="preserve">3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饲喂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40" w:line="302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饲料宜新鲜及多样化，可混合使用江篱、龙须菜和海带等。夏季保持每</w:t>
      </w:r>
      <w:r>
        <w:rPr>
          <w:color w:val="292C31"/>
          <w:spacing w:val="0"/>
          <w:w w:val="100"/>
          <w:position w:val="0"/>
        </w:rPr>
        <w:t>两天清</w:t>
      </w:r>
      <w:r>
        <w:rPr>
          <w:color w:val="000000"/>
          <w:spacing w:val="0"/>
          <w:w w:val="100"/>
          <w:position w:val="0"/>
        </w:rPr>
        <w:t>池投喂一次。每次投 饲量掌握在亲鲍体重的15%〜25%,视残饵情况增减调节。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line="343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>4.4</w:t>
      </w:r>
      <w:r>
        <w:rPr>
          <w:color w:val="000000"/>
          <w:spacing w:val="0"/>
          <w:w w:val="100"/>
          <w:position w:val="0"/>
        </w:rPr>
        <w:t>催产与授精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60" w:line="343" w:lineRule="auto"/>
        <w:ind w:left="0" w:right="0" w:firstLine="0"/>
        <w:jc w:val="left"/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0" w:h="16840"/>
          <w:pgMar w:top="1969" w:right="1184" w:bottom="1571" w:left="1212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>4.4.1</w:t>
      </w:r>
      <w:r>
        <w:rPr>
          <w:color w:val="000000"/>
          <w:spacing w:val="0"/>
          <w:w w:val="100"/>
          <w:position w:val="0"/>
        </w:rPr>
        <w:t>雌雄配比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line="312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亲鲍雌雄比为10： 1,分容器催产。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https://d.book118.com/437121136116006041</w:t>
        </w:r>
      </w:hyperlink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line="312" w:lineRule="exact"/>
        <w:ind w:left="0" w:right="0" w:firstLine="420"/>
        <w:jc w:val="left"/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0" w:h="16840"/>
      <w:pgMar w:top="1969" w:right="1184" w:bottom="1571" w:left="1212" w:header="0" w:footer="3" w:gutter="0"/>
      <w:pgNumType w:start="9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6664325</wp:posOffset>
              </wp:positionH>
              <wp:positionV relativeFrom="page">
                <wp:posOffset>9857740</wp:posOffset>
              </wp:positionV>
              <wp:extent cx="39370" cy="7620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937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I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0" type="#_x0000_t202" style="width:3.1pt;height:6pt;margin-top:776.2pt;margin-left:524.75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I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6664325</wp:posOffset>
              </wp:positionH>
              <wp:positionV relativeFrom="page">
                <wp:posOffset>9857740</wp:posOffset>
              </wp:positionV>
              <wp:extent cx="39370" cy="7620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937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I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2049" type="#_x0000_t202" style="width:3.1pt;height:6pt;margin-top:776.2pt;margin-left:524.75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I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935355</wp:posOffset>
              </wp:positionH>
              <wp:positionV relativeFrom="page">
                <wp:posOffset>9854565</wp:posOffset>
              </wp:positionV>
              <wp:extent cx="42545" cy="76200"/>
              <wp:wrapNone/>
              <wp:docPr id="15" name="Shape 1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TW" w:eastAsia="zh-TW" w:bidi="zh-TW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5" o:spid="_x0000_s2056" type="#_x0000_t202" style="width:3.35pt;height:6pt;margin-top:775.95pt;margin-left:73.65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zh-TW" w:eastAsia="zh-TW" w:bidi="zh-TW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935355</wp:posOffset>
              </wp:positionH>
              <wp:positionV relativeFrom="page">
                <wp:posOffset>9854565</wp:posOffset>
              </wp:positionV>
              <wp:extent cx="42545" cy="76200"/>
              <wp:wrapNone/>
              <wp:docPr id="11" name="Shape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TW" w:eastAsia="zh-TW" w:bidi="zh-TW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" o:spid="_x0000_s2054" type="#_x0000_t202" style="width:3.35pt;height:6pt;margin-top:775.95pt;margin-left:73.65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zh-TW" w:eastAsia="zh-TW" w:bidi="zh-TW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6597015</wp:posOffset>
              </wp:positionH>
              <wp:positionV relativeFrom="page">
                <wp:posOffset>9857740</wp:posOffset>
              </wp:positionV>
              <wp:extent cx="33655" cy="76200"/>
              <wp:wrapNone/>
              <wp:docPr id="19" name="Shape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TW" w:eastAsia="zh-TW" w:bidi="zh-TW"/>
                            </w:rPr>
                            <w:t>1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9" o:spid="_x0000_s2058" type="#_x0000_t202" style="width:2.65pt;height:6pt;margin-top:776.2pt;margin-left:519.45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zh-TW" w:eastAsia="zh-TW" w:bidi="zh-TW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935355</wp:posOffset>
              </wp:positionH>
              <wp:positionV relativeFrom="page">
                <wp:posOffset>9854565</wp:posOffset>
              </wp:positionV>
              <wp:extent cx="42545" cy="76200"/>
              <wp:wrapNone/>
              <wp:docPr id="1382331116" name="Shape 1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TW" w:eastAsia="zh-TW" w:bidi="zh-TW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5" o:spid="_x0000_s2062" type="#_x0000_t202" style="width:3.35pt;height:6pt;margin-top:775.95pt;margin-left:73.65pt;mso-position-horizontal-relative:page;mso-position-vertical-relative:page;mso-wrap-distance-bottom:0;mso-wrap-distance-left:0;mso-wrap-distance-right:0;mso-wrap-distance-top:0;mso-wrap-style:none;position:absolute;v-text-anchor:top;z-index:-25164595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zh-TW" w:eastAsia="zh-TW" w:bidi="zh-TW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935355</wp:posOffset>
              </wp:positionH>
              <wp:positionV relativeFrom="page">
                <wp:posOffset>9854565</wp:posOffset>
              </wp:positionV>
              <wp:extent cx="42545" cy="76200"/>
              <wp:wrapNone/>
              <wp:docPr id="64710461" name="Shape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TW" w:eastAsia="zh-TW" w:bidi="zh-TW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" o:spid="_x0000_s2060" type="#_x0000_t202" style="width:3.35pt;height:6pt;margin-top:775.95pt;margin-left:73.65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zh-TW" w:eastAsia="zh-TW" w:bidi="zh-TW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3600" behindDoc="1" locked="0" layoutInCell="1" allowOverlap="1">
              <wp:simplePos x="0" y="0"/>
              <wp:positionH relativeFrom="page">
                <wp:posOffset>6597015</wp:posOffset>
              </wp:positionH>
              <wp:positionV relativeFrom="page">
                <wp:posOffset>9857740</wp:posOffset>
              </wp:positionV>
              <wp:extent cx="33655" cy="76200"/>
              <wp:wrapNone/>
              <wp:docPr id="5883142" name="Shape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TW" w:eastAsia="zh-TW" w:bidi="zh-TW"/>
                            </w:rPr>
                            <w:t>1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9" o:spid="_x0000_s2064" type="#_x0000_t202" style="width:2.65pt;height:6pt;margin-top:776.2pt;margin-left:519.45pt;mso-position-horizontal-relative:page;mso-position-vertical-relative:page;mso-wrap-distance-bottom:0;mso-wrap-distance-left:0;mso-wrap-distance-right:0;mso-wrap-distance-top:0;mso-wrap-style:none;position:absolute;v-text-anchor:top;z-index:-25164390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zh-TW" w:eastAsia="zh-TW" w:bidi="zh-TW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7696" behindDoc="1" locked="0" layoutInCell="1" allowOverlap="1">
              <wp:simplePos x="0" y="0"/>
              <wp:positionH relativeFrom="page">
                <wp:posOffset>935355</wp:posOffset>
              </wp:positionH>
              <wp:positionV relativeFrom="page">
                <wp:posOffset>9854565</wp:posOffset>
              </wp:positionV>
              <wp:extent cx="42545" cy="76200"/>
              <wp:wrapNone/>
              <wp:docPr id="1920517750" name="Shape 1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TW" w:eastAsia="zh-TW" w:bidi="zh-TW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5" o:spid="_x0000_s2068" type="#_x0000_t202" style="width:3.35pt;height:6pt;margin-top:775.95pt;margin-left:73.65pt;mso-position-horizontal-relative:page;mso-position-vertical-relative:page;mso-wrap-distance-bottom:0;mso-wrap-distance-left:0;mso-wrap-distance-right:0;mso-wrap-distance-top:0;mso-wrap-style:none;position:absolute;v-text-anchor:top;z-index:-25163980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zh-TW" w:eastAsia="zh-TW" w:bidi="zh-TW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5648" behindDoc="1" locked="0" layoutInCell="1" allowOverlap="1">
              <wp:simplePos x="0" y="0"/>
              <wp:positionH relativeFrom="page">
                <wp:posOffset>935355</wp:posOffset>
              </wp:positionH>
              <wp:positionV relativeFrom="page">
                <wp:posOffset>9854565</wp:posOffset>
              </wp:positionV>
              <wp:extent cx="42545" cy="76200"/>
              <wp:wrapNone/>
              <wp:docPr id="1083910055" name="Shape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TW" w:eastAsia="zh-TW" w:bidi="zh-TW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" o:spid="_x0000_s2066" type="#_x0000_t202" style="width:3.35pt;height:6pt;margin-top:775.95pt;margin-left:73.65pt;mso-position-horizontal-relative:page;mso-position-vertical-relative:page;mso-wrap-distance-bottom:0;mso-wrap-distance-left:0;mso-wrap-distance-right:0;mso-wrap-distance-top:0;mso-wrap-style:none;position:absolute;v-text-anchor:top;z-index:-25164185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zh-TW" w:eastAsia="zh-TW" w:bidi="zh-TW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9744" behindDoc="1" locked="0" layoutInCell="1" allowOverlap="1">
              <wp:simplePos x="0" y="0"/>
              <wp:positionH relativeFrom="page">
                <wp:posOffset>6597015</wp:posOffset>
              </wp:positionH>
              <wp:positionV relativeFrom="page">
                <wp:posOffset>9857740</wp:posOffset>
              </wp:positionV>
              <wp:extent cx="33655" cy="76200"/>
              <wp:wrapNone/>
              <wp:docPr id="972924764" name="Shape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TW" w:eastAsia="zh-TW" w:bidi="zh-TW"/>
                            </w:rPr>
                            <w:t>1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9" o:spid="_x0000_s2070" type="#_x0000_t202" style="width:2.65pt;height:6pt;margin-top:776.2pt;margin-left:519.45pt;mso-position-horizontal-relative:page;mso-position-vertical-relative:page;mso-wrap-distance-bottom:0;mso-wrap-distance-left:0;mso-wrap-distance-right:0;mso-wrap-distance-top:0;mso-wrap-style:none;position:absolute;v-text-anchor:top;z-index:-25163776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zh-TW" w:eastAsia="zh-TW" w:bidi="zh-TW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5530850</wp:posOffset>
              </wp:positionH>
              <wp:positionV relativeFrom="page">
                <wp:posOffset>935990</wp:posOffset>
              </wp:positionV>
              <wp:extent cx="1121410" cy="100330"/>
              <wp:wrapNone/>
              <wp:docPr id="7" name="Shape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141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DB35/T 1438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0"/>
                              <w:szCs w:val="2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" o:spid="_x0000_s2052" type="#_x0000_t202" style="width:88.3pt;height:7.9pt;margin-top:73.7pt;margin-left:435.5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DB35/T 1438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0"/>
                        <w:szCs w:val="2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2014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5530850</wp:posOffset>
              </wp:positionH>
              <wp:positionV relativeFrom="page">
                <wp:posOffset>935990</wp:posOffset>
              </wp:positionV>
              <wp:extent cx="1121410" cy="100330"/>
              <wp:wrapNone/>
              <wp:docPr id="5" name="Shape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141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DB35/T 1438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0"/>
                              <w:szCs w:val="2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" o:spid="_x0000_s2051" type="#_x0000_t202" style="width:88.3pt;height:7.9pt;margin-top:73.7pt;margin-left:435.5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DB35/T 1438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0"/>
                        <w:szCs w:val="2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2014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795020</wp:posOffset>
              </wp:positionH>
              <wp:positionV relativeFrom="page">
                <wp:posOffset>935990</wp:posOffset>
              </wp:positionV>
              <wp:extent cx="1121410" cy="100330"/>
              <wp:wrapNone/>
              <wp:docPr id="13" name="Shape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141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DB35/T 1438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0"/>
                              <w:szCs w:val="2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3" o:spid="_x0000_s2055" type="#_x0000_t202" style="width:88.3pt;height:7.9pt;margin-top:73.7pt;margin-left:62.6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DB35/T 1438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0"/>
                        <w:szCs w:val="2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2014</w:t>
                    </w:r>
                  </w:p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795020</wp:posOffset>
              </wp:positionH>
              <wp:positionV relativeFrom="page">
                <wp:posOffset>935990</wp:posOffset>
              </wp:positionV>
              <wp:extent cx="1121410" cy="100330"/>
              <wp:wrapNone/>
              <wp:docPr id="9" name="Shape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141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DB35/T 1438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0"/>
                              <w:szCs w:val="2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" o:spid="_x0000_s2053" type="#_x0000_t202" style="width:88.3pt;height:7.9pt;margin-top:73.7pt;margin-left:62.6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DB35/T 1438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0"/>
                        <w:szCs w:val="2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2014</w:t>
                    </w:r>
                  </w:p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5640070</wp:posOffset>
              </wp:positionH>
              <wp:positionV relativeFrom="page">
                <wp:posOffset>935990</wp:posOffset>
              </wp:positionV>
              <wp:extent cx="1121410" cy="100330"/>
              <wp:wrapNone/>
              <wp:docPr id="17" name="Shape 1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141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DB35/T 1438—2014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7" o:spid="_x0000_s2057" type="#_x0000_t202" style="width:88.3pt;height:7.9pt;margin-top:73.7pt;margin-left:444.1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DB35/T 1438—2014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795020</wp:posOffset>
              </wp:positionH>
              <wp:positionV relativeFrom="page">
                <wp:posOffset>935990</wp:posOffset>
              </wp:positionV>
              <wp:extent cx="1121410" cy="100330"/>
              <wp:wrapNone/>
              <wp:docPr id="42855694" name="Shape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141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DB35/T 1438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0"/>
                              <w:szCs w:val="2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3" o:spid="_x0000_s2061" type="#_x0000_t202" style="width:88.3pt;height:7.9pt;margin-top:73.7pt;margin-left:62.6pt;mso-position-horizontal-relative:page;mso-position-vertical-relative:page;mso-wrap-distance-bottom:0;mso-wrap-distance-left:0;mso-wrap-distance-right:0;mso-wrap-distance-top:0;mso-wrap-style:none;position:absolute;v-text-anchor:top;z-index:-25164595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DB35/T 1438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0"/>
                        <w:szCs w:val="2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2014</w:t>
                    </w:r>
                  </w:p>
                </w:txbxContent>
              </v:textbox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795020</wp:posOffset>
              </wp:positionH>
              <wp:positionV relativeFrom="page">
                <wp:posOffset>935990</wp:posOffset>
              </wp:positionV>
              <wp:extent cx="1121410" cy="100330"/>
              <wp:wrapNone/>
              <wp:docPr id="1392494872" name="Shape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141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DB35/T 1438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0"/>
                              <w:szCs w:val="2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" o:spid="_x0000_s2059" type="#_x0000_t202" style="width:88.3pt;height:7.9pt;margin-top:73.7pt;margin-left:62.6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DB35/T 1438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0"/>
                        <w:szCs w:val="2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2014</w:t>
                    </w:r>
                  </w:p>
                </w:txbxContent>
              </v:textbox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3600" behindDoc="1" locked="0" layoutInCell="1" allowOverlap="1">
              <wp:simplePos x="0" y="0"/>
              <wp:positionH relativeFrom="page">
                <wp:posOffset>5640070</wp:posOffset>
              </wp:positionH>
              <wp:positionV relativeFrom="page">
                <wp:posOffset>935990</wp:posOffset>
              </wp:positionV>
              <wp:extent cx="1121410" cy="100330"/>
              <wp:wrapNone/>
              <wp:docPr id="147820837" name="Shape 1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141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DB35/T 1438—2014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7" o:spid="_x0000_s2063" type="#_x0000_t202" style="width:88.3pt;height:7.9pt;margin-top:73.7pt;margin-left:444.1pt;mso-position-horizontal-relative:page;mso-position-vertical-relative:page;mso-wrap-distance-bottom:0;mso-wrap-distance-left:0;mso-wrap-distance-right:0;mso-wrap-distance-top:0;mso-wrap-style:none;position:absolute;v-text-anchor:top;z-index:-25164390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DB35/T 1438—2014</w:t>
                    </w:r>
                  </w:p>
                </w:txbxContent>
              </v:textbox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7696" behindDoc="1" locked="0" layoutInCell="1" allowOverlap="1">
              <wp:simplePos x="0" y="0"/>
              <wp:positionH relativeFrom="page">
                <wp:posOffset>795020</wp:posOffset>
              </wp:positionH>
              <wp:positionV relativeFrom="page">
                <wp:posOffset>935990</wp:posOffset>
              </wp:positionV>
              <wp:extent cx="1121410" cy="100330"/>
              <wp:wrapNone/>
              <wp:docPr id="622875571" name="Shape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141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DB35/T 1438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0"/>
                              <w:szCs w:val="2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3" o:spid="_x0000_s2067" type="#_x0000_t202" style="width:88.3pt;height:7.9pt;margin-top:73.7pt;margin-left:62.6pt;mso-position-horizontal-relative:page;mso-position-vertical-relative:page;mso-wrap-distance-bottom:0;mso-wrap-distance-left:0;mso-wrap-distance-right:0;mso-wrap-distance-top:0;mso-wrap-style:none;position:absolute;v-text-anchor:top;z-index:-25163980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DB35/T 1438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0"/>
                        <w:szCs w:val="2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2014</w:t>
                    </w:r>
                  </w:p>
                </w:txbxContent>
              </v:textbox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5648" behindDoc="1" locked="0" layoutInCell="1" allowOverlap="1">
              <wp:simplePos x="0" y="0"/>
              <wp:positionH relativeFrom="page">
                <wp:posOffset>795020</wp:posOffset>
              </wp:positionH>
              <wp:positionV relativeFrom="page">
                <wp:posOffset>935990</wp:posOffset>
              </wp:positionV>
              <wp:extent cx="1121410" cy="100330"/>
              <wp:wrapNone/>
              <wp:docPr id="978076075" name="Shape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141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DB35/T 1438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0"/>
                              <w:szCs w:val="2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" o:spid="_x0000_s2065" type="#_x0000_t202" style="width:88.3pt;height:7.9pt;margin-top:73.7pt;margin-left:62.6pt;mso-position-horizontal-relative:page;mso-position-vertical-relative:page;mso-wrap-distance-bottom:0;mso-wrap-distance-left:0;mso-wrap-distance-right:0;mso-wrap-distance-top:0;mso-wrap-style:none;position:absolute;v-text-anchor:top;z-index:-25164185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DB35/T 1438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0"/>
                        <w:szCs w:val="2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2014</w:t>
                    </w:r>
                  </w:p>
                </w:txbxContent>
              </v:textbox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9744" behindDoc="1" locked="0" layoutInCell="1" allowOverlap="1">
              <wp:simplePos x="0" y="0"/>
              <wp:positionH relativeFrom="page">
                <wp:posOffset>5640070</wp:posOffset>
              </wp:positionH>
              <wp:positionV relativeFrom="page">
                <wp:posOffset>935990</wp:posOffset>
              </wp:positionV>
              <wp:extent cx="1121410" cy="100330"/>
              <wp:wrapNone/>
              <wp:docPr id="1685320845" name="Shape 1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141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DB35/T 1438—2014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7" o:spid="_x0000_s2069" type="#_x0000_t202" style="width:88.3pt;height:7.9pt;margin-top:73.7pt;margin-left:444.1pt;mso-position-horizontal-relative:page;mso-position-vertical-relative:page;mso-wrap-distance-bottom:0;mso-wrap-distance-left:0;mso-wrap-distance-right:0;mso-wrap-distance-top:0;mso-wrap-style:none;position:absolute;v-text-anchor:top;z-index:-25163776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DB35/T 1438—2014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D37247D"/>
    <w:multiLevelType w:val="multilevel"/>
    <w:tmpl w:val="00000000"/>
    <w:lvl w:ilvl="0">
      <w:start w:val="4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FFFFFF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ADC5383"/>
    <w:multiLevelType w:val="multilevel"/>
    <w:tmpl w:val="0000000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FFFFFF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27C0E9D5"/>
    <w:multiLevelType w:val="multilevel"/>
    <w:tmpl w:val="0000000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FFFFFF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37DD29FC"/>
    <w:multiLevelType w:val="multilevel"/>
    <w:tmpl w:val="00000000"/>
    <w:lvl w:ilvl="0">
      <w:start w:val="5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3CCF7DC0"/>
    <w:multiLevelType w:val="multilevel"/>
    <w:tmpl w:val="0000000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FFFFFF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5151B4DE"/>
    <w:multiLevelType w:val="multilevel"/>
    <w:tmpl w:val="0000000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FFFFFF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52E4B64A"/>
    <w:multiLevelType w:val="multilevel"/>
    <w:tmpl w:val="00000000"/>
    <w:lvl w:ilvl="0">
      <w:start w:val="4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54B1E2C8"/>
    <w:multiLevelType w:val="multilevel"/>
    <w:tmpl w:val="0000000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62D162D9"/>
    <w:multiLevelType w:val="multilevel"/>
    <w:tmpl w:val="0000000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FFFFFF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63D34119"/>
    <w:multiLevelType w:val="multilevel"/>
    <w:tmpl w:val="00000000"/>
    <w:lvl w:ilvl="0">
      <w:start w:val="4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FFFFFF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6EDD17FF"/>
    <w:multiLevelType w:val="multilevel"/>
    <w:tmpl w:val="00000000"/>
    <w:lvl w:ilvl="0">
      <w:start w:val="4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FFFFFF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6F2FCC39"/>
    <w:multiLevelType w:val="multilevel"/>
    <w:tmpl w:val="0000000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FFFFFF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9"/>
  </w:num>
  <w:num w:numId="2">
    <w:abstractNumId w:val="0"/>
  </w:num>
  <w:num w:numId="3">
    <w:abstractNumId w:val="6"/>
  </w:num>
  <w:num w:numId="4">
    <w:abstractNumId w:val="1"/>
  </w:num>
  <w:num w:numId="5">
    <w:abstractNumId w:val="4"/>
  </w:num>
  <w:num w:numId="6">
    <w:abstractNumId w:val="11"/>
  </w:num>
  <w:num w:numId="7">
    <w:abstractNumId w:val="5"/>
  </w:num>
  <w:num w:numId="8">
    <w:abstractNumId w:val="8"/>
  </w:num>
  <w:num w:numId="9">
    <w:abstractNumId w:val="2"/>
  </w:num>
  <w:num w:numId="10">
    <w:abstractNumId w:val="7"/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evenAndOddHeaders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2">
    <w:name w:val="Body text|2_"/>
    <w:basedOn w:val="DefaultParagraphFont"/>
    <w:link w:val="Bodytext20"/>
    <w:rPr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</w:rPr>
  </w:style>
  <w:style w:type="character" w:customStyle="1" w:styleId="Heading11">
    <w:name w:val="Heading #1|1_"/>
    <w:basedOn w:val="DefaultParagraphFont"/>
    <w:link w:val="Heading110"/>
    <w:rPr>
      <w:b/>
      <w:bCs/>
      <w:i w:val="0"/>
      <w:iCs w:val="0"/>
      <w:smallCaps w:val="0"/>
      <w:strike w:val="0"/>
      <w:sz w:val="96"/>
      <w:szCs w:val="96"/>
      <w:u w:val="none"/>
      <w:shd w:val="clear" w:color="auto" w:fill="auto"/>
    </w:rPr>
  </w:style>
  <w:style w:type="character" w:customStyle="1" w:styleId="Heading31">
    <w:name w:val="Heading #3|1_"/>
    <w:basedOn w:val="DefaultParagraphFont"/>
    <w:link w:val="Heading310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character" w:customStyle="1" w:styleId="Bodytext3">
    <w:name w:val="Body text|3_"/>
    <w:basedOn w:val="DefaultParagraphFont"/>
    <w:link w:val="Bodytext30"/>
    <w:rPr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Heading21">
    <w:name w:val="Heading #2|1_"/>
    <w:basedOn w:val="DefaultParagraphFont"/>
    <w:link w:val="Heading210"/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shd w:val="clear" w:color="auto" w:fill="auto"/>
      <w:lang w:val="zh-TW" w:eastAsia="zh-TW" w:bidi="zh-TW"/>
    </w:rPr>
  </w:style>
  <w:style w:type="character" w:customStyle="1" w:styleId="Bodytext5">
    <w:name w:val="Body text|5_"/>
    <w:basedOn w:val="DefaultParagraphFont"/>
    <w:link w:val="Bodytext50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Headerorfooter2">
    <w:name w:val="Header or footer|2_"/>
    <w:basedOn w:val="DefaultParagraphFont"/>
    <w:link w:val="Headerorfooter2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Heading41">
    <w:name w:val="Heading #4|1_"/>
    <w:basedOn w:val="DefaultParagraphFont"/>
    <w:link w:val="Heading410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Tableofcontents1">
    <w:name w:val="Table of contents|1_"/>
    <w:basedOn w:val="DefaultParagraphFont"/>
    <w:link w:val="Tableofcontents10"/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Bodytext1">
    <w:name w:val="Body text|1_"/>
    <w:basedOn w:val="DefaultParagraphFont"/>
    <w:link w:val="Bodytext10"/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Headerorfooter1">
    <w:name w:val="Header or footer|1_"/>
    <w:basedOn w:val="DefaultParagraphFont"/>
    <w:link w:val="Headerorfooter10"/>
    <w:rPr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</w:rPr>
  </w:style>
  <w:style w:type="character" w:customStyle="1" w:styleId="Other1">
    <w:name w:val="Other|1_"/>
    <w:basedOn w:val="DefaultParagraphFont"/>
    <w:link w:val="Other10"/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Bodytext4">
    <w:name w:val="Body text|4_"/>
    <w:basedOn w:val="DefaultParagraphFont"/>
    <w:link w:val="Bodytext40"/>
    <w:rPr>
      <w:rFonts w:ascii="SimSun" w:eastAsia="SimSun" w:hAnsi="SimSun" w:cs="SimSun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Bodytext20">
    <w:name w:val="Body text|2"/>
    <w:basedOn w:val="Normal"/>
    <w:link w:val="Bodytext2"/>
    <w:pPr>
      <w:widowControl w:val="0"/>
      <w:shd w:val="clear" w:color="auto" w:fill="auto"/>
      <w:spacing w:after="80"/>
    </w:pPr>
    <w:rPr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</w:rPr>
  </w:style>
  <w:style w:type="paragraph" w:customStyle="1" w:styleId="Heading110">
    <w:name w:val="Heading #1|1"/>
    <w:basedOn w:val="Normal"/>
    <w:link w:val="Heading11"/>
    <w:pPr>
      <w:widowControl w:val="0"/>
      <w:shd w:val="clear" w:color="auto" w:fill="auto"/>
      <w:spacing w:after="300"/>
      <w:ind w:right="260"/>
      <w:jc w:val="right"/>
      <w:outlineLvl w:val="0"/>
    </w:pPr>
    <w:rPr>
      <w:b/>
      <w:bCs/>
      <w:i w:val="0"/>
      <w:iCs w:val="0"/>
      <w:smallCaps w:val="0"/>
      <w:strike w:val="0"/>
      <w:sz w:val="96"/>
      <w:szCs w:val="96"/>
      <w:u w:val="none"/>
      <w:shd w:val="clear" w:color="auto" w:fill="auto"/>
    </w:rPr>
  </w:style>
  <w:style w:type="paragraph" w:customStyle="1" w:styleId="Heading310">
    <w:name w:val="Heading #3|1"/>
    <w:basedOn w:val="Normal"/>
    <w:link w:val="Heading31"/>
    <w:pPr>
      <w:widowControl w:val="0"/>
      <w:shd w:val="clear" w:color="auto" w:fill="auto"/>
      <w:spacing w:after="300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paragraph" w:customStyle="1" w:styleId="Bodytext30">
    <w:name w:val="Body text|3"/>
    <w:basedOn w:val="Normal"/>
    <w:link w:val="Bodytext3"/>
    <w:pPr>
      <w:widowControl w:val="0"/>
      <w:shd w:val="clear" w:color="auto" w:fill="auto"/>
      <w:spacing w:after="600"/>
    </w:pPr>
    <w:rPr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Heading210">
    <w:name w:val="Heading #2|1"/>
    <w:basedOn w:val="Normal"/>
    <w:link w:val="Heading21"/>
    <w:pPr>
      <w:widowControl w:val="0"/>
      <w:shd w:val="clear" w:color="auto" w:fill="auto"/>
      <w:spacing w:after="420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shd w:val="clear" w:color="auto" w:fill="auto"/>
      <w:lang w:val="zh-TW" w:eastAsia="zh-TW" w:bidi="zh-TW"/>
    </w:rPr>
  </w:style>
  <w:style w:type="paragraph" w:customStyle="1" w:styleId="Bodytext50">
    <w:name w:val="Body text|5"/>
    <w:basedOn w:val="Normal"/>
    <w:link w:val="Bodytext5"/>
    <w:pPr>
      <w:widowControl w:val="0"/>
      <w:shd w:val="clear" w:color="auto" w:fill="auto"/>
      <w:spacing w:after="62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Normal"/>
    <w:link w:val="Headerorfooter2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ing410">
    <w:name w:val="Heading #4|1"/>
    <w:basedOn w:val="Normal"/>
    <w:link w:val="Heading41"/>
    <w:pPr>
      <w:widowControl w:val="0"/>
      <w:shd w:val="clear" w:color="auto" w:fill="auto"/>
      <w:spacing w:after="620"/>
      <w:jc w:val="center"/>
      <w:outlineLvl w:val="3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Tableofcontents10">
    <w:name w:val="Table of contents|1"/>
    <w:basedOn w:val="Normal"/>
    <w:link w:val="Tableofcontents1"/>
    <w:pPr>
      <w:widowControl w:val="0"/>
      <w:shd w:val="clear" w:color="auto" w:fill="auto"/>
      <w:spacing w:after="110"/>
      <w:ind w:firstLine="2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Normal"/>
    <w:link w:val="Bodytext1"/>
    <w:pPr>
      <w:widowControl w:val="0"/>
      <w:shd w:val="clear" w:color="auto" w:fill="auto"/>
      <w:spacing w:after="140" w:line="32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10">
    <w:name w:val="Header or footer|1"/>
    <w:basedOn w:val="Normal"/>
    <w:link w:val="Headerorfooter1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</w:rPr>
  </w:style>
  <w:style w:type="paragraph" w:customStyle="1" w:styleId="Other10">
    <w:name w:val="Other|1"/>
    <w:basedOn w:val="Normal"/>
    <w:link w:val="Other1"/>
    <w:pPr>
      <w:widowControl w:val="0"/>
      <w:shd w:val="clear" w:color="auto" w:fill="auto"/>
      <w:spacing w:after="140" w:line="32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Bodytext40">
    <w:name w:val="Body text|4"/>
    <w:basedOn w:val="Normal"/>
    <w:link w:val="Bodytext4"/>
    <w:pPr>
      <w:widowControl w:val="0"/>
      <w:shd w:val="clear" w:color="auto" w:fill="auto"/>
      <w:spacing w:after="18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header" Target="header5.xml" /><Relationship Id="rId15" Type="http://schemas.openxmlformats.org/officeDocument/2006/relationships/footer" Target="footer7.xml" /><Relationship Id="rId16" Type="http://schemas.openxmlformats.org/officeDocument/2006/relationships/header" Target="header6.xml" /><Relationship Id="rId17" Type="http://schemas.openxmlformats.org/officeDocument/2006/relationships/header" Target="header7.xml" /><Relationship Id="rId18" Type="http://schemas.openxmlformats.org/officeDocument/2006/relationships/footer" Target="footer8.xml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10.xml" /><Relationship Id="rId22" Type="http://schemas.openxmlformats.org/officeDocument/2006/relationships/hyperlink" Target="https://d.book118.com/437121136116006041" TargetMode="External" /><Relationship Id="rId23" Type="http://schemas.openxmlformats.org/officeDocument/2006/relationships/header" Target="header9.xml" /><Relationship Id="rId24" Type="http://schemas.openxmlformats.org/officeDocument/2006/relationships/header" Target="header10.xml" /><Relationship Id="rId25" Type="http://schemas.openxmlformats.org/officeDocument/2006/relationships/footer" Target="footer11.xml" /><Relationship Id="rId26" Type="http://schemas.openxmlformats.org/officeDocument/2006/relationships/footer" Target="footer12.xml" /><Relationship Id="rId27" Type="http://schemas.openxmlformats.org/officeDocument/2006/relationships/header" Target="header11.xml" /><Relationship Id="rId28" Type="http://schemas.openxmlformats.org/officeDocument/2006/relationships/footer" Target="footer13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numbering" Target="numbering.xml" /><Relationship Id="rId31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&lt;4D6963726F736F667420576F7264202D20A1B6D4D3C9ABB1ABD1F8D6B3BCBCCAF5B9E6B7B6A1B75443532E646F63&gt;</dc:title>
  <dc:creator>zl</dc:creator>
  <cp:revision>0</cp:revision>
</cp:coreProperties>
</file>