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91" w:lineRule="auto"/>
        <w:rPr>
          <w:rFonts w:ascii="Arial"/>
          <w:sz w:val="21"/>
        </w:rPr>
      </w:pPr>
      <w:r>
        <w:pict>
          <v:shape id="_x0000_s1025" style="width:472.35pt;height:0.75pt;margin-top:105.3pt;margin-left:44.75pt;mso-position-horizontal-relative:page;mso-position-vertical-relative:page;position:absolute;z-index:251658240" coordorigin="0,0" coordsize="9447,15" o:allowincell="f" path="m,7l9446,7e" filled="f" strokecolor="#1f497d" strokeweight="0.72pt">
            <v:stroke joinstyle="bevel"/>
          </v:shape>
        </w:pict>
      </w:r>
      <w:r>
        <w:pict>
          <v:shape id="_x0000_s1026" style="width:2in;height:0;margin-top:754.7pt;margin-left:90pt;mso-position-horizontal-relative:page;mso-position-vertical-relative:page;position:absolute;z-index:251659264" coordorigin="0,0" coordsize="2880,0" o:allowincell="f" path="m,l2880,e" filled="f" strokecolor="black">
            <v:stroke joinstyle="bevel" endcap="square"/>
          </v:shape>
        </w:pict>
      </w:r>
    </w:p>
    <w:p>
      <w:pPr>
        <w:spacing w:before="91" w:line="214" w:lineRule="auto"/>
        <w:ind w:left="2082"/>
        <w:outlineLvl w:val="0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spacing w:val="6"/>
          <w:sz w:val="28"/>
          <w:szCs w:val="28"/>
        </w:rPr>
        <w:t>资本新规重磅发布，引导银行“脱虚向实”</w:t>
      </w:r>
    </w:p>
    <w:p>
      <w:pPr>
        <w:spacing w:before="85" w:line="87" w:lineRule="exact"/>
      </w:pPr>
      <w:r>
        <w:rPr>
          <w:position w:val="-1"/>
        </w:rPr>
        <w:pict>
          <v:group id="_x0000_i1027" style="width:472.35pt;height:4.35pt;mso-position-horizontal-relative:char;mso-position-vertical-relative:line" coordorigin="0,0" coordsize="9447,86" filled="f" stroked="f">
            <v:shape id="_x0000_s1028" style="width:9447;height:58;position:absolute;top:28" coordorigin="0,0" coordsize="9447,58" path="m,28l9446,28e" filled="f" strokecolor="#1f497d" strokeweight="2.88pt">
              <v:stroke joinstyle="bevel"/>
            </v:shape>
            <v:shape id="_x0000_s1029" style="width:9447;height:15;position:absolute" coordorigin="0,0" coordsize="9447,15" path="m,7l9446,7e" filled="f" strokecolor="#1f497d" strokeweight="0.72pt">
              <v:stroke joinstyle="bevel"/>
            </v:shape>
            <w10:wrap type="none"/>
          </v:group>
        </w:pict>
      </w:r>
    </w:p>
    <w:p>
      <w:pPr>
        <w:spacing w:line="87" w:lineRule="exact"/>
        <w:sectPr>
          <w:headerReference w:type="default" r:id="rId4"/>
          <w:pgSz w:w="11906" w:h="16839"/>
          <w:pgMar w:top="2091" w:right="1564" w:bottom="0" w:left="895" w:header="1595" w:footer="0" w:gutter="0"/>
          <w:cols w:num="1" w:space="708" w:equalWidth="0">
            <w:col w:w="9447" w:space="0"/>
          </w:cols>
        </w:sectPr>
      </w:pPr>
    </w:p>
    <w:p>
      <w:pPr>
        <w:spacing w:before="31" w:line="196" w:lineRule="auto"/>
        <w:ind w:left="116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spacing w:val="9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金融债</w:t>
      </w:r>
      <w:hyperlink w:anchor="bookmark1" w:history="1">
        <w:r>
          <w:rPr>
            <w:rFonts w:ascii="SimHei" w:eastAsia="SimHei" w:hAnsi="SimHei" w:cs="SimHei"/>
            <w:spacing w:val="9"/>
            <w:position w:val="9"/>
            <w:sz w:val="10"/>
            <w:szCs w:val="10"/>
            <w14:textOutline w14:w="1834" w14:cap="sq">
              <w14:solidFill>
                <w14:srgbClr w14:val="000000"/>
              </w14:solidFill>
              <w14:prstDash w14:val="solid"/>
              <w14:bevel/>
            </w14:textOutline>
          </w:rPr>
          <w:t>1</w:t>
        </w:r>
      </w:hyperlink>
      <w:r>
        <w:rPr>
          <w:rFonts w:ascii="SimHei" w:eastAsia="SimHei" w:hAnsi="SimHei" w:cs="SimHei"/>
          <w:spacing w:val="9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发行情况（亿元、只</w:t>
      </w:r>
      <w:r>
        <w:rPr>
          <w:rFonts w:ascii="SimHei" w:eastAsia="SimHei" w:hAnsi="SimHei" w:cs="SimHei"/>
          <w:sz w:val="19"/>
          <w:szCs w:val="19"/>
          <w14:textOutline w14:w="3614" w14:cap="sq">
            <w14:solidFill>
              <w14:srgbClr w14:val="000000"/>
            </w14:solidFill>
            <w14:prstDash w14:val="solid"/>
            <w14:bevel/>
          </w14:textOutline>
        </w:rPr>
        <w:t>）：</w:t>
      </w:r>
    </w:p>
    <w:p>
      <w:pPr>
        <w:spacing w:line="4474" w:lineRule="exact"/>
        <w:ind w:firstLine="77"/>
      </w:pPr>
      <w:r>
        <w:rPr>
          <w:position w:val="-89"/>
        </w:rPr>
        <w:drawing>
          <wp:inline distT="0" distB="0" distL="0" distR="0">
            <wp:extent cx="2653029" cy="284123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53029" cy="284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92" w:line="222" w:lineRule="auto"/>
        <w:ind w:left="123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4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分析师：</w:t>
      </w:r>
    </w:p>
    <w:p>
      <w:pPr>
        <w:spacing w:line="274" w:lineRule="auto"/>
        <w:rPr>
          <w:rFonts w:ascii="Arial"/>
          <w:sz w:val="21"/>
        </w:rPr>
      </w:pPr>
    </w:p>
    <w:p>
      <w:pPr>
        <w:pStyle w:val="BodyText"/>
        <w:spacing w:before="77" w:line="196" w:lineRule="auto"/>
        <w:ind w:left="120"/>
        <w:rPr>
          <w:sz w:val="22"/>
          <w:szCs w:val="22"/>
        </w:rPr>
      </w:pPr>
      <w:r>
        <w:rPr>
          <w:spacing w:val="-6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李倩</w:t>
      </w:r>
      <w:r>
        <w:rPr>
          <w:spacing w:val="21"/>
          <w:sz w:val="22"/>
          <w:szCs w:val="22"/>
        </w:rPr>
        <w:t xml:space="preserve"> </w:t>
      </w:r>
      <w:r>
        <w:rPr>
          <w:spacing w:val="-6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张琳琳</w:t>
      </w:r>
      <w:r>
        <w:rPr>
          <w:spacing w:val="15"/>
          <w:sz w:val="22"/>
          <w:szCs w:val="22"/>
        </w:rPr>
        <w:t xml:space="preserve"> </w:t>
      </w:r>
      <w:r>
        <w:rPr>
          <w:spacing w:val="-6"/>
          <w:sz w:val="22"/>
          <w:szCs w:val="22"/>
          <w14:textOutline w14:w="4013" w14:cap="sq">
            <w14:solidFill>
              <w14:srgbClr w14:val="000000"/>
            </w14:solidFill>
            <w14:prstDash w14:val="solid"/>
            <w14:bevel/>
          </w14:textOutline>
        </w:rPr>
        <w:t>张兰兰</w:t>
      </w:r>
    </w:p>
    <w:p>
      <w:pPr>
        <w:spacing w:line="291" w:lineRule="auto"/>
        <w:rPr>
          <w:rFonts w:ascii="Arial"/>
          <w:sz w:val="21"/>
        </w:rPr>
      </w:pPr>
    </w:p>
    <w:p>
      <w:pPr>
        <w:pStyle w:val="BodyText"/>
        <w:spacing w:before="64" w:line="190" w:lineRule="auto"/>
        <w:ind w:left="123"/>
        <w:rPr>
          <w:sz w:val="18"/>
          <w:szCs w:val="18"/>
        </w:rPr>
      </w:pPr>
      <w:r>
        <w:rPr>
          <w:spacing w:val="-6"/>
          <w:sz w:val="18"/>
          <w:szCs w:val="18"/>
        </w:rPr>
        <w:t>时间：2023</w:t>
      </w:r>
      <w:r>
        <w:rPr>
          <w:spacing w:val="19"/>
          <w:w w:val="101"/>
          <w:sz w:val="18"/>
          <w:szCs w:val="18"/>
        </w:rPr>
        <w:t xml:space="preserve"> </w:t>
      </w:r>
      <w:r>
        <w:rPr>
          <w:spacing w:val="-6"/>
          <w:sz w:val="18"/>
          <w:szCs w:val="18"/>
        </w:rPr>
        <w:t>年</w:t>
      </w:r>
      <w:r>
        <w:rPr>
          <w:spacing w:val="24"/>
          <w:sz w:val="18"/>
          <w:szCs w:val="18"/>
        </w:rPr>
        <w:t xml:space="preserve"> </w:t>
      </w:r>
      <w:r>
        <w:rPr>
          <w:spacing w:val="-6"/>
          <w:sz w:val="18"/>
          <w:szCs w:val="18"/>
        </w:rPr>
        <w:t>12 月</w:t>
      </w:r>
      <w:r>
        <w:rPr>
          <w:spacing w:val="23"/>
          <w:w w:val="101"/>
          <w:sz w:val="18"/>
          <w:szCs w:val="18"/>
        </w:rPr>
        <w:t xml:space="preserve"> </w:t>
      </w:r>
      <w:r>
        <w:rPr>
          <w:spacing w:val="-6"/>
          <w:sz w:val="18"/>
          <w:szCs w:val="18"/>
        </w:rPr>
        <w:t>15</w:t>
      </w:r>
      <w:r>
        <w:rPr>
          <w:spacing w:val="30"/>
          <w:sz w:val="18"/>
          <w:szCs w:val="18"/>
        </w:rPr>
        <w:t xml:space="preserve"> </w:t>
      </w:r>
      <w:r>
        <w:rPr>
          <w:spacing w:val="-6"/>
          <w:sz w:val="18"/>
          <w:szCs w:val="18"/>
        </w:rPr>
        <w:t>日</w:t>
      </w:r>
    </w:p>
    <w:p>
      <w:pPr>
        <w:pStyle w:val="BodyText"/>
        <w:spacing w:line="283" w:lineRule="exact"/>
        <w:ind w:left="125"/>
        <w:rPr>
          <w:sz w:val="18"/>
          <w:szCs w:val="18"/>
        </w:rPr>
      </w:pPr>
      <w:r>
        <w:rPr>
          <w:spacing w:val="-4"/>
          <w:position w:val="3"/>
          <w:sz w:val="18"/>
          <w:szCs w:val="18"/>
        </w:rPr>
        <w:t>邮箱 ：dfjc-jr</w:t>
      </w:r>
      <w:r>
        <w:rPr>
          <w:spacing w:val="-11"/>
          <w:position w:val="3"/>
          <w:sz w:val="18"/>
          <w:szCs w:val="18"/>
        </w:rPr>
        <w:t xml:space="preserve"> </w:t>
      </w:r>
      <w:r>
        <w:rPr>
          <w:spacing w:val="-4"/>
          <w:position w:val="3"/>
          <w:sz w:val="18"/>
          <w:szCs w:val="18"/>
        </w:rPr>
        <w:t>@coamc.com.cn</w:t>
      </w:r>
    </w:p>
    <w:p>
      <w:pPr>
        <w:pStyle w:val="BodyText"/>
        <w:spacing w:before="25" w:line="195" w:lineRule="auto"/>
        <w:ind w:left="131"/>
        <w:rPr>
          <w:sz w:val="18"/>
          <w:szCs w:val="18"/>
        </w:rPr>
      </w:pPr>
      <w:r>
        <w:rPr>
          <w:spacing w:val="-2"/>
          <w:sz w:val="18"/>
          <w:szCs w:val="18"/>
        </w:rPr>
        <w:t>电话：010-62299800</w:t>
      </w:r>
    </w:p>
    <w:p>
      <w:pPr>
        <w:pStyle w:val="BodyText"/>
        <w:spacing w:before="45" w:line="197" w:lineRule="auto"/>
        <w:ind w:left="113"/>
        <w:rPr>
          <w:sz w:val="18"/>
          <w:szCs w:val="18"/>
        </w:rPr>
      </w:pPr>
      <w:r>
        <w:rPr>
          <w:spacing w:val="-1"/>
          <w:sz w:val="18"/>
          <w:szCs w:val="18"/>
        </w:rPr>
        <w:t>传真：010-65660988</w:t>
      </w:r>
    </w:p>
    <w:p>
      <w:pPr>
        <w:pStyle w:val="BodyText"/>
        <w:spacing w:before="43" w:line="219" w:lineRule="auto"/>
        <w:ind w:left="112" w:right="129"/>
        <w:rPr>
          <w:sz w:val="18"/>
          <w:szCs w:val="18"/>
        </w:rPr>
      </w:pPr>
      <w:r>
        <w:rPr>
          <w:spacing w:val="4"/>
          <w:sz w:val="18"/>
          <w:szCs w:val="18"/>
        </w:rPr>
        <w:t>地址 ：北京市丰台区丽泽金融商务区平安幸福中心</w:t>
      </w:r>
      <w:r>
        <w:rPr>
          <w:spacing w:val="16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A 座 45、46、47 层    100071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31" w:line="222" w:lineRule="auto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3"/>
          <w:sz w:val="24"/>
          <w:szCs w:val="24"/>
          <w14:textOutline w14:w="4358" w14:cap="sq">
            <w14:solidFill>
              <w14:srgbClr w14:val="000000"/>
            </w14:solidFill>
            <w14:prstDash w14:val="solid"/>
            <w14:bevel/>
          </w14:textOutline>
        </w:rPr>
        <w:t>主要观点</w:t>
      </w:r>
    </w:p>
    <w:p>
      <w:pPr>
        <w:spacing w:line="449" w:lineRule="auto"/>
        <w:rPr>
          <w:rFonts w:ascii="Arial"/>
          <w:sz w:val="21"/>
        </w:rPr>
      </w:pPr>
    </w:p>
    <w:p>
      <w:pPr>
        <w:pStyle w:val="BodyText"/>
        <w:spacing w:before="66" w:line="383" w:lineRule="auto"/>
        <w:ind w:left="412" w:right="108" w:hanging="409"/>
      </w:pPr>
      <w:r>
        <w:rPr>
          <w:rFonts w:ascii="Wingdings" w:eastAsia="Wingdings" w:hAnsi="Wingdings" w:cs="Wingdings"/>
          <w:spacing w:val="10"/>
        </w:rPr>
        <w:t>.</w:t>
      </w:r>
      <w:r>
        <w:rPr>
          <w:rFonts w:ascii="Wingdings" w:eastAsia="Wingdings" w:hAnsi="Wingdings" w:cs="Wingdings"/>
          <w:spacing w:val="98"/>
        </w:rPr>
        <w:t xml:space="preserve"> </w:t>
      </w:r>
      <w:r>
        <w:rPr>
          <w:rFonts w:ascii="SimHei" w:eastAsia="SimHei" w:hAnsi="SimHei" w:cs="SimHei"/>
          <w:spacing w:val="10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银行业：</w:t>
      </w:r>
      <w:r>
        <w:rPr>
          <w:spacing w:val="10"/>
        </w:rPr>
        <w:t>信贷增长平稳，</w:t>
      </w:r>
      <w:r>
        <w:rPr>
          <w:spacing w:val="-24"/>
        </w:rPr>
        <w:t xml:space="preserve"> </w:t>
      </w:r>
      <w:r>
        <w:rPr>
          <w:spacing w:val="10"/>
        </w:rPr>
        <w:t>政府债支撑社融延续；</w:t>
      </w:r>
      <w:r>
        <w:t xml:space="preserve">  </w:t>
      </w:r>
      <w:r>
        <w:rPr>
          <w:spacing w:val="10"/>
        </w:rPr>
        <w:t>《商业银行资本管理办法》</w:t>
      </w:r>
      <w:r>
        <w:rPr>
          <w:spacing w:val="-14"/>
        </w:rPr>
        <w:t xml:space="preserve"> </w:t>
      </w:r>
      <w:r>
        <w:rPr>
          <w:spacing w:val="10"/>
        </w:rPr>
        <w:t>正式发布，</w:t>
      </w:r>
      <w:r>
        <w:rPr>
          <w:spacing w:val="-16"/>
        </w:rPr>
        <w:t xml:space="preserve"> </w:t>
      </w:r>
      <w:r>
        <w:rPr>
          <w:spacing w:val="10"/>
        </w:rPr>
        <w:t>引导银行回</w:t>
      </w:r>
      <w:r>
        <w:t xml:space="preserve"> </w:t>
      </w:r>
      <w:r>
        <w:rPr>
          <w:spacing w:val="11"/>
        </w:rPr>
        <w:t>归信贷业务</w:t>
      </w:r>
      <w:r>
        <w:rPr>
          <w:spacing w:val="-21"/>
        </w:rPr>
        <w:t xml:space="preserve"> </w:t>
      </w:r>
      <w:r>
        <w:rPr>
          <w:spacing w:val="11"/>
        </w:rPr>
        <w:t>、提高服务实体经济力度，</w:t>
      </w:r>
      <w:r>
        <w:rPr>
          <w:spacing w:val="-26"/>
        </w:rPr>
        <w:t xml:space="preserve"> </w:t>
      </w:r>
      <w:r>
        <w:rPr>
          <w:spacing w:val="11"/>
        </w:rPr>
        <w:t>也对银</w:t>
      </w:r>
      <w:r>
        <w:rPr>
          <w:spacing w:val="10"/>
        </w:rPr>
        <w:t>行资</w:t>
      </w:r>
      <w:r>
        <w:t xml:space="preserve"> </w:t>
      </w:r>
      <w:r>
        <w:rPr>
          <w:spacing w:val="11"/>
        </w:rPr>
        <w:t>本管理能力提出更高要求，</w:t>
      </w:r>
      <w:r>
        <w:rPr>
          <w:spacing w:val="-2"/>
        </w:rPr>
        <w:t xml:space="preserve"> </w:t>
      </w:r>
      <w:r>
        <w:rPr>
          <w:spacing w:val="11"/>
        </w:rPr>
        <w:t>中小银行资本管理能力</w:t>
      </w:r>
    </w:p>
    <w:p>
      <w:pPr>
        <w:pStyle w:val="BodyText"/>
        <w:spacing w:line="203" w:lineRule="auto"/>
        <w:ind w:left="419"/>
      </w:pPr>
      <w:r>
        <w:rPr>
          <w:spacing w:val="7"/>
        </w:rPr>
        <w:t>或将进一步分化；</w:t>
      </w:r>
    </w:p>
    <w:p>
      <w:pPr>
        <w:pStyle w:val="BodyText"/>
        <w:spacing w:before="269" w:line="386" w:lineRule="auto"/>
        <w:ind w:left="416" w:right="106" w:hanging="413"/>
      </w:pPr>
      <w:r>
        <w:rPr>
          <w:rFonts w:ascii="Wingdings" w:eastAsia="Wingdings" w:hAnsi="Wingdings" w:cs="Wingdings"/>
          <w:spacing w:val="9"/>
        </w:rPr>
        <w:t>.</w:t>
      </w:r>
      <w:r>
        <w:rPr>
          <w:rFonts w:ascii="Wingdings" w:eastAsia="Wingdings" w:hAnsi="Wingdings" w:cs="Wingdings"/>
          <w:spacing w:val="105"/>
        </w:rPr>
        <w:t xml:space="preserve"> </w:t>
      </w:r>
      <w:r>
        <w:rPr>
          <w:rFonts w:ascii="SimHei" w:eastAsia="SimHei" w:hAnsi="SimHei" w:cs="SimHei"/>
          <w:spacing w:val="9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证券业：</w:t>
      </w:r>
      <w:r>
        <w:rPr>
          <w:rFonts w:ascii="SimHei" w:eastAsia="SimHei" w:hAnsi="SimHei" w:cs="SimHei"/>
          <w:spacing w:val="-50"/>
          <w:sz w:val="20"/>
          <w:szCs w:val="20"/>
        </w:rPr>
        <w:t xml:space="preserve"> </w:t>
      </w:r>
      <w:r>
        <w:rPr>
          <w:spacing w:val="9"/>
        </w:rPr>
        <w:t>两市交投活跃度上升，</w:t>
      </w:r>
      <w:r>
        <w:rPr>
          <w:spacing w:val="-14"/>
        </w:rPr>
        <w:t xml:space="preserve"> </w:t>
      </w:r>
      <w:r>
        <w:rPr>
          <w:spacing w:val="9"/>
        </w:rPr>
        <w:t>市场情绪有所提</w:t>
      </w:r>
      <w:r>
        <w:t xml:space="preserve"> </w:t>
      </w:r>
      <w:r>
        <w:rPr>
          <w:spacing w:val="9"/>
        </w:rPr>
        <w:t>振，</w:t>
      </w:r>
      <w:r>
        <w:rPr>
          <w:spacing w:val="-18"/>
        </w:rPr>
        <w:t xml:space="preserve"> </w:t>
      </w:r>
      <w:r>
        <w:rPr>
          <w:spacing w:val="9"/>
        </w:rPr>
        <w:t>两融余额延续环比上升 ，股权融资规模环比改</w:t>
      </w:r>
    </w:p>
    <w:p>
      <w:pPr>
        <w:pStyle w:val="BodyText"/>
        <w:spacing w:line="205" w:lineRule="auto"/>
        <w:ind w:left="416"/>
      </w:pPr>
      <w:r>
        <w:rPr>
          <w:spacing w:val="6"/>
        </w:rPr>
        <w:t>善 ，证券业经营有望受利好政策推动改善；</w:t>
      </w:r>
    </w:p>
    <w:p>
      <w:pPr>
        <w:pStyle w:val="BodyText"/>
        <w:spacing w:before="271" w:line="388" w:lineRule="auto"/>
        <w:ind w:left="412" w:right="103" w:hanging="409"/>
      </w:pPr>
      <w:r>
        <w:rPr>
          <w:rFonts w:ascii="Wingdings" w:eastAsia="Wingdings" w:hAnsi="Wingdings" w:cs="Wingdings"/>
          <w:spacing w:val="5"/>
        </w:rPr>
        <w:t>.</w:t>
      </w:r>
      <w:r>
        <w:rPr>
          <w:rFonts w:ascii="Wingdings" w:eastAsia="Wingdings" w:hAnsi="Wingdings" w:cs="Wingdings"/>
          <w:spacing w:val="98"/>
        </w:rPr>
        <w:t xml:space="preserve"> </w:t>
      </w:r>
      <w:r>
        <w:rPr>
          <w:rFonts w:ascii="SimHei" w:eastAsia="SimHei" w:hAnsi="SimHei" w:cs="SimHei"/>
          <w:spacing w:val="5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保险业：</w:t>
      </w:r>
      <w:r>
        <w:rPr>
          <w:rFonts w:ascii="SimHei" w:eastAsia="SimHei" w:hAnsi="SimHei" w:cs="SimHei"/>
          <w:spacing w:val="-44"/>
          <w:sz w:val="20"/>
          <w:szCs w:val="20"/>
        </w:rPr>
        <w:t xml:space="preserve"> </w:t>
      </w:r>
      <w:r>
        <w:rPr>
          <w:spacing w:val="5"/>
        </w:rPr>
        <w:t>10</w:t>
      </w:r>
      <w:r>
        <w:rPr>
          <w:spacing w:val="23"/>
        </w:rPr>
        <w:t xml:space="preserve"> </w:t>
      </w:r>
      <w:r>
        <w:rPr>
          <w:spacing w:val="5"/>
        </w:rPr>
        <w:t>月寿险保费增速显著下滑，</w:t>
      </w:r>
      <w:r>
        <w:rPr>
          <w:spacing w:val="-19"/>
        </w:rPr>
        <w:t xml:space="preserve"> </w:t>
      </w:r>
      <w:r>
        <w:rPr>
          <w:spacing w:val="5"/>
        </w:rPr>
        <w:t>车险保费</w:t>
      </w:r>
      <w:r>
        <w:t xml:space="preserve"> </w:t>
      </w:r>
      <w:r>
        <w:rPr>
          <w:spacing w:val="9"/>
        </w:rPr>
        <w:t>增速维持较快增长，</w:t>
      </w:r>
      <w:r>
        <w:rPr>
          <w:spacing w:val="-14"/>
        </w:rPr>
        <w:t xml:space="preserve"> </w:t>
      </w:r>
      <w:r>
        <w:rPr>
          <w:spacing w:val="9"/>
        </w:rPr>
        <w:t>资金运用余额环比回落 ，大类</w:t>
      </w:r>
    </w:p>
    <w:p>
      <w:pPr>
        <w:pStyle w:val="BodyText"/>
        <w:spacing w:line="203" w:lineRule="auto"/>
        <w:ind w:left="422"/>
      </w:pPr>
      <w:r>
        <w:rPr>
          <w:spacing w:val="7"/>
        </w:rPr>
        <w:t>资产配置减少存款和权益；</w:t>
      </w:r>
    </w:p>
    <w:p>
      <w:pPr>
        <w:pStyle w:val="BodyText"/>
        <w:spacing w:before="271" w:line="384" w:lineRule="auto"/>
        <w:ind w:left="413" w:right="106" w:hanging="410"/>
      </w:pPr>
      <w:r>
        <w:rPr>
          <w:rFonts w:ascii="Wingdings" w:eastAsia="Wingdings" w:hAnsi="Wingdings" w:cs="Wingdings"/>
          <w:spacing w:val="1"/>
        </w:rPr>
        <w:t>.</w:t>
      </w:r>
      <w:r>
        <w:rPr>
          <w:rFonts w:ascii="Wingdings" w:eastAsia="Wingdings" w:hAnsi="Wingdings" w:cs="Wingdings"/>
          <w:spacing w:val="105"/>
        </w:rPr>
        <w:t xml:space="preserve"> </w:t>
      </w:r>
      <w:r>
        <w:rPr>
          <w:rFonts w:ascii="SimHei" w:eastAsia="SimHei" w:hAnsi="SimHei" w:cs="SimHei"/>
          <w:spacing w:val="1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金融债发行：</w:t>
      </w:r>
      <w:r>
        <w:rPr>
          <w:spacing w:val="1"/>
        </w:rPr>
        <w:t>商业银行金融债发行提速 ，单月融资</w:t>
      </w:r>
      <w:r>
        <w:t xml:space="preserve"> </w:t>
      </w:r>
      <w:r>
        <w:rPr>
          <w:spacing w:val="18"/>
        </w:rPr>
        <w:t>规模创两年来新高，</w:t>
      </w:r>
      <w:r>
        <w:rPr>
          <w:spacing w:val="-11"/>
        </w:rPr>
        <w:t xml:space="preserve"> </w:t>
      </w:r>
      <w:r>
        <w:rPr>
          <w:spacing w:val="18"/>
        </w:rPr>
        <w:t>绿色</w:t>
      </w:r>
      <w:r>
        <w:rPr>
          <w:spacing w:val="-12"/>
        </w:rPr>
        <w:t xml:space="preserve"> </w:t>
      </w:r>
      <w:r>
        <w:rPr>
          <w:spacing w:val="18"/>
        </w:rPr>
        <w:t>、</w:t>
      </w:r>
      <w:r>
        <w:rPr>
          <w:spacing w:val="-21"/>
        </w:rPr>
        <w:t xml:space="preserve"> </w:t>
      </w:r>
      <w:r>
        <w:rPr>
          <w:spacing w:val="18"/>
        </w:rPr>
        <w:t>小微等专项债持续升</w:t>
      </w:r>
      <w:r>
        <w:t xml:space="preserve"> </w:t>
      </w:r>
      <w:r>
        <w:rPr>
          <w:spacing w:val="18"/>
        </w:rPr>
        <w:t>温，</w:t>
      </w:r>
      <w:r>
        <w:rPr>
          <w:spacing w:val="-14"/>
        </w:rPr>
        <w:t xml:space="preserve"> </w:t>
      </w:r>
      <w:r>
        <w:rPr>
          <w:spacing w:val="18"/>
        </w:rPr>
        <w:t>发行利差有所收窄； 同业存单净融资由负转</w:t>
      </w:r>
    </w:p>
    <w:p>
      <w:pPr>
        <w:pStyle w:val="BodyText"/>
        <w:spacing w:line="204" w:lineRule="auto"/>
        <w:ind w:left="418"/>
      </w:pPr>
      <w:r>
        <w:rPr>
          <w:spacing w:val="5"/>
        </w:rPr>
        <w:t>正，</w:t>
      </w:r>
      <w:r>
        <w:rPr>
          <w:spacing w:val="-21"/>
        </w:rPr>
        <w:t xml:space="preserve"> </w:t>
      </w:r>
      <w:r>
        <w:rPr>
          <w:spacing w:val="5"/>
        </w:rPr>
        <w:t>收益率持续上行；</w:t>
      </w:r>
    </w:p>
    <w:p>
      <w:pPr>
        <w:pStyle w:val="BodyText"/>
        <w:spacing w:before="268" w:line="383" w:lineRule="auto"/>
        <w:ind w:left="412" w:right="101" w:hanging="409"/>
      </w:pPr>
      <w:r>
        <w:rPr>
          <w:rFonts w:ascii="Wingdings" w:eastAsia="Wingdings" w:hAnsi="Wingdings" w:cs="Wingdings"/>
          <w:spacing w:val="12"/>
        </w:rPr>
        <w:t>.</w:t>
      </w:r>
      <w:r>
        <w:rPr>
          <w:rFonts w:ascii="Wingdings" w:eastAsia="Wingdings" w:hAnsi="Wingdings" w:cs="Wingdings"/>
          <w:spacing w:val="102"/>
        </w:rPr>
        <w:t xml:space="preserve"> </w:t>
      </w:r>
      <w:r>
        <w:rPr>
          <w:rFonts w:ascii="SimHei" w:eastAsia="SimHei" w:hAnsi="SimHei" w:cs="SimHei"/>
          <w:spacing w:val="12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金融债市场展望：</w:t>
      </w:r>
      <w:r>
        <w:rPr>
          <w:rFonts w:ascii="SimHei" w:eastAsia="SimHei" w:hAnsi="SimHei" w:cs="SimHei"/>
          <w:spacing w:val="-25"/>
          <w:sz w:val="20"/>
          <w:szCs w:val="20"/>
        </w:rPr>
        <w:t xml:space="preserve"> </w:t>
      </w:r>
      <w:r>
        <w:rPr>
          <w:spacing w:val="12"/>
        </w:rPr>
        <w:t>12</w:t>
      </w:r>
      <w:r>
        <w:rPr>
          <w:spacing w:val="32"/>
        </w:rPr>
        <w:t xml:space="preserve"> </w:t>
      </w:r>
      <w:r>
        <w:rPr>
          <w:spacing w:val="12"/>
        </w:rPr>
        <w:t>月政府债供给压力依然较</w:t>
      </w:r>
      <w:r>
        <w:t xml:space="preserve"> </w:t>
      </w:r>
      <w:r>
        <w:rPr>
          <w:spacing w:val="10"/>
        </w:rPr>
        <w:t>大，</w:t>
      </w:r>
      <w:r>
        <w:rPr>
          <w:spacing w:val="-4"/>
        </w:rPr>
        <w:t xml:space="preserve"> </w:t>
      </w:r>
      <w:r>
        <w:rPr>
          <w:spacing w:val="10"/>
        </w:rPr>
        <w:t>叠加跨年因素影响，</w:t>
      </w:r>
      <w:r>
        <w:rPr>
          <w:spacing w:val="-22"/>
        </w:rPr>
        <w:t xml:space="preserve"> </w:t>
      </w:r>
      <w:r>
        <w:rPr>
          <w:spacing w:val="10"/>
        </w:rPr>
        <w:t>商业银行考核压力和现金</w:t>
      </w:r>
      <w:r>
        <w:t xml:space="preserve"> </w:t>
      </w:r>
      <w:r>
        <w:rPr>
          <w:spacing w:val="7"/>
        </w:rPr>
        <w:t>需求增加，</w:t>
      </w:r>
      <w:r>
        <w:rPr>
          <w:spacing w:val="-8"/>
        </w:rPr>
        <w:t xml:space="preserve"> </w:t>
      </w:r>
      <w:r>
        <w:rPr>
          <w:spacing w:val="7"/>
        </w:rPr>
        <w:t>资金面短期仍将呈现趋紧态势</w:t>
      </w:r>
      <w:r>
        <w:rPr>
          <w:spacing w:val="-20"/>
        </w:rPr>
        <w:t xml:space="preserve"> </w:t>
      </w:r>
      <w:r>
        <w:rPr>
          <w:spacing w:val="7"/>
        </w:rPr>
        <w:t>。</w:t>
      </w:r>
      <w:r>
        <w:rPr>
          <w:spacing w:val="-27"/>
        </w:rPr>
        <w:t xml:space="preserve"> </w:t>
      </w:r>
      <w:r>
        <w:rPr>
          <w:spacing w:val="7"/>
        </w:rPr>
        <w:t>此外 ，</w:t>
      </w:r>
      <w:r>
        <w:t xml:space="preserve"> </w:t>
      </w:r>
      <w:r>
        <w:rPr>
          <w:spacing w:val="13"/>
        </w:rPr>
        <w:t>在政策引导持续加大信贷投放以及经济修复提速背</w:t>
      </w:r>
    </w:p>
    <w:p>
      <w:pPr>
        <w:pStyle w:val="BodyText"/>
        <w:spacing w:before="1" w:line="173" w:lineRule="auto"/>
        <w:ind w:left="419"/>
      </w:pPr>
      <w:bookmarkStart w:id="0" w:name="bookmark1"/>
      <w:bookmarkEnd w:id="0"/>
      <w:r>
        <w:rPr>
          <w:spacing w:val="5"/>
        </w:rPr>
        <w:t>景下 ，绿色</w:t>
      </w:r>
      <w:r>
        <w:rPr>
          <w:spacing w:val="-21"/>
        </w:rPr>
        <w:t xml:space="preserve"> </w:t>
      </w:r>
      <w:r>
        <w:rPr>
          <w:spacing w:val="5"/>
        </w:rPr>
        <w:t>、小微等专项债券仍将是发行热点。</w:t>
      </w:r>
    </w:p>
    <w:p>
      <w:pPr>
        <w:spacing w:line="173" w:lineRule="auto"/>
        <w:sectPr>
          <w:headerReference w:type="default" r:id="rId6"/>
          <w:type w:val="continuous"/>
          <w:pgSz w:w="11906" w:h="16839"/>
          <w:pgMar w:top="2091" w:right="1564" w:bottom="0" w:left="895" w:header="1595" w:footer="0" w:gutter="0"/>
          <w:pgNumType w:start="2"/>
          <w:cols w:num="2" w:space="708" w:equalWidth="0">
            <w:col w:w="4356" w:space="100"/>
            <w:col w:w="4992" w:space="0"/>
          </w:cols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  <w:sectPr>
          <w:headerReference w:type="default" r:id="rId7"/>
          <w:type w:val="continuous"/>
          <w:pgSz w:w="11906" w:h="16839"/>
          <w:pgMar w:top="2091" w:right="1564" w:bottom="0" w:left="895" w:header="1595" w:footer="0" w:gutter="0"/>
          <w:pgNumType w:start="3"/>
          <w:cols w:num="1" w:space="708" w:equalWidth="0">
            <w:col w:w="9447" w:space="0"/>
          </w:cols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before="42" w:line="186" w:lineRule="auto"/>
        <w:ind w:left="915"/>
        <w:rPr>
          <w:sz w:val="12"/>
          <w:szCs w:val="12"/>
        </w:rPr>
      </w:pPr>
      <w:r>
        <w:rPr>
          <w:spacing w:val="8"/>
          <w:position w:val="5"/>
          <w:sz w:val="7"/>
          <w:szCs w:val="7"/>
        </w:rPr>
        <w:t xml:space="preserve">1  </w:t>
      </w:r>
      <w:r>
        <w:rPr>
          <w:spacing w:val="8"/>
          <w:sz w:val="12"/>
          <w:szCs w:val="12"/>
        </w:rPr>
        <w:t>本文金融债包含商业银行债</w:t>
      </w:r>
      <w:r>
        <w:rPr>
          <w:spacing w:val="-17"/>
          <w:sz w:val="12"/>
          <w:szCs w:val="12"/>
        </w:rPr>
        <w:t xml:space="preserve"> </w:t>
      </w:r>
      <w:r>
        <w:rPr>
          <w:spacing w:val="8"/>
          <w:sz w:val="12"/>
          <w:szCs w:val="12"/>
        </w:rPr>
        <w:t>、商业银行次级债</w:t>
      </w:r>
      <w:r>
        <w:rPr>
          <w:spacing w:val="-17"/>
          <w:sz w:val="12"/>
          <w:szCs w:val="12"/>
        </w:rPr>
        <w:t xml:space="preserve"> </w:t>
      </w:r>
      <w:r>
        <w:rPr>
          <w:spacing w:val="8"/>
          <w:sz w:val="12"/>
          <w:szCs w:val="12"/>
        </w:rPr>
        <w:t>、保险公司债</w:t>
      </w:r>
      <w:r>
        <w:rPr>
          <w:spacing w:val="-17"/>
          <w:sz w:val="12"/>
          <w:szCs w:val="12"/>
        </w:rPr>
        <w:t xml:space="preserve"> </w:t>
      </w:r>
      <w:r>
        <w:rPr>
          <w:spacing w:val="8"/>
          <w:sz w:val="12"/>
          <w:szCs w:val="12"/>
        </w:rPr>
        <w:t>、证券公司债</w:t>
      </w:r>
      <w:r>
        <w:rPr>
          <w:spacing w:val="-16"/>
          <w:sz w:val="12"/>
          <w:szCs w:val="12"/>
        </w:rPr>
        <w:t xml:space="preserve"> </w:t>
      </w:r>
      <w:r>
        <w:rPr>
          <w:spacing w:val="8"/>
          <w:sz w:val="12"/>
          <w:szCs w:val="12"/>
        </w:rPr>
        <w:t>、证券公司短</w:t>
      </w:r>
      <w:r>
        <w:rPr>
          <w:spacing w:val="7"/>
          <w:sz w:val="12"/>
          <w:szCs w:val="12"/>
        </w:rPr>
        <w:t>期融资券</w:t>
      </w:r>
      <w:r>
        <w:rPr>
          <w:spacing w:val="-17"/>
          <w:sz w:val="12"/>
          <w:szCs w:val="12"/>
        </w:rPr>
        <w:t xml:space="preserve"> </w:t>
      </w:r>
      <w:r>
        <w:rPr>
          <w:spacing w:val="7"/>
          <w:sz w:val="12"/>
          <w:szCs w:val="12"/>
        </w:rPr>
        <w:t>、其它金融机构债</w:t>
      </w:r>
      <w:r>
        <w:rPr>
          <w:spacing w:val="-4"/>
          <w:sz w:val="12"/>
          <w:szCs w:val="12"/>
        </w:rPr>
        <w:t xml:space="preserve"> </w:t>
      </w:r>
      <w:r>
        <w:rPr>
          <w:spacing w:val="7"/>
          <w:sz w:val="12"/>
          <w:szCs w:val="12"/>
        </w:rPr>
        <w:t>，不含政策银行债。</w:t>
      </w:r>
    </w:p>
    <w:p>
      <w:pPr>
        <w:spacing w:line="186" w:lineRule="auto"/>
        <w:rPr>
          <w:sz w:val="12"/>
          <w:szCs w:val="12"/>
        </w:rPr>
        <w:sectPr>
          <w:headerReference w:type="default" r:id="rId8"/>
          <w:type w:val="nextPage"/>
          <w:pgSz w:w="11906" w:h="16839"/>
          <w:pgMar w:top="2091" w:right="1564" w:bottom="0" w:left="895" w:header="1595" w:footer="0" w:gutter="0"/>
          <w:pgNumType w:start="4"/>
          <w:cols w:num="1" w:space="708" w:equalWidth="0">
            <w:col w:w="9447" w:space="0"/>
          </w:cols>
          <w:titlePg w:val="0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sdt>
      <w:sdtPr>
        <w:rPr>
          <w:rFonts w:ascii="SimHei" w:eastAsia="SimHei" w:hAnsi="SimHei" w:cs="SimHei"/>
          <w:sz w:val="20"/>
          <w:szCs w:val="20"/>
        </w:rPr>
        <w:id w:val="1250168682"/>
        <w:docPartObj>
          <w:docPartGallery w:val="Table of Contents"/>
          <w:docPartUnique/>
        </w:docPartObj>
      </w:sdtPr>
      <w:sdtEndPr>
        <w:rPr>
          <w:rFonts w:ascii="SimHei" w:eastAsia="SimHei" w:hAnsi="SimHei" w:cs="SimHei"/>
          <w:sz w:val="20"/>
          <w:szCs w:val="20"/>
        </w:rPr>
      </w:sdtEndPr>
      <w:sdtContent>
        <w:p>
          <w:pPr>
            <w:spacing w:before="65" w:line="230" w:lineRule="auto"/>
            <w:ind w:left="3885"/>
            <w:rPr>
              <w:rFonts w:ascii="SimHei" w:eastAsia="SimHei" w:hAnsi="SimHei" w:cs="SimHei"/>
              <w:sz w:val="20"/>
              <w:szCs w:val="20"/>
            </w:rPr>
          </w:pPr>
          <w:r>
            <w:rPr>
              <w:rFonts w:ascii="SimHei" w:eastAsia="SimHei" w:hAnsi="SimHei" w:cs="SimHei"/>
              <w:spacing w:val="-13"/>
              <w:sz w:val="20"/>
              <w:szCs w:val="20"/>
            </w:rPr>
            <w:t>目</w:t>
          </w:r>
          <w:r>
            <w:rPr>
              <w:rFonts w:ascii="SimHei" w:eastAsia="SimHei" w:hAnsi="SimHei" w:cs="SimHei"/>
              <w:spacing w:val="10"/>
              <w:sz w:val="20"/>
              <w:szCs w:val="20"/>
            </w:rPr>
            <w:t xml:space="preserve">  </w:t>
          </w:r>
          <w:r>
            <w:rPr>
              <w:rFonts w:ascii="SimHei" w:eastAsia="SimHei" w:hAnsi="SimHei" w:cs="SimHei"/>
              <w:spacing w:val="-13"/>
              <w:sz w:val="20"/>
              <w:szCs w:val="20"/>
            </w:rPr>
            <w:t>录</w:t>
          </w:r>
        </w:p>
        <w:p>
          <w:pPr>
            <w:tabs>
              <w:tab w:val="right" w:leader="dot" w:pos="8319"/>
            </w:tabs>
            <w:spacing w:before="194" w:line="196" w:lineRule="auto"/>
            <w:ind w:left="452"/>
            <w:rPr>
              <w:rFonts w:ascii="SimHei" w:eastAsia="SimHei" w:hAnsi="SimHei" w:cs="SimHei"/>
              <w:sz w:val="20"/>
              <w:szCs w:val="20"/>
            </w:rPr>
          </w:pPr>
          <w:hyperlink w:anchor="bookmark2" w:history="1">
            <w:r>
              <w:rPr>
                <w:rFonts w:ascii="SimHei" w:eastAsia="SimHei" w:hAnsi="SimHei" w:cs="SimHei"/>
                <w:spacing w:val="5"/>
                <w:sz w:val="20"/>
                <w:szCs w:val="20"/>
              </w:rPr>
              <w:t>1.监管政策跟踪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24"/>
                <w:sz w:val="20"/>
                <w:szCs w:val="20"/>
              </w:rPr>
              <w:t>1</w:t>
            </w:r>
          </w:hyperlink>
        </w:p>
        <w:p>
          <w:pPr>
            <w:tabs>
              <w:tab w:val="right" w:leader="dot" w:pos="8319"/>
            </w:tabs>
            <w:spacing w:before="99" w:line="196" w:lineRule="auto"/>
            <w:ind w:left="440"/>
            <w:rPr>
              <w:rFonts w:ascii="SimHei" w:eastAsia="SimHei" w:hAnsi="SimHei" w:cs="SimHei"/>
              <w:sz w:val="20"/>
              <w:szCs w:val="20"/>
            </w:rPr>
          </w:pPr>
          <w:hyperlink w:anchor="bookmark3" w:history="1">
            <w:r>
              <w:rPr>
                <w:rFonts w:ascii="SimHei" w:eastAsia="SimHei" w:hAnsi="SimHei" w:cs="SimHei"/>
                <w:spacing w:val="6"/>
                <w:sz w:val="20"/>
                <w:szCs w:val="20"/>
              </w:rPr>
              <w:t>2.行业动态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15"/>
                <w:w w:val="113"/>
                <w:sz w:val="20"/>
                <w:szCs w:val="20"/>
              </w:rPr>
              <w:t>3</w:t>
            </w:r>
          </w:hyperlink>
        </w:p>
        <w:p>
          <w:pPr>
            <w:tabs>
              <w:tab w:val="right" w:leader="dot" w:pos="8319"/>
            </w:tabs>
            <w:spacing w:before="99" w:line="196" w:lineRule="auto"/>
            <w:ind w:left="440"/>
            <w:rPr>
              <w:rFonts w:ascii="SimHei" w:eastAsia="SimHei" w:hAnsi="SimHei" w:cs="SimHei"/>
              <w:sz w:val="20"/>
              <w:szCs w:val="20"/>
            </w:rPr>
          </w:pPr>
          <w:hyperlink w:anchor="bookmark4" w:history="1">
            <w:r>
              <w:rPr>
                <w:rFonts w:ascii="SimHei" w:eastAsia="SimHei" w:hAnsi="SimHei" w:cs="SimHei"/>
                <w:spacing w:val="5"/>
                <w:sz w:val="20"/>
                <w:szCs w:val="20"/>
              </w:rPr>
              <w:t>2.1</w:t>
            </w:r>
            <w:r>
              <w:rPr>
                <w:rFonts w:ascii="SimHei" w:eastAsia="SimHei" w:hAnsi="SimHei" w:cs="SimHei"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SimHei" w:eastAsia="SimHei" w:hAnsi="SimHei" w:cs="SimHei"/>
                <w:spacing w:val="5"/>
                <w:sz w:val="20"/>
                <w:szCs w:val="20"/>
              </w:rPr>
              <w:t>银行业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15"/>
                <w:w w:val="114"/>
                <w:sz w:val="20"/>
                <w:szCs w:val="20"/>
              </w:rPr>
              <w:t>3</w:t>
            </w:r>
          </w:hyperlink>
        </w:p>
        <w:p>
          <w:pPr>
            <w:tabs>
              <w:tab w:val="right" w:leader="dot" w:pos="8319"/>
            </w:tabs>
            <w:spacing w:before="100" w:line="196" w:lineRule="auto"/>
            <w:ind w:left="440"/>
            <w:rPr>
              <w:rFonts w:ascii="SimHei" w:eastAsia="SimHei" w:hAnsi="SimHei" w:cs="SimHei"/>
              <w:sz w:val="20"/>
              <w:szCs w:val="20"/>
            </w:rPr>
          </w:pPr>
          <w:hyperlink w:anchor="bookmark5" w:history="1">
            <w:r>
              <w:rPr>
                <w:rFonts w:ascii="SimHei" w:eastAsia="SimHei" w:hAnsi="SimHei" w:cs="SimHei"/>
                <w:spacing w:val="5"/>
                <w:sz w:val="20"/>
                <w:szCs w:val="20"/>
              </w:rPr>
              <w:t>2.2</w:t>
            </w:r>
            <w:r>
              <w:rPr>
                <w:rFonts w:ascii="SimHei" w:eastAsia="SimHei" w:hAnsi="SimHei" w:cs="SimHei"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SimHei" w:eastAsia="SimHei" w:hAnsi="SimHei" w:cs="SimHei"/>
                <w:spacing w:val="5"/>
                <w:sz w:val="20"/>
                <w:szCs w:val="20"/>
              </w:rPr>
              <w:t>证券业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4"/>
                <w:w w:val="125"/>
                <w:sz w:val="20"/>
                <w:szCs w:val="20"/>
              </w:rPr>
              <w:t>4</w:t>
            </w:r>
          </w:hyperlink>
        </w:p>
        <w:p>
          <w:pPr>
            <w:tabs>
              <w:tab w:val="right" w:leader="dot" w:pos="8319"/>
            </w:tabs>
            <w:spacing w:before="99" w:line="196" w:lineRule="auto"/>
            <w:ind w:left="440"/>
            <w:rPr>
              <w:rFonts w:ascii="SimHei" w:eastAsia="SimHei" w:hAnsi="SimHei" w:cs="SimHei"/>
              <w:sz w:val="20"/>
              <w:szCs w:val="20"/>
            </w:rPr>
          </w:pPr>
          <w:hyperlink w:anchor="bookmark6" w:history="1">
            <w:r>
              <w:rPr>
                <w:rFonts w:ascii="SimHei" w:eastAsia="SimHei" w:hAnsi="SimHei" w:cs="SimHei"/>
                <w:spacing w:val="5"/>
                <w:sz w:val="20"/>
                <w:szCs w:val="20"/>
              </w:rPr>
              <w:t>2.3</w:t>
            </w:r>
            <w:r>
              <w:rPr>
                <w:rFonts w:ascii="SimHei" w:eastAsia="SimHei" w:hAnsi="SimHei" w:cs="SimHei"/>
                <w:spacing w:val="-42"/>
                <w:sz w:val="20"/>
                <w:szCs w:val="20"/>
              </w:rPr>
              <w:t xml:space="preserve"> </w:t>
            </w:r>
            <w:r>
              <w:rPr>
                <w:rFonts w:ascii="SimHei" w:eastAsia="SimHei" w:hAnsi="SimHei" w:cs="SimHei"/>
                <w:spacing w:val="5"/>
                <w:sz w:val="20"/>
                <w:szCs w:val="20"/>
              </w:rPr>
              <w:t>保险业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4"/>
                <w:w w:val="125"/>
                <w:sz w:val="20"/>
                <w:szCs w:val="20"/>
              </w:rPr>
              <w:t>4</w:t>
            </w:r>
          </w:hyperlink>
        </w:p>
        <w:p>
          <w:pPr>
            <w:tabs>
              <w:tab w:val="right" w:leader="dot" w:pos="8319"/>
            </w:tabs>
            <w:spacing w:before="100" w:line="196" w:lineRule="auto"/>
            <w:ind w:left="442"/>
            <w:rPr>
              <w:rFonts w:ascii="SimHei" w:eastAsia="SimHei" w:hAnsi="SimHei" w:cs="SimHei"/>
              <w:sz w:val="20"/>
              <w:szCs w:val="20"/>
            </w:rPr>
          </w:pPr>
          <w:hyperlink w:anchor="bookmark7" w:history="1">
            <w:r>
              <w:rPr>
                <w:rFonts w:ascii="SimHei" w:eastAsia="SimHei" w:hAnsi="SimHei" w:cs="SimHei"/>
                <w:spacing w:val="7"/>
                <w:sz w:val="20"/>
                <w:szCs w:val="20"/>
              </w:rPr>
              <w:t>3.金融债市场回顾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21"/>
                <w:sz w:val="20"/>
                <w:szCs w:val="20"/>
              </w:rPr>
              <w:t>5</w:t>
            </w:r>
          </w:hyperlink>
        </w:p>
        <w:p>
          <w:pPr>
            <w:tabs>
              <w:tab w:val="right" w:leader="dot" w:pos="8319"/>
            </w:tabs>
            <w:spacing w:before="100" w:line="196" w:lineRule="auto"/>
            <w:ind w:left="442"/>
            <w:rPr>
              <w:rFonts w:ascii="SimHei" w:eastAsia="SimHei" w:hAnsi="SimHei" w:cs="SimHei"/>
              <w:sz w:val="20"/>
              <w:szCs w:val="20"/>
            </w:rPr>
          </w:pPr>
          <w:hyperlink w:anchor="bookmark8" w:history="1">
            <w:r>
              <w:rPr>
                <w:rFonts w:ascii="SimHei" w:eastAsia="SimHei" w:hAnsi="SimHei" w:cs="SimHei"/>
                <w:spacing w:val="6"/>
                <w:sz w:val="20"/>
                <w:szCs w:val="20"/>
              </w:rPr>
              <w:t>3.1</w:t>
            </w:r>
            <w:r>
              <w:rPr>
                <w:rFonts w:ascii="SimHei" w:eastAsia="SimHei" w:hAnsi="SimHei" w:cs="SimHei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SimHei" w:eastAsia="SimHei" w:hAnsi="SimHei" w:cs="SimHei"/>
                <w:spacing w:val="6"/>
                <w:sz w:val="20"/>
                <w:szCs w:val="20"/>
              </w:rPr>
              <w:t>一级市场发行量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21"/>
                <w:sz w:val="20"/>
                <w:szCs w:val="20"/>
              </w:rPr>
              <w:t>5</w:t>
            </w:r>
          </w:hyperlink>
        </w:p>
        <w:p>
          <w:pPr>
            <w:tabs>
              <w:tab w:val="right" w:leader="dot" w:pos="8319"/>
            </w:tabs>
            <w:spacing w:before="99" w:line="196" w:lineRule="auto"/>
            <w:ind w:left="442"/>
            <w:rPr>
              <w:rFonts w:ascii="SimHei" w:eastAsia="SimHei" w:hAnsi="SimHei" w:cs="SimHei"/>
              <w:sz w:val="20"/>
              <w:szCs w:val="20"/>
            </w:rPr>
          </w:pPr>
          <w:hyperlink w:anchor="bookmark9" w:history="1">
            <w:r>
              <w:rPr>
                <w:rFonts w:ascii="SimHei" w:eastAsia="SimHei" w:hAnsi="SimHei" w:cs="SimHei"/>
                <w:spacing w:val="7"/>
                <w:sz w:val="20"/>
                <w:szCs w:val="20"/>
              </w:rPr>
              <w:t>3.2</w:t>
            </w:r>
            <w:r>
              <w:rPr>
                <w:rFonts w:ascii="SimHei" w:eastAsia="SimHei" w:hAnsi="SimHei" w:cs="SimHei"/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SimHei" w:eastAsia="SimHei" w:hAnsi="SimHei" w:cs="SimHei"/>
                <w:spacing w:val="7"/>
                <w:sz w:val="20"/>
                <w:szCs w:val="20"/>
              </w:rPr>
              <w:t>发行利率及利差分析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17"/>
                <w:sz w:val="20"/>
                <w:szCs w:val="20"/>
              </w:rPr>
              <w:t>6</w:t>
            </w:r>
          </w:hyperlink>
        </w:p>
        <w:p>
          <w:pPr>
            <w:tabs>
              <w:tab w:val="right" w:leader="dot" w:pos="8319"/>
            </w:tabs>
            <w:spacing w:before="100" w:line="196" w:lineRule="auto"/>
            <w:ind w:left="442"/>
            <w:rPr>
              <w:rFonts w:ascii="SimHei" w:eastAsia="SimHei" w:hAnsi="SimHei" w:cs="SimHei"/>
              <w:sz w:val="20"/>
              <w:szCs w:val="20"/>
            </w:rPr>
          </w:pPr>
          <w:hyperlink w:anchor="bookmark10" w:history="1">
            <w:r>
              <w:rPr>
                <w:rFonts w:ascii="SimHei" w:eastAsia="SimHei" w:hAnsi="SimHei" w:cs="SimHei"/>
                <w:spacing w:val="4"/>
                <w:sz w:val="20"/>
                <w:szCs w:val="20"/>
              </w:rPr>
              <w:t>3.3</w:t>
            </w:r>
            <w:r>
              <w:rPr>
                <w:rFonts w:ascii="SimHei" w:eastAsia="SimHei" w:hAnsi="SimHei" w:cs="SimHei"/>
                <w:spacing w:val="-33"/>
                <w:sz w:val="20"/>
                <w:szCs w:val="20"/>
              </w:rPr>
              <w:t xml:space="preserve"> </w:t>
            </w:r>
            <w:r>
              <w:rPr>
                <w:rFonts w:ascii="SimHei" w:eastAsia="SimHei" w:hAnsi="SimHei" w:cs="SimHei"/>
                <w:spacing w:val="4"/>
                <w:sz w:val="20"/>
                <w:szCs w:val="20"/>
              </w:rPr>
              <w:t>二级市场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15"/>
                <w:w w:val="111"/>
                <w:sz w:val="20"/>
                <w:szCs w:val="20"/>
              </w:rPr>
              <w:t>7</w:t>
            </w:r>
          </w:hyperlink>
        </w:p>
        <w:p>
          <w:pPr>
            <w:tabs>
              <w:tab w:val="right" w:leader="dot" w:pos="8319"/>
            </w:tabs>
            <w:spacing w:before="100" w:line="196" w:lineRule="auto"/>
            <w:ind w:left="442"/>
            <w:rPr>
              <w:rFonts w:ascii="SimHei" w:eastAsia="SimHei" w:hAnsi="SimHei" w:cs="SimHei"/>
              <w:sz w:val="20"/>
              <w:szCs w:val="20"/>
            </w:rPr>
          </w:pPr>
          <w:hyperlink w:anchor="bookmark11" w:history="1">
            <w:r>
              <w:rPr>
                <w:rFonts w:ascii="SimHei" w:eastAsia="SimHei" w:hAnsi="SimHei" w:cs="SimHei"/>
                <w:spacing w:val="6"/>
                <w:sz w:val="20"/>
                <w:szCs w:val="20"/>
              </w:rPr>
              <w:t>3.4</w:t>
            </w:r>
            <w:r>
              <w:rPr>
                <w:rFonts w:ascii="SimHei" w:eastAsia="SimHei" w:hAnsi="SimHei" w:cs="SimHei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SimHei" w:eastAsia="SimHei" w:hAnsi="SimHei" w:cs="SimHei"/>
                <w:spacing w:val="6"/>
                <w:sz w:val="20"/>
                <w:szCs w:val="20"/>
              </w:rPr>
              <w:t>金融债兑付情况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21"/>
                <w:sz w:val="20"/>
                <w:szCs w:val="20"/>
              </w:rPr>
              <w:t>8</w:t>
            </w:r>
          </w:hyperlink>
        </w:p>
        <w:p>
          <w:pPr>
            <w:tabs>
              <w:tab w:val="right" w:leader="dot" w:pos="8319"/>
            </w:tabs>
            <w:spacing w:before="99" w:line="196" w:lineRule="auto"/>
            <w:ind w:left="436"/>
            <w:rPr>
              <w:rFonts w:ascii="SimHei" w:eastAsia="SimHei" w:hAnsi="SimHei" w:cs="SimHei"/>
              <w:sz w:val="20"/>
              <w:szCs w:val="20"/>
            </w:rPr>
          </w:pPr>
          <w:hyperlink w:anchor="bookmark12" w:history="1">
            <w:r>
              <w:rPr>
                <w:rFonts w:ascii="SimHei" w:eastAsia="SimHei" w:hAnsi="SimHei" w:cs="SimHei"/>
                <w:spacing w:val="8"/>
                <w:sz w:val="20"/>
                <w:szCs w:val="20"/>
              </w:rPr>
              <w:t>4.主体级别（含展望）调整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13"/>
                <w:sz w:val="20"/>
                <w:szCs w:val="20"/>
              </w:rPr>
              <w:t>8</w:t>
            </w:r>
          </w:hyperlink>
        </w:p>
        <w:p>
          <w:pPr>
            <w:tabs>
              <w:tab w:val="right" w:leader="dot" w:pos="8319"/>
            </w:tabs>
            <w:spacing w:before="101" w:line="234" w:lineRule="auto"/>
            <w:ind w:left="437"/>
            <w:rPr>
              <w:rFonts w:ascii="SimHei" w:eastAsia="SimHei" w:hAnsi="SimHei" w:cs="SimHei"/>
              <w:sz w:val="20"/>
              <w:szCs w:val="20"/>
            </w:rPr>
          </w:pPr>
          <w:hyperlink w:anchor="bookmark13" w:history="1">
            <w:r>
              <w:rPr>
                <w:rFonts w:ascii="SimHei" w:eastAsia="SimHei" w:hAnsi="SimHei" w:cs="SimHei"/>
                <w:spacing w:val="5"/>
                <w:sz w:val="20"/>
                <w:szCs w:val="20"/>
              </w:rPr>
              <w:t>5.总结</w:t>
            </w:r>
            <w:r>
              <w:rPr>
                <w:rFonts w:ascii="SimHei" w:eastAsia="SimHei" w:hAnsi="SimHei" w:cs="SimHei"/>
                <w:sz w:val="20"/>
                <w:szCs w:val="20"/>
              </w:rPr>
              <w:tab/>
            </w:r>
            <w:r>
              <w:rPr>
                <w:rFonts w:ascii="SimHei" w:eastAsia="SimHei" w:hAnsi="SimHei" w:cs="SimHei"/>
                <w:spacing w:val="7"/>
                <w:w w:val="125"/>
                <w:sz w:val="20"/>
                <w:szCs w:val="20"/>
              </w:rPr>
              <w:t>9</w:t>
            </w:r>
          </w:hyperlink>
        </w:p>
      </w:sdtContent>
    </w:sdt>
    <w:p>
      <w:pPr>
        <w:spacing w:line="234" w:lineRule="auto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z w:val="20"/>
          <w:szCs w:val="20"/>
        </w:rPr>
        <w:br/>
      </w:r>
      <w:r>
        <w:rPr>
          <w:rFonts w:ascii="SimHei" w:eastAsia="SimHei" w:hAnsi="SimHei" w:cs="SimHei"/>
          <w:sz w:val="20"/>
          <w:szCs w:val="2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https://d.book118.com/437162012001006026</w:t>
        </w:r>
      </w:hyperlink>
    </w:p>
    <w:p>
      <w:pPr>
        <w:spacing w:line="234" w:lineRule="auto"/>
        <w:rPr>
          <w:rFonts w:ascii="SimHei" w:eastAsia="SimHei" w:hAnsi="SimHei" w:cs="SimHei"/>
          <w:sz w:val="20"/>
          <w:szCs w:val="20"/>
        </w:rPr>
      </w:pPr>
    </w:p>
    <w:sectPr>
      <w:headerReference w:type="default" r:id="rId10"/>
      <w:pgSz w:w="11906" w:h="16839"/>
      <w:pgMar w:top="400" w:right="1785" w:bottom="0" w:left="1785" w:header="0" w:footer="0" w:gutter="0"/>
      <w:pgNumType w:start="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95" w:line="206" w:lineRule="auto"/>
      <w:ind w:left="6901"/>
      <w:rPr>
        <w:sz w:val="20"/>
        <w:szCs w:val="20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655319</wp:posOffset>
          </wp:positionH>
          <wp:positionV relativeFrom="page">
            <wp:posOffset>1013459</wp:posOffset>
          </wp:positionV>
          <wp:extent cx="2001011" cy="22860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01011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3"/>
        <w:sz w:val="20"/>
        <w:szCs w:val="20"/>
      </w:rPr>
      <w:t>2023 年</w:t>
    </w:r>
    <w:r>
      <w:rPr>
        <w:spacing w:val="39"/>
        <w:w w:val="101"/>
        <w:sz w:val="20"/>
        <w:szCs w:val="20"/>
      </w:rPr>
      <w:t xml:space="preserve"> </w:t>
    </w:r>
    <w:r>
      <w:rPr>
        <w:spacing w:val="3"/>
        <w:sz w:val="20"/>
        <w:szCs w:val="20"/>
      </w:rPr>
      <w:t>11</w:t>
    </w:r>
    <w:r>
      <w:rPr>
        <w:spacing w:val="12"/>
        <w:w w:val="101"/>
        <w:sz w:val="20"/>
        <w:szCs w:val="20"/>
      </w:rPr>
      <w:t xml:space="preserve"> </w:t>
    </w:r>
    <w:r>
      <w:rPr>
        <w:spacing w:val="3"/>
        <w:sz w:val="20"/>
        <w:szCs w:val="20"/>
      </w:rPr>
      <w:t>月金融债月报</w:t>
    </w:r>
  </w:p>
  <w:p>
    <w:pPr>
      <w:spacing w:before="1" w:line="48" w:lineRule="exact"/>
    </w:pPr>
    <w:r>
      <w:rPr>
        <w:position w:val="-1"/>
      </w:rPr>
      <w:pict>
        <v:shape id="_x0000_i2049" style="width:472.35pt;height:2.9pt;mso-position-horizontal-relative:char;mso-position-vertical-relative:line" coordorigin="0,0" coordsize="9447,58" path="m,28l9446,28e" filled="f" strokecolor="#1f497d" strokeweight="2.88pt">
          <v:stroke joinstyle="bevel"/>
          <w10:wrap type="non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95" w:line="206" w:lineRule="auto"/>
      <w:ind w:left="6901"/>
      <w:rPr>
        <w:sz w:val="20"/>
        <w:szCs w:val="20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655319</wp:posOffset>
          </wp:positionH>
          <wp:positionV relativeFrom="page">
            <wp:posOffset>1013459</wp:posOffset>
          </wp:positionV>
          <wp:extent cx="2001011" cy="228600"/>
          <wp:effectExtent l="0" t="0" r="0" b="0"/>
          <wp:wrapNone/>
          <wp:docPr id="1069908120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908120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01011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3"/>
        <w:sz w:val="20"/>
        <w:szCs w:val="20"/>
      </w:rPr>
      <w:t>2023 年</w:t>
    </w:r>
    <w:r>
      <w:rPr>
        <w:spacing w:val="39"/>
        <w:w w:val="101"/>
        <w:sz w:val="20"/>
        <w:szCs w:val="20"/>
      </w:rPr>
      <w:t xml:space="preserve"> </w:t>
    </w:r>
    <w:r>
      <w:rPr>
        <w:spacing w:val="3"/>
        <w:sz w:val="20"/>
        <w:szCs w:val="20"/>
      </w:rPr>
      <w:t>11</w:t>
    </w:r>
    <w:r>
      <w:rPr>
        <w:spacing w:val="12"/>
        <w:w w:val="101"/>
        <w:sz w:val="20"/>
        <w:szCs w:val="20"/>
      </w:rPr>
      <w:t xml:space="preserve"> </w:t>
    </w:r>
    <w:r>
      <w:rPr>
        <w:spacing w:val="3"/>
        <w:sz w:val="20"/>
        <w:szCs w:val="20"/>
      </w:rPr>
      <w:t>月金融债月报</w:t>
    </w:r>
  </w:p>
  <w:p>
    <w:pPr>
      <w:spacing w:before="1" w:line="48" w:lineRule="exact"/>
    </w:pPr>
    <w:r>
      <w:rPr>
        <w:position w:val="-1"/>
      </w:rPr>
      <w:pict>
        <v:shape id="_x0000_i2050" style="width:472.35pt;height:2.9pt;mso-position-horizontal-relative:char;mso-position-vertical-relative:line" coordorigin="0,0" coordsize="9447,58" path="m,28l9446,28e" filled="f" strokecolor="#1f497d" strokeweight="2.88pt">
          <v:stroke joinstyle="bevel"/>
          <w10:wrap type="non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95" w:line="206" w:lineRule="auto"/>
      <w:ind w:left="6901"/>
      <w:rPr>
        <w:sz w:val="20"/>
        <w:szCs w:val="20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655319</wp:posOffset>
          </wp:positionH>
          <wp:positionV relativeFrom="page">
            <wp:posOffset>1013459</wp:posOffset>
          </wp:positionV>
          <wp:extent cx="2001011" cy="228600"/>
          <wp:effectExtent l="0" t="0" r="0" b="0"/>
          <wp:wrapNone/>
          <wp:docPr id="1116758640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758640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01011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3"/>
        <w:sz w:val="20"/>
        <w:szCs w:val="20"/>
      </w:rPr>
      <w:t>2023 年</w:t>
    </w:r>
    <w:r>
      <w:rPr>
        <w:spacing w:val="39"/>
        <w:w w:val="101"/>
        <w:sz w:val="20"/>
        <w:szCs w:val="20"/>
      </w:rPr>
      <w:t xml:space="preserve"> </w:t>
    </w:r>
    <w:r>
      <w:rPr>
        <w:spacing w:val="3"/>
        <w:sz w:val="20"/>
        <w:szCs w:val="20"/>
      </w:rPr>
      <w:t>11</w:t>
    </w:r>
    <w:r>
      <w:rPr>
        <w:spacing w:val="12"/>
        <w:w w:val="101"/>
        <w:sz w:val="20"/>
        <w:szCs w:val="20"/>
      </w:rPr>
      <w:t xml:space="preserve"> </w:t>
    </w:r>
    <w:r>
      <w:rPr>
        <w:spacing w:val="3"/>
        <w:sz w:val="20"/>
        <w:szCs w:val="20"/>
      </w:rPr>
      <w:t>月金融债月报</w:t>
    </w:r>
  </w:p>
  <w:p>
    <w:pPr>
      <w:spacing w:before="1" w:line="48" w:lineRule="exact"/>
    </w:pPr>
    <w:r>
      <w:rPr>
        <w:position w:val="-1"/>
      </w:rPr>
      <w:pict>
        <v:shape id="_x0000_i2051" style="width:472.35pt;height:2.9pt;mso-position-horizontal-relative:char;mso-position-vertical-relative:line" coordorigin="0,0" coordsize="9447,58" path="m,28l9446,28e" filled="f" strokecolor="#1f497d" strokeweight="2.88pt">
          <v:stroke joinstyle="bevel"/>
          <w10:wrap type="non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95" w:line="206" w:lineRule="auto"/>
      <w:ind w:left="6901"/>
      <w:rPr>
        <w:sz w:val="20"/>
        <w:szCs w:val="20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655319</wp:posOffset>
          </wp:positionH>
          <wp:positionV relativeFrom="page">
            <wp:posOffset>1013459</wp:posOffset>
          </wp:positionV>
          <wp:extent cx="2001011" cy="228600"/>
          <wp:effectExtent l="0" t="0" r="0" b="0"/>
          <wp:wrapNone/>
          <wp:docPr id="43856873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56873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01011" cy="228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3"/>
        <w:sz w:val="20"/>
        <w:szCs w:val="20"/>
      </w:rPr>
      <w:t>2023 年</w:t>
    </w:r>
    <w:r>
      <w:rPr>
        <w:spacing w:val="39"/>
        <w:w w:val="101"/>
        <w:sz w:val="20"/>
        <w:szCs w:val="20"/>
      </w:rPr>
      <w:t xml:space="preserve"> </w:t>
    </w:r>
    <w:r>
      <w:rPr>
        <w:spacing w:val="3"/>
        <w:sz w:val="20"/>
        <w:szCs w:val="20"/>
      </w:rPr>
      <w:t>11</w:t>
    </w:r>
    <w:r>
      <w:rPr>
        <w:spacing w:val="12"/>
        <w:w w:val="101"/>
        <w:sz w:val="20"/>
        <w:szCs w:val="20"/>
      </w:rPr>
      <w:t xml:space="preserve"> </w:t>
    </w:r>
    <w:r>
      <w:rPr>
        <w:spacing w:val="3"/>
        <w:sz w:val="20"/>
        <w:szCs w:val="20"/>
      </w:rPr>
      <w:t>月金融债月报</w:t>
    </w:r>
  </w:p>
  <w:p>
    <w:pPr>
      <w:spacing w:before="1" w:line="48" w:lineRule="exact"/>
    </w:pPr>
    <w:r>
      <w:rPr>
        <w:position w:val="-1"/>
      </w:rPr>
      <w:pict>
        <v:shape id="_x0000_i2052" style="width:472.35pt;height:2.9pt;mso-position-horizontal-relative:char;mso-position-vertical-relative:line" coordorigin="0,0" coordsize="9447,58" path="m,28l9446,28e" filled="f" strokecolor="#1f497d" strokeweight="2.88pt">
          <v:stroke joinstyle="bevel"/>
          <w10:wrap type="non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TXihei" w:eastAsia="STXihei" w:hAnsi="STXihei" w:cs="STXihei"/>
      <w:sz w:val="19"/>
      <w:szCs w:val="19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TXihei" w:eastAsia="STXihei" w:hAnsi="STXihei" w:cs="STXihei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image" Target="media/image2.jpeg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yperlink" Target="https://d.book118.com/437162012001006026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revision>0</cp:revision>
  <dcterms:created xsi:type="dcterms:W3CDTF">2024-01-06T20:50:50Z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2024-01-06T21:06:49Z</vt:filetime>
  </property>
  <property fmtid="{D5CDD505-2E9C-101B-9397-08002B2CF9AE}" pid="3" name="CRO">
    <vt:lpwstr>wqlLaW5nc29mdCBQREYgdG8gV1BTIDkw</vt:lpwstr>
  </property>
</Properties>
</file>