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高压开关柜行业相关公司设立可行性研究报告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2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_Toc525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66" w:history="1">
        <w:r>
          <w:rPr>
            <w:rFonts w:ascii="仿宋" w:eastAsia="仿宋" w:hAnsi="仿宋" w:cs="仿宋" w:hint="eastAsia"/>
            <w:lang w:eastAsia="zh-CN"/>
          </w:rPr>
          <w:t>一、高压开关柜筹建公司基本信息</w:t>
        </w:r>
        <w:r>
          <w:tab/>
        </w:r>
        <w:r>
          <w:fldChar w:fldCharType="begin"/>
        </w:r>
        <w:r>
          <w:instrText xml:space="preserve"> PAGEREF _Toc25266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_Toc16577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_Toc32586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_Toc28546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_Toc14739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_Toc28834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_Toc7010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28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_Toc15428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_Toc18695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_Toc7606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_Toc2820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_Toc11570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_Toc17360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0" w:history="1">
        <w:r>
          <w:rPr>
            <w:rFonts w:ascii="仿宋" w:eastAsia="仿宋" w:hAnsi="仿宋" w:cs="仿宋" w:hint="eastAsia"/>
            <w:lang w:eastAsia="zh-CN"/>
          </w:rPr>
          <w:t>(七)、高压开关柜项目建设必要性分析</w:t>
        </w:r>
        <w:r>
          <w:tab/>
        </w:r>
        <w:r>
          <w:fldChar w:fldCharType="begin"/>
        </w:r>
        <w:r>
          <w:instrText xml:space="preserve"> PAGEREF _Toc5680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27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_Toc29527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6" w:history="1">
        <w:r>
          <w:rPr>
            <w:rFonts w:ascii="仿宋" w:eastAsia="仿宋" w:hAnsi="仿宋" w:cs="仿宋" w:hint="eastAsia"/>
            <w:lang w:eastAsia="zh-CN"/>
          </w:rPr>
          <w:t>(一)、高压开关柜项目选址原则</w:t>
        </w:r>
        <w:r>
          <w:tab/>
        </w:r>
        <w:r>
          <w:fldChar w:fldCharType="begin"/>
        </w:r>
        <w:r>
          <w:instrText xml:space="preserve"> PAGEREF _Toc23106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_Toc30925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_Toc30710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_Toc11283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4" w:history="1">
        <w:r>
          <w:rPr>
            <w:rFonts w:ascii="仿宋" w:eastAsia="仿宋" w:hAnsi="仿宋" w:cs="仿宋" w:hint="eastAsia"/>
            <w:lang w:eastAsia="zh-CN"/>
          </w:rPr>
          <w:t>(五)、高压开关柜项目选址综合评价</w:t>
        </w:r>
        <w:r>
          <w:tab/>
        </w:r>
        <w:r>
          <w:fldChar w:fldCharType="begin"/>
        </w:r>
        <w:r>
          <w:instrText xml:space="preserve"> PAGEREF _Toc29984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60" w:history="1">
        <w:r>
          <w:rPr>
            <w:rFonts w:ascii="仿宋" w:eastAsia="仿宋" w:hAnsi="仿宋" w:cs="仿宋" w:hint="eastAsia"/>
            <w:lang w:eastAsia="zh-CN"/>
          </w:rPr>
          <w:t>四、高压开关柜项目概况</w:t>
        </w:r>
        <w:r>
          <w:tab/>
        </w:r>
        <w:r>
          <w:fldChar w:fldCharType="begin"/>
        </w:r>
        <w:r>
          <w:instrText xml:space="preserve"> PAGEREF _Toc15160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_Toc20707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4" w:history="1">
        <w:r>
          <w:rPr>
            <w:rFonts w:ascii="仿宋" w:eastAsia="仿宋" w:hAnsi="仿宋" w:cs="仿宋" w:hint="eastAsia"/>
            <w:lang w:eastAsia="zh-CN"/>
          </w:rPr>
          <w:t>(二)、高压开关柜项目提出的理由</w:t>
        </w:r>
        <w:r>
          <w:tab/>
        </w:r>
        <w:r>
          <w:fldChar w:fldCharType="begin"/>
        </w:r>
        <w:r>
          <w:instrText xml:space="preserve"> PAGEREF _Toc13564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7" w:history="1">
        <w:r>
          <w:rPr>
            <w:rFonts w:ascii="仿宋" w:eastAsia="仿宋" w:hAnsi="仿宋" w:cs="仿宋" w:hint="eastAsia"/>
            <w:lang w:eastAsia="zh-CN"/>
          </w:rPr>
          <w:t>(三)、高压开关柜项目选址</w:t>
        </w:r>
        <w:r>
          <w:tab/>
        </w:r>
        <w:r>
          <w:fldChar w:fldCharType="begin"/>
        </w:r>
        <w:r>
          <w:instrText xml:space="preserve"> PAGEREF _Toc17047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_Toc12419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_Toc5431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2" w:history="1">
        <w:r>
          <w:rPr>
            <w:rFonts w:ascii="仿宋" w:eastAsia="仿宋" w:hAnsi="仿宋" w:cs="仿宋" w:hint="eastAsia"/>
            <w:lang w:eastAsia="zh-CN"/>
          </w:rPr>
          <w:t>(六)、高压开关柜项目投资</w:t>
        </w:r>
        <w:r>
          <w:tab/>
        </w:r>
        <w:r>
          <w:fldChar w:fldCharType="begin"/>
        </w:r>
        <w:r>
          <w:instrText xml:space="preserve"> PAGEREF _Toc17312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7" w:history="1">
        <w:r>
          <w:rPr>
            <w:rFonts w:ascii="仿宋" w:eastAsia="仿宋" w:hAnsi="仿宋" w:cs="仿宋" w:hint="eastAsia"/>
            <w:lang w:eastAsia="zh-CN"/>
          </w:rPr>
          <w:t>(七)、高压开关柜项目进度规划</w:t>
        </w:r>
        <w:r>
          <w:tab/>
        </w:r>
        <w:r>
          <w:fldChar w:fldCharType="begin"/>
        </w:r>
        <w:r>
          <w:instrText xml:space="preserve"> PAGEREF _Toc11017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_Toc17493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9" w:history="1">
        <w:r>
          <w:rPr>
            <w:rFonts w:ascii="仿宋" w:eastAsia="仿宋" w:hAnsi="仿宋" w:cs="仿宋" w:hint="eastAsia"/>
            <w:lang w:eastAsia="zh-CN"/>
          </w:rPr>
          <w:t>(九)、高压开关柜项目综合评价</w:t>
        </w:r>
        <w:r>
          <w:tab/>
        </w:r>
        <w:r>
          <w:fldChar w:fldCharType="begin"/>
        </w:r>
        <w:r>
          <w:instrText xml:space="preserve"> PAGEREF _Toc21389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91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_Toc30591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_Toc11782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_Toc7631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70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_Toc25870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_Toc6511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_Toc13340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_Toc31251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_Toc28133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99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_Toc27199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04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_Toc13041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_Toc4103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_Toc16882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_Toc17563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16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_Toc22416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_Toc24918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_Toc451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_Toc5679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_Toc11009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_Toc7352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_Toc960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_Toc29712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_Toc25884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_Toc30068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_Toc23973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_Toc20055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_Toc24990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_Toc5155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58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_Toc8758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" w:history="1">
        <w:r>
          <w:rPr>
            <w:rFonts w:ascii="仿宋" w:eastAsia="仿宋" w:hAnsi="仿宋" w:cs="仿宋" w:hint="eastAsia"/>
            <w:lang w:eastAsia="zh-CN"/>
          </w:rPr>
          <w:t>(一)、高压开关柜项目背景分析</w:t>
        </w:r>
        <w:r>
          <w:tab/>
        </w:r>
        <w:r>
          <w:fldChar w:fldCharType="begin"/>
        </w:r>
        <w:r>
          <w:instrText xml:space="preserve"> PAGEREF _Toc1807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7" w:history="1">
        <w:r>
          <w:rPr>
            <w:rFonts w:ascii="仿宋" w:eastAsia="仿宋" w:hAnsi="仿宋" w:cs="仿宋" w:hint="eastAsia"/>
            <w:lang w:eastAsia="zh-CN"/>
          </w:rPr>
          <w:t>(二)、高压开关柜项目建设必要性分析</w:t>
        </w:r>
        <w:r>
          <w:tab/>
        </w:r>
        <w:r>
          <w:fldChar w:fldCharType="begin"/>
        </w:r>
        <w:r>
          <w:instrText xml:space="preserve"> PAGEREF _Toc27517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_Toc1206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_Toc10030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53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_Toc28753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3" w:history="1">
        <w:r>
          <w:rPr>
            <w:rFonts w:ascii="仿宋" w:eastAsia="仿宋" w:hAnsi="仿宋" w:cs="仿宋" w:hint="eastAsia"/>
            <w:lang w:eastAsia="zh-CN"/>
          </w:rPr>
          <w:t>(一)、高压开关柜项目进度安排</w:t>
        </w:r>
        <w:r>
          <w:tab/>
        </w:r>
        <w:r>
          <w:fldChar w:fldCharType="begin"/>
        </w:r>
        <w:r>
          <w:instrText xml:space="preserve"> PAGEREF _Toc21113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0" w:history="1">
        <w:r>
          <w:rPr>
            <w:rFonts w:ascii="仿宋" w:eastAsia="仿宋" w:hAnsi="仿宋" w:cs="仿宋" w:hint="eastAsia"/>
            <w:lang w:eastAsia="zh-CN"/>
          </w:rPr>
          <w:t>(二)、高压开关柜项目实施保障措施</w:t>
        </w:r>
        <w:r>
          <w:tab/>
        </w:r>
        <w:r>
          <w:fldChar w:fldCharType="begin"/>
        </w:r>
        <w:r>
          <w:instrText xml:space="preserve"> PAGEREF _Toc17850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88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_Toc26488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_Toc30125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0" w:history="1">
        <w:r>
          <w:rPr>
            <w:rFonts w:ascii="仿宋" w:eastAsia="仿宋" w:hAnsi="仿宋" w:cs="仿宋" w:hint="eastAsia"/>
            <w:lang w:eastAsia="zh-CN"/>
          </w:rPr>
          <w:t>(二)、合作高压开关柜项目</w:t>
        </w:r>
        <w:r>
          <w:tab/>
        </w:r>
        <w:r>
          <w:fldChar w:fldCharType="begin"/>
        </w:r>
        <w:r>
          <w:instrText xml:space="preserve"> PAGEREF _Toc32500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_Toc23771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21" w:history="1">
        <w:r>
          <w:rPr>
            <w:rFonts w:ascii="仿宋" w:eastAsia="仿宋" w:hAnsi="仿宋" w:cs="仿宋" w:hint="eastAsia"/>
            <w:lang w:eastAsia="zh-CN"/>
          </w:rPr>
          <w:t>十二、高压开关柜项目总结分析</w:t>
        </w:r>
        <w:r>
          <w:tab/>
        </w:r>
        <w:r>
          <w:fldChar w:fldCharType="begin"/>
        </w:r>
        <w:r>
          <w:instrText xml:space="preserve"> PAGEREF _Toc21921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00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_Toc29900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_Toc30723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_Toc5287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_Toc12942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2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266"/>
      <w:r>
        <w:rPr>
          <w:rFonts w:ascii="仿宋" w:eastAsia="仿宋" w:hAnsi="仿宋" w:cs="仿宋" w:hint="eastAsia"/>
          <w:sz w:val="28"/>
          <w:lang w:eastAsia="zh-CN"/>
        </w:rPr>
        <w:t>一、高压开关柜筹建公司基本信息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577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586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546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4739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8834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经营范围：从事XXX相关业务(企业依法自主选择经营高压开关柜项目，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开展经营活动；依法须经批准的高压开关柜项目，经相关部门批准后依批准的内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容开展经营活动；不得从事本市产业政策禁止和限制类高压开关柜项目的经营活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7010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https://d.book118.com/437201143060006032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高压开关柜行业相关公司设立可行性研究报告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高压开关柜行业相关公司设立可行性研究报告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高压开关柜行业相关公司设立可行性研究报告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高压开关柜行业相关公司设立可行性研究报告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高压开关柜行业相关公司设立可行性研究报告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37201143060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2023-12-28T14:39:00Z</dcterms:created>
  <dcterms:modified xsi:type="dcterms:W3CDTF">2023-12-28T14:40:55Z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1755AD5FD54C4AA8B446A78CF8972AFD_11</vt:lpwstr>
  </property>
  <property fmtid="{D5CDD505-2E9C-101B-9397-08002B2CF9AE}" pid="3" name="KSOProductBuildVer">
    <vt:lpwstr>2052-12.1.0.16120</vt:lpwstr>
  </property>
</Properties>
</file>