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62" w:line="220" w:lineRule="auto"/>
        <w:ind w:left="23"/>
        <w:outlineLvl w:val="0"/>
        <w:rPr>
          <w:rFonts w:ascii="SimHei" w:eastAsia="SimHei" w:hAnsi="SimHei" w:cs="SimHei"/>
          <w:sz w:val="30"/>
          <w:szCs w:val="30"/>
        </w:rPr>
      </w:pPr>
      <w:r>
        <w:rPr>
          <w:rFonts w:ascii="SimHei" w:eastAsia="SimHei" w:hAnsi="SimHei" w:cs="SimHei"/>
          <w:b/>
          <w:bCs/>
          <w:spacing w:val="-3"/>
          <w:sz w:val="30"/>
          <w:szCs w:val="30"/>
        </w:rPr>
        <w:t>本报告依据中国资产评估准则编制</w:t>
      </w:r>
    </w:p>
    <w:p>
      <w:pPr>
        <w:spacing w:line="220" w:lineRule="auto"/>
        <w:rPr>
          <w:rFonts w:ascii="SimHei" w:eastAsia="SimHei" w:hAnsi="SimHei" w:cs="SimHei"/>
          <w:sz w:val="30"/>
          <w:szCs w:val="30"/>
        </w:rPr>
        <w:sectPr>
          <w:pgSz w:w="11905" w:h="16839"/>
          <w:pgMar w:top="1431" w:right="1785" w:bottom="0" w:left="1785" w:header="0" w:footer="0" w:gutter="0"/>
          <w:cols w:space="708"/>
        </w:sectPr>
      </w:pPr>
    </w:p>
    <w:p>
      <w:pPr>
        <w:spacing w:line="35" w:lineRule="auto"/>
        <w:rPr>
          <w:rFonts w:ascii="Arial"/>
          <w:sz w:val="2"/>
        </w:rPr>
        <w:sectPr>
          <w:headerReference w:type="default" r:id="rId4"/>
          <w:footerReference w:type="default" r:id="rId5"/>
          <w:pgSz w:w="11905" w:h="16839"/>
          <w:pgMar w:top="1" w:right="14" w:bottom="1" w:left="0" w:header="0" w:footer="0" w:gutter="0"/>
          <w:pgNumType w:start="2"/>
          <w:cols w:space="708"/>
        </w:sectPr>
      </w:pPr>
    </w:p>
    <w:tbl>
      <w:tblPr>
        <w:tblStyle w:val="TableNormal0"/>
        <w:tblW w:w="11882" w:type="dxa"/>
        <w:tblInd w:w="0" w:type="dxa"/>
        <w:tblBorders>
          <w:top w:val="single" w:sz="6" w:space="0" w:color="FFFFFF"/>
          <w:bottom w:val="single" w:sz="6" w:space="0" w:color="FFFFFF"/>
          <w:right w:val="single" w:sz="6" w:space="0" w:color="FFFFFF"/>
        </w:tblBorders>
        <w:tblLayout w:type="fixed"/>
      </w:tblPr>
      <w:tblGrid>
        <w:gridCol w:w="11882"/>
      </w:tblGrid>
      <w:tr>
        <w:tblPrEx>
          <w:tblW w:w="11882" w:type="dxa"/>
          <w:tblInd w:w="0" w:type="dxa"/>
          <w:tblBorders>
            <w:top w:val="single" w:sz="6" w:space="0" w:color="FFFFFF"/>
            <w:bottom w:val="single" w:sz="6" w:space="0" w:color="FFFFFF"/>
            <w:right w:val="single" w:sz="6" w:space="0" w:color="FFFFFF"/>
          </w:tblBorders>
          <w:tblLayout w:type="fixed"/>
        </w:tblPrEx>
        <w:trPr>
          <w:trHeight w:val="16789"/>
        </w:trPr>
        <w:tc>
          <w:tcPr>
            <w:tcW w:w="11882" w:type="dxa"/>
            <w:vAlign w:val="top"/>
          </w:tcPr>
          <w:p>
            <w:pPr>
              <w:spacing w:before="15"/>
            </w:pPr>
          </w:p>
          <w:p>
            <w:pPr>
              <w:spacing w:before="15"/>
            </w:pPr>
          </w:p>
          <w:p>
            <w:pPr>
              <w:spacing w:before="15"/>
            </w:pPr>
          </w:p>
          <w:p>
            <w:pPr>
              <w:spacing w:before="15"/>
            </w:pPr>
          </w:p>
          <w:p>
            <w:pPr>
              <w:spacing w:before="15"/>
            </w:pPr>
          </w:p>
          <w:p>
            <w:pPr>
              <w:spacing w:before="15"/>
            </w:pPr>
          </w:p>
          <w:p>
            <w:pPr>
              <w:spacing w:before="14"/>
            </w:pPr>
          </w:p>
          <w:tbl>
            <w:tblPr>
              <w:tblStyle w:val="TableNormal0"/>
              <w:tblW w:w="6522" w:type="dxa"/>
              <w:tblInd w:w="3180" w:type="dxa"/>
              <w:tblBorders>
                <w:top w:val="single" w:sz="10" w:space="0" w:color="FFFFFF"/>
                <w:left w:val="single" w:sz="10" w:space="0" w:color="FFFFFF"/>
                <w:bottom w:val="single" w:sz="10" w:space="0" w:color="FFFFFF"/>
                <w:right w:val="single" w:sz="10" w:space="0" w:color="FFFFFF"/>
              </w:tblBorders>
              <w:tblLayout w:type="fixed"/>
            </w:tblPr>
            <w:tblGrid>
              <w:gridCol w:w="6522"/>
            </w:tblGrid>
            <w:tr>
              <w:tblPrEx>
                <w:tblW w:w="6522" w:type="dxa"/>
                <w:tblInd w:w="3180" w:type="dxa"/>
                <w:tblBorders>
                  <w:top w:val="single" w:sz="10" w:space="0" w:color="FFFFFF"/>
                  <w:left w:val="single" w:sz="10" w:space="0" w:color="FFFFFF"/>
                  <w:bottom w:val="single" w:sz="10" w:space="0" w:color="FFFFFF"/>
                  <w:right w:val="single" w:sz="10" w:space="0" w:color="FFFFFF"/>
                </w:tblBorders>
                <w:tblLayout w:type="fixed"/>
              </w:tblPrEx>
              <w:trPr>
                <w:trHeight w:val="2901"/>
              </w:trPr>
              <w:tc>
                <w:tcPr>
                  <w:tcW w:w="6522" w:type="dxa"/>
                  <w:vAlign w:val="top"/>
                </w:tcPr>
                <w:p>
                  <w:pPr>
                    <w:spacing w:before="178" w:line="220" w:lineRule="auto"/>
                    <w:ind w:left="1504"/>
                    <w:rPr>
                      <w:rFonts w:ascii="SimSun" w:eastAsia="SimSun" w:hAnsi="SimSun" w:cs="SimSun"/>
                      <w:sz w:val="32"/>
                      <w:szCs w:val="32"/>
                    </w:rPr>
                  </w:pPr>
                  <w:r>
                    <w:rPr>
                      <w:rFonts w:ascii="SimSun" w:eastAsia="SimSun" w:hAnsi="SimSun" w:cs="SimSun"/>
                      <w:b/>
                      <w:bCs/>
                      <w:spacing w:val="-4"/>
                      <w:sz w:val="32"/>
                      <w:szCs w:val="32"/>
                    </w:rPr>
                    <w:t>常州亚玛顿股份有限公司</w:t>
                  </w:r>
                </w:p>
                <w:p>
                  <w:pPr>
                    <w:spacing w:before="36" w:line="220" w:lineRule="auto"/>
                    <w:ind w:left="550"/>
                    <w:rPr>
                      <w:rFonts w:ascii="SimSun" w:eastAsia="SimSun" w:hAnsi="SimSun" w:cs="SimSun"/>
                      <w:sz w:val="32"/>
                      <w:szCs w:val="32"/>
                    </w:rPr>
                  </w:pPr>
                  <w:r>
                    <w:rPr>
                      <w:rFonts w:ascii="SimSun" w:eastAsia="SimSun" w:hAnsi="SimSun" w:cs="SimSun"/>
                      <w:b/>
                      <w:bCs/>
                      <w:spacing w:val="-21"/>
                      <w:sz w:val="32"/>
                      <w:szCs w:val="32"/>
                    </w:rPr>
                    <w:t>拟发行股份及支付现金购买资产所涉及的</w:t>
                  </w:r>
                </w:p>
                <w:p>
                  <w:pPr>
                    <w:spacing w:before="31" w:line="219" w:lineRule="auto"/>
                    <w:ind w:left="249"/>
                    <w:rPr>
                      <w:rFonts w:ascii="SimSun" w:eastAsia="SimSun" w:hAnsi="SimSun" w:cs="SimSun"/>
                      <w:sz w:val="32"/>
                      <w:szCs w:val="32"/>
                    </w:rPr>
                  </w:pPr>
                  <w:r>
                    <w:rPr>
                      <w:rFonts w:ascii="SimSun" w:eastAsia="SimSun" w:hAnsi="SimSun" w:cs="SimSun"/>
                      <w:b/>
                      <w:bCs/>
                      <w:spacing w:val="-21"/>
                      <w:sz w:val="32"/>
                      <w:szCs w:val="32"/>
                    </w:rPr>
                    <w:t>凤阳硅谷智能有限公司股东全部权益价值项目</w:t>
                  </w:r>
                </w:p>
                <w:p>
                  <w:pPr>
                    <w:spacing w:before="49" w:line="219" w:lineRule="auto"/>
                    <w:ind w:left="1962"/>
                    <w:rPr>
                      <w:rFonts w:ascii="SimSun" w:eastAsia="SimSun" w:hAnsi="SimSun" w:cs="SimSun"/>
                      <w:sz w:val="44"/>
                      <w:szCs w:val="44"/>
                    </w:rPr>
                  </w:pPr>
                  <w:r>
                    <w:rPr>
                      <w:rFonts w:ascii="SimSun" w:eastAsia="SimSun" w:hAnsi="SimSun" w:cs="SimSun"/>
                      <w:b/>
                      <w:bCs/>
                      <w:spacing w:val="-9"/>
                      <w:sz w:val="44"/>
                      <w:szCs w:val="44"/>
                    </w:rPr>
                    <w:t>资产评估报告</w:t>
                  </w:r>
                </w:p>
                <w:p>
                  <w:pPr>
                    <w:spacing w:before="13" w:line="214" w:lineRule="auto"/>
                    <w:ind w:left="1638"/>
                    <w:rPr>
                      <w:rFonts w:ascii="SimSun" w:eastAsia="SimSun" w:hAnsi="SimSun" w:cs="SimSun"/>
                      <w:sz w:val="24"/>
                      <w:szCs w:val="24"/>
                    </w:rPr>
                  </w:pPr>
                  <w:r>
                    <w:rPr>
                      <w:rFonts w:ascii="SimSun" w:eastAsia="SimSun" w:hAnsi="SimSun" w:cs="SimSun"/>
                      <w:spacing w:val="-3"/>
                      <w:sz w:val="24"/>
                      <w:szCs w:val="24"/>
                    </w:rPr>
                    <w:t>华辰评报字（2024）第</w:t>
                  </w:r>
                  <w:r>
                    <w:rPr>
                      <w:rFonts w:ascii="SimSun" w:eastAsia="SimSun" w:hAnsi="SimSun" w:cs="SimSun"/>
                      <w:spacing w:val="-22"/>
                      <w:sz w:val="24"/>
                      <w:szCs w:val="24"/>
                    </w:rPr>
                    <w:t xml:space="preserve"> </w:t>
                  </w:r>
                  <w:r>
                    <w:rPr>
                      <w:rFonts w:ascii="SimSun" w:eastAsia="SimSun" w:hAnsi="SimSun" w:cs="SimSun"/>
                      <w:spacing w:val="-3"/>
                      <w:sz w:val="24"/>
                      <w:szCs w:val="24"/>
                    </w:rPr>
                    <w:t>0013</w:t>
                  </w:r>
                  <w:r>
                    <w:rPr>
                      <w:rFonts w:ascii="SimSun" w:eastAsia="SimSun" w:hAnsi="SimSun" w:cs="SimSun"/>
                      <w:spacing w:val="-48"/>
                      <w:sz w:val="24"/>
                      <w:szCs w:val="24"/>
                    </w:rPr>
                    <w:t xml:space="preserve"> </w:t>
                  </w:r>
                  <w:r>
                    <w:rPr>
                      <w:rFonts w:ascii="SimSun" w:eastAsia="SimSun" w:hAnsi="SimSun" w:cs="SimSun"/>
                      <w:spacing w:val="-3"/>
                      <w:sz w:val="24"/>
                      <w:szCs w:val="24"/>
                    </w:rPr>
                    <w:t>号</w:t>
                  </w:r>
                </w:p>
                <w:p>
                  <w:pPr>
                    <w:spacing w:before="1" w:line="219" w:lineRule="auto"/>
                    <w:ind w:left="2186"/>
                    <w:rPr>
                      <w:rFonts w:ascii="SimSun" w:eastAsia="SimSun" w:hAnsi="SimSun" w:cs="SimSun"/>
                      <w:sz w:val="24"/>
                      <w:szCs w:val="24"/>
                    </w:rPr>
                  </w:pPr>
                  <w:r>
                    <w:rPr>
                      <w:rFonts w:ascii="SimSun" w:eastAsia="SimSun" w:hAnsi="SimSun" w:cs="SimSun"/>
                      <w:spacing w:val="-3"/>
                      <w:sz w:val="24"/>
                      <w:szCs w:val="24"/>
                    </w:rPr>
                    <w:t>（共一册，第一册）</w:t>
                  </w:r>
                </w:p>
              </w:tc>
            </w:tr>
          </w:tbl>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tc>
      </w:tr>
    </w:tbl>
    <w:p>
      <w:pPr>
        <w:sectPr>
          <w:headerReference w:type="default" r:id="rId6"/>
          <w:footerReference w:type="default" r:id="rId7"/>
          <w:type w:val="nextPage"/>
          <w:pgSz w:w="11905" w:h="16839"/>
          <w:pgMar w:top="1" w:right="14" w:bottom="1" w:left="0" w:header="0" w:footer="0" w:gutter="0"/>
          <w:pgNumType w:start="3"/>
          <w:cols w:space="708"/>
          <w:titlePg w:val="0"/>
        </w:sectPr>
      </w:pPr>
    </w:p>
    <w:tbl>
      <w:tblPr>
        <w:tblStyle w:val="TableNormal1"/>
        <w:tblW w:w="11882" w:type="dxa"/>
        <w:tblInd w:w="0" w:type="dxa"/>
        <w:tblBorders>
          <w:top w:val="single" w:sz="6" w:space="0" w:color="FFFFFF"/>
          <w:bottom w:val="single" w:sz="6" w:space="0" w:color="FFFFFF"/>
          <w:right w:val="single" w:sz="6" w:space="0" w:color="FFFFFF"/>
        </w:tblBorders>
        <w:tblLayout w:type="fixed"/>
      </w:tblPr>
      <w:tblGrid>
        <w:gridCol w:w="11882"/>
      </w:tblGrid>
      <w:tr>
        <w:tblPrEx>
          <w:tblW w:w="11882" w:type="dxa"/>
          <w:tblInd w:w="0" w:type="dxa"/>
          <w:tblBorders>
            <w:top w:val="single" w:sz="6" w:space="0" w:color="FFFFFF"/>
            <w:bottom w:val="single" w:sz="6" w:space="0" w:color="FFFFFF"/>
            <w:right w:val="single" w:sz="6" w:space="0" w:color="FFFFFF"/>
          </w:tblBorders>
          <w:tblLayout w:type="fixed"/>
        </w:tblPrEx>
        <w:trPr>
          <w:trHeight w:val="16789"/>
        </w:trPr>
        <w:tc>
          <w:tcPr>
            <w:tcW w:w="11882"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spacing w:before="117" w:line="175" w:lineRule="auto"/>
              <w:ind w:left="4473"/>
              <w:rPr>
                <w:rFonts w:ascii="LiSu" w:eastAsia="LiSu" w:hAnsi="LiSu" w:cs="LiSu"/>
                <w:sz w:val="36"/>
                <w:szCs w:val="36"/>
              </w:rPr>
            </w:pPr>
            <w:r>
              <w:drawing>
                <wp:anchor distT="0" distB="0" distL="0" distR="0" simplePos="0" relativeHeight="251658240" behindDoc="0" locked="0" layoutInCell="1" allowOverlap="1">
                  <wp:simplePos x="0" y="0"/>
                  <wp:positionH relativeFrom="column">
                    <wp:posOffset>2188464</wp:posOffset>
                  </wp:positionH>
                  <wp:positionV relativeFrom="paragraph">
                    <wp:posOffset>-246637</wp:posOffset>
                  </wp:positionV>
                  <wp:extent cx="694944" cy="75285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694944" cy="752855"/>
                          </a:xfrm>
                          <a:prstGeom prst="rect">
                            <a:avLst/>
                          </a:prstGeom>
                        </pic:spPr>
                      </pic:pic>
                    </a:graphicData>
                  </a:graphic>
                </wp:anchor>
              </w:drawing>
            </w:r>
            <w:r>
              <w:rPr>
                <w:rFonts w:ascii="LiSu" w:eastAsia="LiSu" w:hAnsi="LiSu" w:cs="LiSu"/>
                <w:color w:val="4A442A"/>
                <w:spacing w:val="-1"/>
                <w:sz w:val="36"/>
                <w:szCs w:val="36"/>
              </w:rPr>
              <w:t>江苏天健华辰资产评估有限公司</w:t>
            </w:r>
          </w:p>
          <w:p>
            <w:pPr>
              <w:spacing w:before="23" w:line="187" w:lineRule="exact"/>
              <w:ind w:left="4554"/>
              <w:rPr>
                <w:rFonts w:ascii="Arial Black" w:eastAsia="Arial Black" w:hAnsi="Arial Black" w:cs="Arial Black"/>
                <w:sz w:val="22"/>
                <w:szCs w:val="22"/>
              </w:rPr>
            </w:pPr>
            <w:r>
              <w:rPr>
                <w:rFonts w:ascii="Arial Black" w:eastAsia="Arial Black" w:hAnsi="Arial Black" w:cs="Arial Black"/>
                <w:b/>
                <w:bCs/>
                <w:color w:val="4A442A"/>
                <w:spacing w:val="-3"/>
                <w:sz w:val="22"/>
                <w:szCs w:val="22"/>
              </w:rPr>
              <w:t>HUACHEN</w:t>
            </w:r>
            <w:r>
              <w:rPr>
                <w:rFonts w:ascii="Arial Black" w:eastAsia="Arial Black" w:hAnsi="Arial Black" w:cs="Arial Black"/>
                <w:color w:val="4A442A"/>
                <w:spacing w:val="-3"/>
                <w:sz w:val="22"/>
                <w:szCs w:val="22"/>
              </w:rPr>
              <w:t xml:space="preserve"> </w:t>
            </w:r>
            <w:r>
              <w:rPr>
                <w:rFonts w:ascii="Arial Black" w:eastAsia="Arial Black" w:hAnsi="Arial Black" w:cs="Arial Black"/>
                <w:b/>
                <w:bCs/>
                <w:color w:val="4A442A"/>
                <w:spacing w:val="-3"/>
                <w:sz w:val="22"/>
                <w:szCs w:val="22"/>
              </w:rPr>
              <w:t>ASSETS</w:t>
            </w:r>
            <w:r>
              <w:rPr>
                <w:rFonts w:ascii="Arial Black" w:eastAsia="Arial Black" w:hAnsi="Arial Black" w:cs="Arial Black"/>
                <w:color w:val="4A442A"/>
                <w:spacing w:val="-3"/>
                <w:sz w:val="22"/>
                <w:szCs w:val="22"/>
              </w:rPr>
              <w:t xml:space="preserve"> </w:t>
            </w:r>
            <w:r>
              <w:rPr>
                <w:rFonts w:ascii="Arial Black" w:eastAsia="Arial Black" w:hAnsi="Arial Black" w:cs="Arial Black"/>
                <w:b/>
                <w:bCs/>
                <w:color w:val="4A442A"/>
                <w:spacing w:val="-3"/>
                <w:sz w:val="22"/>
                <w:szCs w:val="22"/>
              </w:rPr>
              <w:t>APPRAISAL</w:t>
            </w:r>
            <w:r>
              <w:rPr>
                <w:rFonts w:ascii="Arial Black" w:eastAsia="Arial Black" w:hAnsi="Arial Black" w:cs="Arial Black"/>
                <w:color w:val="4A442A"/>
                <w:spacing w:val="-3"/>
                <w:sz w:val="22"/>
                <w:szCs w:val="22"/>
              </w:rPr>
              <w:t xml:space="preserve"> </w:t>
            </w:r>
            <w:r>
              <w:rPr>
                <w:rFonts w:ascii="Arial Black" w:eastAsia="Arial Black" w:hAnsi="Arial Black" w:cs="Arial Black"/>
                <w:b/>
                <w:bCs/>
                <w:color w:val="4A442A"/>
                <w:spacing w:val="-3"/>
                <w:sz w:val="22"/>
                <w:szCs w:val="22"/>
              </w:rPr>
              <w:t>CO</w:t>
            </w:r>
            <w:r>
              <w:rPr>
                <w:rFonts w:ascii="Arial Black" w:eastAsia="Arial Black" w:hAnsi="Arial Black" w:cs="Arial Black"/>
                <w:color w:val="4A442A"/>
                <w:spacing w:val="-3"/>
                <w:sz w:val="22"/>
                <w:szCs w:val="22"/>
              </w:rPr>
              <w:t xml:space="preserve"> </w:t>
            </w:r>
            <w:r>
              <w:rPr>
                <w:rFonts w:ascii="Arial Black" w:eastAsia="Arial Black" w:hAnsi="Arial Black" w:cs="Arial Black"/>
                <w:b/>
                <w:bCs/>
                <w:color w:val="4A442A"/>
                <w:spacing w:val="-3"/>
                <w:sz w:val="22"/>
                <w:szCs w:val="22"/>
              </w:rPr>
              <w:t>.,LTD</w:t>
            </w:r>
          </w:p>
          <w:p>
            <w:pPr>
              <w:spacing w:line="113" w:lineRule="exact"/>
            </w:pPr>
          </w:p>
          <w:tbl>
            <w:tblPr>
              <w:tblStyle w:val="TableNormal1"/>
              <w:tblW w:w="5447" w:type="dxa"/>
              <w:tblInd w:w="4447" w:type="dxa"/>
              <w:tblBorders>
                <w:top w:val="single" w:sz="10" w:space="0" w:color="FFFFFF"/>
                <w:left w:val="single" w:sz="10" w:space="0" w:color="FFFFFF"/>
                <w:bottom w:val="single" w:sz="10" w:space="0" w:color="FFFFFF"/>
                <w:right w:val="single" w:sz="10" w:space="0" w:color="FFFFFF"/>
              </w:tblBorders>
              <w:tblLayout w:type="fixed"/>
            </w:tblPr>
            <w:tblGrid>
              <w:gridCol w:w="5447"/>
            </w:tblGrid>
            <w:tr>
              <w:tblPrEx>
                <w:tblW w:w="5447" w:type="dxa"/>
                <w:tblInd w:w="4447" w:type="dxa"/>
                <w:tblBorders>
                  <w:top w:val="single" w:sz="10" w:space="0" w:color="FFFFFF"/>
                  <w:left w:val="single" w:sz="10" w:space="0" w:color="FFFFFF"/>
                  <w:bottom w:val="single" w:sz="10" w:space="0" w:color="FFFFFF"/>
                  <w:right w:val="single" w:sz="10" w:space="0" w:color="FFFFFF"/>
                </w:tblBorders>
                <w:tblLayout w:type="fixed"/>
              </w:tblPrEx>
              <w:trPr>
                <w:trHeight w:val="636"/>
              </w:trPr>
              <w:tc>
                <w:tcPr>
                  <w:tcW w:w="5447" w:type="dxa"/>
                  <w:vAlign w:val="top"/>
                </w:tcPr>
                <w:p>
                  <w:pPr>
                    <w:spacing w:before="122" w:line="221" w:lineRule="auto"/>
                    <w:ind w:left="468"/>
                    <w:rPr>
                      <w:rFonts w:ascii="SimSun" w:eastAsia="SimSun" w:hAnsi="SimSun" w:cs="SimSun"/>
                      <w:sz w:val="30"/>
                      <w:szCs w:val="30"/>
                    </w:rPr>
                  </w:pPr>
                  <w:r>
                    <w:rPr>
                      <w:rFonts w:ascii="SimSun" w:eastAsia="SimSun" w:hAnsi="SimSun" w:cs="SimSun"/>
                      <w:b/>
                      <w:bCs/>
                      <w:spacing w:val="-4"/>
                      <w:sz w:val="30"/>
                      <w:szCs w:val="30"/>
                    </w:rPr>
                    <w:t>二○二四年二月一</w:t>
                  </w:r>
                  <w:r>
                    <w:rPr>
                      <w:rFonts w:ascii="SimSun" w:eastAsia="SimSun" w:hAnsi="SimSun" w:cs="SimSun"/>
                      <w:spacing w:val="-81"/>
                      <w:sz w:val="30"/>
                      <w:szCs w:val="30"/>
                    </w:rPr>
                    <w:t xml:space="preserve"> </w:t>
                  </w:r>
                  <w:r>
                    <w:rPr>
                      <w:rFonts w:ascii="SimSun" w:eastAsia="SimSun" w:hAnsi="SimSun" w:cs="SimSun"/>
                      <w:b/>
                      <w:bCs/>
                      <w:spacing w:val="-4"/>
                      <w:sz w:val="30"/>
                      <w:szCs w:val="30"/>
                    </w:rPr>
                    <w:t>日</w:t>
                  </w:r>
                </w:p>
              </w:tc>
            </w:tr>
          </w:tbl>
          <w:p>
            <w:pPr>
              <w:pStyle w:val="TableText"/>
            </w:pPr>
          </w:p>
        </w:tc>
      </w:tr>
    </w:tbl>
    <w:p>
      <w:pPr>
        <w:sectPr>
          <w:headerReference w:type="default" r:id="rId9"/>
          <w:footerReference w:type="default" r:id="rId10"/>
          <w:type w:val="nextPage"/>
          <w:pgSz w:w="11905" w:h="16839"/>
          <w:pgMar w:top="1" w:right="14" w:bottom="1" w:left="0" w:header="0" w:footer="0" w:gutter="0"/>
          <w:pgNumType w:start="4"/>
          <w:cols w:space="708"/>
          <w:titlePg w:val="0"/>
        </w:sectPr>
      </w:pPr>
    </w:p>
    <w:p>
      <w:pPr>
        <w:spacing w:line="32" w:lineRule="auto"/>
        <w:rPr>
          <w:rFonts w:ascii="Arial"/>
          <w:sz w:val="2"/>
        </w:rPr>
      </w:pPr>
    </w:p>
    <w:p>
      <w:pPr>
        <w:spacing w:line="32" w:lineRule="auto"/>
        <w:rPr>
          <w:rFonts w:ascii="Arial" w:eastAsia="Arial" w:hAnsi="Arial" w:cs="Arial"/>
          <w:sz w:val="2"/>
          <w:szCs w:val="2"/>
        </w:rPr>
        <w:sectPr>
          <w:headerReference w:type="default" r:id="rId11"/>
          <w:footerReference w:type="default" r:id="rId12"/>
          <w:type w:val="nextPage"/>
          <w:pgSz w:w="11905" w:h="16839"/>
          <w:pgMar w:top="1" w:right="14" w:bottom="1" w:left="0" w:header="0" w:footer="0" w:gutter="0"/>
          <w:pgNumType w:start="5"/>
          <w:cols w:space="708"/>
          <w:titlePg w:val="0"/>
        </w:sectPr>
      </w:pPr>
    </w:p>
    <w:p>
      <w:pPr>
        <w:spacing w:line="292" w:lineRule="auto"/>
        <w:rPr>
          <w:rFonts w:ascii="Arial"/>
          <w:sz w:val="21"/>
        </w:rPr>
      </w:pPr>
    </w:p>
    <w:p>
      <w:pPr>
        <w:spacing w:line="292" w:lineRule="auto"/>
        <w:rPr>
          <w:rFonts w:ascii="Arial"/>
          <w:sz w:val="21"/>
        </w:rPr>
      </w:pPr>
    </w:p>
    <w:p>
      <w:pPr>
        <w:spacing w:line="293" w:lineRule="auto"/>
        <w:rPr>
          <w:rFonts w:ascii="Arial"/>
          <w:sz w:val="21"/>
        </w:rPr>
      </w:pPr>
    </w:p>
    <w:sdt>
      <w:sdtPr>
        <w:rPr>
          <w:rFonts w:ascii="SimSun" w:eastAsia="SimSun" w:hAnsi="SimSun" w:cs="SimSun"/>
          <w:sz w:val="36"/>
          <w:szCs w:val="36"/>
        </w:rPr>
        <w:id w:val="1081631924"/>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17" w:line="222" w:lineRule="auto"/>
            <w:ind w:left="3612"/>
            <w:rPr>
              <w:sz w:val="36"/>
              <w:szCs w:val="36"/>
            </w:rPr>
          </w:pPr>
          <w:r>
            <w:rPr>
              <w:b/>
              <w:bCs/>
              <w:spacing w:val="-46"/>
              <w:sz w:val="36"/>
              <w:szCs w:val="36"/>
            </w:rPr>
            <w:t>目</w:t>
          </w:r>
          <w:r>
            <w:rPr>
              <w:spacing w:val="5"/>
              <w:sz w:val="36"/>
              <w:szCs w:val="36"/>
            </w:rPr>
            <w:t xml:space="preserve">    </w:t>
          </w:r>
          <w:r>
            <w:rPr>
              <w:b/>
              <w:bCs/>
              <w:spacing w:val="-46"/>
              <w:sz w:val="36"/>
              <w:szCs w:val="36"/>
            </w:rPr>
            <w:t>录</w:t>
          </w:r>
        </w:p>
        <w:p>
          <w:pPr>
            <w:spacing w:line="350" w:lineRule="auto"/>
            <w:rPr>
              <w:rFonts w:ascii="Arial"/>
              <w:sz w:val="21"/>
            </w:rPr>
          </w:pPr>
        </w:p>
        <w:p>
          <w:pPr>
            <w:spacing w:line="351" w:lineRule="auto"/>
            <w:rPr>
              <w:rFonts w:ascii="Arial"/>
              <w:sz w:val="21"/>
            </w:rPr>
          </w:pPr>
        </w:p>
        <w:p>
          <w:pPr>
            <w:pStyle w:val="BodyText"/>
            <w:tabs>
              <w:tab w:val="right" w:leader="dot" w:pos="8499"/>
            </w:tabs>
            <w:spacing w:before="78" w:line="185" w:lineRule="auto"/>
            <w:ind w:left="254"/>
            <w:rPr>
              <w:rFonts w:ascii="Times New Roman" w:eastAsia="Times New Roman" w:hAnsi="Times New Roman" w:cs="Times New Roman"/>
            </w:rPr>
          </w:pPr>
          <w:hyperlink w:anchor="bookmark1" w:history="1">
            <w:r>
              <w:rPr>
                <w:spacing w:val="-8"/>
              </w:rPr>
              <w:t>声明</w:t>
            </w:r>
            <w:r>
              <w:rPr>
                <w:spacing w:val="12"/>
              </w:rPr>
              <w:t xml:space="preserve">    </w:t>
            </w:r>
            <w:r>
              <w:tab/>
            </w:r>
            <w:r>
              <w:rPr>
                <w:rFonts w:ascii="Times New Roman" w:eastAsia="Times New Roman" w:hAnsi="Times New Roman" w:cs="Times New Roman"/>
                <w:spacing w:val="32"/>
              </w:rPr>
              <w:t>1</w:t>
            </w:r>
          </w:hyperlink>
        </w:p>
        <w:p>
          <w:pPr>
            <w:pStyle w:val="BodyText"/>
            <w:tabs>
              <w:tab w:val="right" w:leader="dot" w:pos="8499"/>
            </w:tabs>
            <w:spacing w:before="211" w:line="185" w:lineRule="auto"/>
            <w:ind w:left="260"/>
            <w:rPr>
              <w:rFonts w:ascii="Times New Roman" w:eastAsia="Times New Roman" w:hAnsi="Times New Roman" w:cs="Times New Roman"/>
            </w:rPr>
          </w:pPr>
          <w:hyperlink w:anchor="bookmark2" w:history="1">
            <w:r>
              <w:rPr>
                <w:spacing w:val="-4"/>
              </w:rPr>
              <w:t>资产评估报告</w:t>
            </w:r>
            <w:r>
              <w:rPr>
                <w:spacing w:val="-47"/>
              </w:rPr>
              <w:t xml:space="preserve"> </w:t>
            </w:r>
            <w:r>
              <w:tab/>
            </w:r>
            <w:r>
              <w:rPr>
                <w:rFonts w:ascii="Times New Roman" w:eastAsia="Times New Roman" w:hAnsi="Times New Roman" w:cs="Times New Roman"/>
                <w:spacing w:val="18"/>
                <w:w w:val="111"/>
              </w:rPr>
              <w:t>7</w:t>
            </w:r>
          </w:hyperlink>
        </w:p>
        <w:p>
          <w:pPr>
            <w:pStyle w:val="BodyText"/>
            <w:spacing w:before="210" w:line="185" w:lineRule="auto"/>
            <w:ind w:left="253"/>
          </w:pPr>
          <w:hyperlink w:anchor="bookmark3" w:history="1">
            <w:r>
              <w:rPr>
                <w:spacing w:val="-1"/>
              </w:rPr>
              <w:t>一、委托人、被评估单位和资产评估委托合同约定的其他资产评估报告使用人</w:t>
            </w:r>
          </w:hyperlink>
        </w:p>
        <w:p>
          <w:pPr>
            <w:pStyle w:val="BodyText"/>
            <w:tabs>
              <w:tab w:val="right" w:leader="dot" w:pos="8407"/>
            </w:tabs>
            <w:spacing w:before="210" w:line="185" w:lineRule="auto"/>
            <w:ind w:left="249"/>
            <w:rPr>
              <w:rFonts w:ascii="Times New Roman" w:eastAsia="Times New Roman" w:hAnsi="Times New Roman" w:cs="Times New Roman"/>
            </w:rPr>
          </w:pPr>
          <w:hyperlink w:anchor="bookmark4" w:history="1">
            <w:r>
              <w:rPr>
                <w:spacing w:val="-5"/>
              </w:rPr>
              <w:t>概况</w:t>
            </w:r>
            <w:r>
              <w:rPr>
                <w:spacing w:val="6"/>
              </w:rPr>
              <w:t xml:space="preserve">    </w:t>
            </w:r>
            <w:r>
              <w:tab/>
            </w:r>
            <w:r>
              <w:rPr>
                <w:rFonts w:ascii="Times New Roman" w:eastAsia="Times New Roman" w:hAnsi="Times New Roman" w:cs="Times New Roman"/>
                <w:spacing w:val="4"/>
              </w:rPr>
              <w:t>7</w:t>
            </w:r>
          </w:hyperlink>
        </w:p>
        <w:p>
          <w:pPr>
            <w:pStyle w:val="BodyText"/>
            <w:tabs>
              <w:tab w:val="right" w:leader="dot" w:pos="8499"/>
            </w:tabs>
            <w:spacing w:before="205" w:line="185" w:lineRule="auto"/>
            <w:ind w:left="253"/>
            <w:rPr>
              <w:rFonts w:ascii="Times New Roman" w:eastAsia="Times New Roman" w:hAnsi="Times New Roman" w:cs="Times New Roman"/>
            </w:rPr>
          </w:pPr>
          <w:hyperlink w:anchor="bookmark5" w:history="1">
            <w:r>
              <w:rPr>
                <w:spacing w:val="-3"/>
              </w:rPr>
              <w:t>二、评估目的</w:t>
            </w:r>
            <w:r>
              <w:rPr>
                <w:spacing w:val="-46"/>
              </w:rPr>
              <w:t xml:space="preserve"> </w:t>
            </w:r>
            <w:r>
              <w:tab/>
            </w:r>
            <w:r>
              <w:rPr>
                <w:rFonts w:ascii="Times New Roman" w:eastAsia="Times New Roman" w:hAnsi="Times New Roman" w:cs="Times New Roman"/>
                <w:spacing w:val="18"/>
              </w:rPr>
              <w:t>15</w:t>
            </w:r>
          </w:hyperlink>
        </w:p>
        <w:p>
          <w:pPr>
            <w:pStyle w:val="BodyText"/>
            <w:tabs>
              <w:tab w:val="right" w:leader="dot" w:pos="8499"/>
            </w:tabs>
            <w:spacing w:before="212" w:line="185" w:lineRule="auto"/>
            <w:ind w:left="249"/>
            <w:rPr>
              <w:rFonts w:ascii="Times New Roman" w:eastAsia="Times New Roman" w:hAnsi="Times New Roman" w:cs="Times New Roman"/>
            </w:rPr>
          </w:pPr>
          <w:hyperlink w:anchor="bookmark6" w:history="1">
            <w:r>
              <w:rPr>
                <w:spacing w:val="-1"/>
              </w:rPr>
              <w:t>三、评估对象和评估范围</w:t>
            </w:r>
            <w:r>
              <w:rPr>
                <w:spacing w:val="-63"/>
              </w:rPr>
              <w:t xml:space="preserve"> </w:t>
            </w:r>
            <w:r>
              <w:tab/>
            </w:r>
            <w:r>
              <w:rPr>
                <w:rFonts w:ascii="Times New Roman" w:eastAsia="Times New Roman" w:hAnsi="Times New Roman" w:cs="Times New Roman"/>
                <w:spacing w:val="18"/>
              </w:rPr>
              <w:t>15</w:t>
            </w:r>
          </w:hyperlink>
        </w:p>
        <w:p>
          <w:pPr>
            <w:pStyle w:val="BodyText"/>
            <w:tabs>
              <w:tab w:val="right" w:leader="dot" w:pos="8499"/>
            </w:tabs>
            <w:spacing w:before="210" w:line="185" w:lineRule="auto"/>
            <w:ind w:left="272"/>
            <w:rPr>
              <w:rFonts w:ascii="Times New Roman" w:eastAsia="Times New Roman" w:hAnsi="Times New Roman" w:cs="Times New Roman"/>
            </w:rPr>
          </w:pPr>
          <w:hyperlink w:anchor="bookmark7" w:history="1">
            <w:r>
              <w:rPr>
                <w:spacing w:val="-6"/>
              </w:rPr>
              <w:t>四、价值类型</w:t>
            </w:r>
            <w:r>
              <w:rPr>
                <w:spacing w:val="-47"/>
              </w:rPr>
              <w:t xml:space="preserve"> </w:t>
            </w:r>
            <w:r>
              <w:tab/>
            </w:r>
            <w:r>
              <w:rPr>
                <w:rFonts w:ascii="Times New Roman" w:eastAsia="Times New Roman" w:hAnsi="Times New Roman" w:cs="Times New Roman"/>
                <w:spacing w:val="18"/>
              </w:rPr>
              <w:t>18</w:t>
            </w:r>
          </w:hyperlink>
        </w:p>
        <w:p>
          <w:pPr>
            <w:pStyle w:val="BodyText"/>
            <w:tabs>
              <w:tab w:val="right" w:leader="dot" w:pos="8499"/>
            </w:tabs>
            <w:spacing w:before="211" w:line="185" w:lineRule="auto"/>
            <w:ind w:left="253"/>
            <w:rPr>
              <w:rFonts w:ascii="Times New Roman" w:eastAsia="Times New Roman" w:hAnsi="Times New Roman" w:cs="Times New Roman"/>
            </w:rPr>
          </w:pPr>
          <w:hyperlink w:anchor="bookmark8" w:history="1">
            <w:r>
              <w:rPr>
                <w:spacing w:val="-2"/>
              </w:rPr>
              <w:t>五、评估基准日</w:t>
            </w:r>
            <w:r>
              <w:tab/>
            </w:r>
            <w:r>
              <w:rPr>
                <w:rFonts w:ascii="Times New Roman" w:eastAsia="Times New Roman" w:hAnsi="Times New Roman" w:cs="Times New Roman"/>
                <w:spacing w:val="18"/>
              </w:rPr>
              <w:t>18</w:t>
            </w:r>
          </w:hyperlink>
        </w:p>
        <w:p>
          <w:pPr>
            <w:pStyle w:val="BodyText"/>
            <w:tabs>
              <w:tab w:val="right" w:leader="dot" w:pos="8499"/>
            </w:tabs>
            <w:spacing w:before="206" w:line="185" w:lineRule="auto"/>
            <w:ind w:left="251"/>
            <w:rPr>
              <w:rFonts w:ascii="Times New Roman" w:eastAsia="Times New Roman" w:hAnsi="Times New Roman" w:cs="Times New Roman"/>
            </w:rPr>
          </w:pPr>
          <w:hyperlink w:anchor="bookmark9" w:history="1">
            <w:r>
              <w:rPr>
                <w:spacing w:val="-2"/>
              </w:rPr>
              <w:t>六、评估依据</w:t>
            </w:r>
            <w:r>
              <w:rPr>
                <w:spacing w:val="-50"/>
              </w:rPr>
              <w:t xml:space="preserve"> </w:t>
            </w:r>
            <w:r>
              <w:tab/>
            </w:r>
            <w:r>
              <w:rPr>
                <w:rFonts w:ascii="Times New Roman" w:eastAsia="Times New Roman" w:hAnsi="Times New Roman" w:cs="Times New Roman"/>
                <w:spacing w:val="18"/>
              </w:rPr>
              <w:t>18</w:t>
            </w:r>
          </w:hyperlink>
        </w:p>
        <w:p>
          <w:pPr>
            <w:pStyle w:val="BodyText"/>
            <w:tabs>
              <w:tab w:val="right" w:leader="dot" w:pos="8499"/>
            </w:tabs>
            <w:spacing w:before="211" w:line="185" w:lineRule="auto"/>
            <w:ind w:left="248"/>
            <w:rPr>
              <w:rFonts w:ascii="Times New Roman" w:eastAsia="Times New Roman" w:hAnsi="Times New Roman" w:cs="Times New Roman"/>
            </w:rPr>
          </w:pPr>
          <w:hyperlink w:anchor="bookmark10" w:history="1">
            <w:r>
              <w:rPr>
                <w:spacing w:val="-2"/>
              </w:rPr>
              <w:t>七、评估方法</w:t>
            </w:r>
            <w:r>
              <w:rPr>
                <w:spacing w:val="-48"/>
              </w:rPr>
              <w:t xml:space="preserve"> </w:t>
            </w:r>
            <w:r>
              <w:tab/>
            </w:r>
            <w:r>
              <w:rPr>
                <w:rFonts w:ascii="Times New Roman" w:eastAsia="Times New Roman" w:hAnsi="Times New Roman" w:cs="Times New Roman"/>
                <w:spacing w:val="18"/>
              </w:rPr>
              <w:t>21</w:t>
            </w:r>
          </w:hyperlink>
        </w:p>
        <w:p>
          <w:pPr>
            <w:pStyle w:val="BodyText"/>
            <w:tabs>
              <w:tab w:val="right" w:leader="dot" w:pos="8499"/>
            </w:tabs>
            <w:spacing w:before="211" w:line="185" w:lineRule="auto"/>
            <w:ind w:left="253"/>
            <w:rPr>
              <w:rFonts w:ascii="Times New Roman" w:eastAsia="Times New Roman" w:hAnsi="Times New Roman" w:cs="Times New Roman"/>
            </w:rPr>
          </w:pPr>
          <w:hyperlink w:anchor="bookmark11" w:history="1">
            <w:r>
              <w:rPr>
                <w:spacing w:val="-2"/>
              </w:rPr>
              <w:t>八、评估程序实施过程和情况</w:t>
            </w:r>
            <w:r>
              <w:rPr>
                <w:spacing w:val="-33"/>
              </w:rPr>
              <w:t xml:space="preserve"> </w:t>
            </w:r>
            <w:r>
              <w:tab/>
            </w:r>
            <w:r>
              <w:rPr>
                <w:rFonts w:ascii="Times New Roman" w:eastAsia="Times New Roman" w:hAnsi="Times New Roman" w:cs="Times New Roman"/>
                <w:spacing w:val="18"/>
              </w:rPr>
              <w:t>36</w:t>
            </w:r>
          </w:hyperlink>
        </w:p>
        <w:p>
          <w:pPr>
            <w:pStyle w:val="BodyText"/>
            <w:tabs>
              <w:tab w:val="right" w:leader="dot" w:pos="8499"/>
            </w:tabs>
            <w:spacing w:before="211" w:line="185" w:lineRule="auto"/>
            <w:ind w:left="255"/>
            <w:rPr>
              <w:rFonts w:ascii="Times New Roman" w:eastAsia="Times New Roman" w:hAnsi="Times New Roman" w:cs="Times New Roman"/>
            </w:rPr>
          </w:pPr>
          <w:hyperlink w:anchor="bookmark12" w:history="1">
            <w:r>
              <w:rPr>
                <w:spacing w:val="-3"/>
              </w:rPr>
              <w:t>九、评估假设</w:t>
            </w:r>
            <w:r>
              <w:rPr>
                <w:spacing w:val="-48"/>
              </w:rPr>
              <w:t xml:space="preserve"> </w:t>
            </w:r>
            <w:r>
              <w:tab/>
            </w:r>
            <w:r>
              <w:rPr>
                <w:rFonts w:ascii="Times New Roman" w:eastAsia="Times New Roman" w:hAnsi="Times New Roman" w:cs="Times New Roman"/>
                <w:spacing w:val="18"/>
              </w:rPr>
              <w:t>38</w:t>
            </w:r>
          </w:hyperlink>
        </w:p>
        <w:p>
          <w:pPr>
            <w:pStyle w:val="BodyText"/>
            <w:tabs>
              <w:tab w:val="right" w:leader="dot" w:pos="8499"/>
            </w:tabs>
            <w:spacing w:before="205" w:line="185" w:lineRule="auto"/>
            <w:ind w:left="250"/>
            <w:rPr>
              <w:rFonts w:ascii="Times New Roman" w:eastAsia="Times New Roman" w:hAnsi="Times New Roman" w:cs="Times New Roman"/>
            </w:rPr>
          </w:pPr>
          <w:hyperlink w:anchor="bookmark13" w:history="1">
            <w:r>
              <w:rPr>
                <w:spacing w:val="-2"/>
              </w:rPr>
              <w:t>十、评估结论</w:t>
            </w:r>
            <w:r>
              <w:rPr>
                <w:spacing w:val="-50"/>
              </w:rPr>
              <w:t xml:space="preserve"> </w:t>
            </w:r>
            <w:r>
              <w:tab/>
            </w:r>
            <w:r>
              <w:rPr>
                <w:rFonts w:ascii="Times New Roman" w:eastAsia="Times New Roman" w:hAnsi="Times New Roman" w:cs="Times New Roman"/>
                <w:spacing w:val="18"/>
              </w:rPr>
              <w:t>40</w:t>
            </w:r>
          </w:hyperlink>
        </w:p>
        <w:p>
          <w:pPr>
            <w:pStyle w:val="BodyText"/>
            <w:tabs>
              <w:tab w:val="right" w:leader="dot" w:pos="8499"/>
            </w:tabs>
            <w:spacing w:before="212" w:line="185" w:lineRule="auto"/>
            <w:ind w:left="250"/>
            <w:rPr>
              <w:rFonts w:ascii="Times New Roman" w:eastAsia="Times New Roman" w:hAnsi="Times New Roman" w:cs="Times New Roman"/>
            </w:rPr>
          </w:pPr>
          <w:hyperlink w:anchor="bookmark14" w:history="1">
            <w:r>
              <w:rPr>
                <w:spacing w:val="-5"/>
              </w:rPr>
              <w:t>十一、特别事项说明</w:t>
            </w:r>
            <w:r>
              <w:tab/>
            </w:r>
            <w:r>
              <w:rPr>
                <w:rFonts w:ascii="Times New Roman" w:eastAsia="Times New Roman" w:hAnsi="Times New Roman" w:cs="Times New Roman"/>
                <w:spacing w:val="18"/>
              </w:rPr>
              <w:t>41</w:t>
            </w:r>
          </w:hyperlink>
        </w:p>
        <w:p>
          <w:pPr>
            <w:pStyle w:val="BodyText"/>
            <w:tabs>
              <w:tab w:val="right" w:leader="dot" w:pos="8499"/>
            </w:tabs>
            <w:spacing w:before="210" w:line="185" w:lineRule="auto"/>
            <w:ind w:left="250"/>
            <w:rPr>
              <w:rFonts w:ascii="Times New Roman" w:eastAsia="Times New Roman" w:hAnsi="Times New Roman" w:cs="Times New Roman"/>
            </w:rPr>
          </w:pPr>
          <w:hyperlink w:anchor="bookmark15" w:history="1">
            <w:r>
              <w:rPr>
                <w:spacing w:val="-1"/>
              </w:rPr>
              <w:t>十二、资产评估报告使用限制说明</w:t>
            </w:r>
            <w:r>
              <w:tab/>
            </w:r>
            <w:r>
              <w:rPr>
                <w:rFonts w:ascii="Times New Roman" w:eastAsia="Times New Roman" w:hAnsi="Times New Roman" w:cs="Times New Roman"/>
                <w:spacing w:val="18"/>
              </w:rPr>
              <w:t>44</w:t>
            </w:r>
          </w:hyperlink>
        </w:p>
        <w:p>
          <w:pPr>
            <w:pStyle w:val="BodyText"/>
            <w:tabs>
              <w:tab w:val="right" w:leader="dot" w:pos="8499"/>
            </w:tabs>
            <w:spacing w:before="211" w:line="185" w:lineRule="auto"/>
            <w:ind w:left="250"/>
            <w:rPr>
              <w:rFonts w:ascii="Times New Roman" w:eastAsia="Times New Roman" w:hAnsi="Times New Roman" w:cs="Times New Roman"/>
            </w:rPr>
          </w:pPr>
          <w:hyperlink w:anchor="bookmark16" w:history="1">
            <w:r>
              <w:rPr>
                <w:spacing w:val="-2"/>
              </w:rPr>
              <w:t>十三、资产评估报告日</w:t>
            </w:r>
            <w:r>
              <w:rPr>
                <w:spacing w:val="-66"/>
              </w:rPr>
              <w:t xml:space="preserve"> </w:t>
            </w:r>
            <w:r>
              <w:tab/>
            </w:r>
            <w:r>
              <w:rPr>
                <w:rFonts w:ascii="Times New Roman" w:eastAsia="Times New Roman" w:hAnsi="Times New Roman" w:cs="Times New Roman"/>
                <w:spacing w:val="18"/>
              </w:rPr>
              <w:t>45</w:t>
            </w:r>
          </w:hyperlink>
        </w:p>
        <w:p>
          <w:pPr>
            <w:pStyle w:val="BodyText"/>
            <w:tabs>
              <w:tab w:val="right" w:leader="dot" w:pos="8499"/>
            </w:tabs>
            <w:spacing w:before="317" w:line="218" w:lineRule="auto"/>
            <w:ind w:left="19"/>
            <w:rPr>
              <w:rFonts w:ascii="Times New Roman" w:eastAsia="Times New Roman" w:hAnsi="Times New Roman" w:cs="Times New Roman"/>
            </w:rPr>
          </w:pPr>
          <w:hyperlink w:anchor="bookmark17" w:history="1">
            <w:r>
              <w:rPr>
                <w:spacing w:val="-3"/>
              </w:rPr>
              <w:t>资产评估报告附件</w:t>
            </w:r>
            <w:r>
              <w:tab/>
            </w:r>
            <w:r>
              <w:rPr>
                <w:rFonts w:ascii="Times New Roman" w:eastAsia="Times New Roman" w:hAnsi="Times New Roman" w:cs="Times New Roman"/>
                <w:spacing w:val="18"/>
              </w:rPr>
              <w:t>47</w:t>
            </w:r>
          </w:hyperlink>
        </w:p>
      </w:sdtContent>
    </w:sdt>
    <w:p>
      <w:pPr>
        <w:spacing w:line="218" w:lineRule="auto"/>
        <w:rPr>
          <w:rFonts w:ascii="Times New Roman" w:eastAsia="Times New Roman" w:hAnsi="Times New Roman" w:cs="Times New Roman"/>
        </w:rPr>
        <w:sectPr>
          <w:headerReference w:type="default" r:id="rId13"/>
          <w:footerReference w:type="default" r:id="rId14"/>
          <w:pgSz w:w="11905" w:h="16839"/>
          <w:pgMar w:top="1336" w:right="1666" w:bottom="1162" w:left="1699" w:header="1154" w:footer="902" w:gutter="0"/>
          <w:pgNumType w:start="6"/>
          <w:cols w:space="708"/>
        </w:sectPr>
      </w:pPr>
    </w:p>
    <w:p>
      <w:pPr>
        <w:spacing w:line="357" w:lineRule="auto"/>
        <w:rPr>
          <w:rFonts w:ascii="Arial"/>
          <w:sz w:val="21"/>
        </w:rPr>
      </w:pPr>
    </w:p>
    <w:p>
      <w:pPr>
        <w:spacing w:line="357" w:lineRule="auto"/>
        <w:rPr>
          <w:rFonts w:ascii="Arial"/>
          <w:sz w:val="21"/>
        </w:rPr>
      </w:pPr>
    </w:p>
    <w:p>
      <w:pPr>
        <w:pStyle w:val="BodyText"/>
        <w:spacing w:before="117" w:line="220" w:lineRule="auto"/>
        <w:ind w:left="3915"/>
        <w:rPr>
          <w:sz w:val="36"/>
          <w:szCs w:val="36"/>
        </w:rPr>
      </w:pPr>
      <w:r>
        <w:rPr>
          <w:spacing w:val="-6"/>
          <w:sz w:val="36"/>
          <w:szCs w:val="36"/>
        </w:rPr>
        <w:t>声明</w:t>
      </w:r>
    </w:p>
    <w:p>
      <w:pPr>
        <w:spacing w:line="453" w:lineRule="auto"/>
        <w:rPr>
          <w:rFonts w:ascii="Arial"/>
          <w:sz w:val="21"/>
        </w:rPr>
      </w:pPr>
    </w:p>
    <w:p>
      <w:pPr>
        <w:pStyle w:val="BodyText"/>
        <w:spacing w:before="78" w:line="451" w:lineRule="exact"/>
        <w:ind w:left="440"/>
      </w:pPr>
      <w:r>
        <w:rPr>
          <w:position w:val="16"/>
        </w:rPr>
        <w:t>一、本资产评估报告是依据财政部发布的资</w:t>
      </w:r>
      <w:r>
        <w:rPr>
          <w:spacing w:val="-1"/>
          <w:position w:val="16"/>
        </w:rPr>
        <w:t>产评估基本准则和中国资产评估</w:t>
      </w:r>
    </w:p>
    <w:p>
      <w:pPr>
        <w:pStyle w:val="BodyText"/>
        <w:spacing w:line="218" w:lineRule="auto"/>
        <w:ind w:left="10"/>
      </w:pPr>
      <w:r>
        <w:rPr>
          <w:spacing w:val="-2"/>
        </w:rPr>
        <w:t>协会发布的资产评估执业准则和职业道德准则编制。</w:t>
      </w:r>
    </w:p>
    <w:p>
      <w:pPr>
        <w:pStyle w:val="BodyText"/>
        <w:spacing w:before="163" w:line="347" w:lineRule="auto"/>
        <w:ind w:left="10" w:right="105" w:firstLine="430"/>
      </w:pPr>
      <w:r>
        <w:t>二、委托人或者其他资产评估报告使用人应当按</w:t>
      </w:r>
      <w:r>
        <w:rPr>
          <w:spacing w:val="-1"/>
        </w:rPr>
        <w:t>照法律、行政法规规定及本</w:t>
      </w:r>
      <w:r>
        <w:t xml:space="preserve"> </w:t>
      </w:r>
      <w:r>
        <w:t>资产评估报告载明的使用范围使用资产评估报告；委托人或</w:t>
      </w:r>
      <w:r>
        <w:rPr>
          <w:spacing w:val="-1"/>
        </w:rPr>
        <w:t>者其他资产评估报告</w:t>
      </w:r>
      <w:r>
        <w:t xml:space="preserve"> </w:t>
      </w:r>
      <w:r>
        <w:t>使用人违反前述规定使用资产评估报告的，本资产评估机构</w:t>
      </w:r>
      <w:r>
        <w:rPr>
          <w:spacing w:val="-1"/>
        </w:rPr>
        <w:t>及资产评估师不承担</w:t>
      </w:r>
    </w:p>
    <w:p>
      <w:pPr>
        <w:pStyle w:val="BodyText"/>
        <w:spacing w:line="219" w:lineRule="auto"/>
        <w:ind w:left="17"/>
      </w:pPr>
      <w:r>
        <w:rPr>
          <w:spacing w:val="-12"/>
        </w:rPr>
        <w:t>责任。</w:t>
      </w:r>
    </w:p>
    <w:p>
      <w:pPr>
        <w:pStyle w:val="BodyText"/>
        <w:spacing w:before="162" w:line="347" w:lineRule="auto"/>
        <w:ind w:left="10" w:right="105" w:firstLine="427"/>
      </w:pPr>
      <w:r>
        <w:rPr>
          <w:spacing w:val="-6"/>
        </w:rPr>
        <w:t>本资产评估报告仅供委托人、</w:t>
      </w:r>
      <w:r>
        <w:rPr>
          <w:spacing w:val="69"/>
        </w:rPr>
        <w:t xml:space="preserve"> </w:t>
      </w:r>
      <w:r>
        <w:rPr>
          <w:spacing w:val="-6"/>
        </w:rPr>
        <w:t>资产评估委托合同中约定的其他资产评估报告</w:t>
      </w:r>
      <w:r>
        <w:t xml:space="preserve"> </w:t>
      </w:r>
      <w:r>
        <w:rPr>
          <w:spacing w:val="-10"/>
        </w:rPr>
        <w:t>使用人和法律、</w:t>
      </w:r>
      <w:r>
        <w:rPr>
          <w:spacing w:val="49"/>
        </w:rPr>
        <w:t xml:space="preserve"> </w:t>
      </w:r>
      <w:r>
        <w:rPr>
          <w:spacing w:val="-10"/>
        </w:rPr>
        <w:t>行政法规规定的评估报告使用人使用</w:t>
      </w:r>
      <w:r>
        <w:rPr>
          <w:spacing w:val="-11"/>
        </w:rPr>
        <w:t>；除此之外，</w:t>
      </w:r>
      <w:r>
        <w:rPr>
          <w:spacing w:val="64"/>
        </w:rPr>
        <w:t xml:space="preserve"> </w:t>
      </w:r>
      <w:r>
        <w:rPr>
          <w:spacing w:val="-11"/>
        </w:rPr>
        <w:t>其他任何机构</w:t>
      </w:r>
    </w:p>
    <w:p>
      <w:pPr>
        <w:pStyle w:val="BodyText"/>
        <w:spacing w:line="218" w:lineRule="auto"/>
        <w:ind w:left="10"/>
      </w:pPr>
      <w:r>
        <w:rPr>
          <w:spacing w:val="-3"/>
        </w:rPr>
        <w:t>和个人不能成为本资产评估报告的使用人。</w:t>
      </w:r>
    </w:p>
    <w:p>
      <w:pPr>
        <w:pStyle w:val="BodyText"/>
        <w:spacing w:before="169" w:line="345" w:lineRule="auto"/>
        <w:ind w:left="11" w:right="106" w:firstLine="426"/>
      </w:pPr>
      <w:r>
        <w:t>本资产评估机构及资产评估师提示资产评估报告使用</w:t>
      </w:r>
      <w:r>
        <w:rPr>
          <w:spacing w:val="-1"/>
        </w:rPr>
        <w:t>人应当正确理解评估结</w:t>
      </w:r>
      <w:r>
        <w:t xml:space="preserve"> </w:t>
      </w:r>
      <w:r>
        <w:t>论，评估结论不等同于评估对象可实现的价格，评估结论</w:t>
      </w:r>
      <w:r>
        <w:rPr>
          <w:spacing w:val="-1"/>
        </w:rPr>
        <w:t>不应当被认为是对评估</w:t>
      </w:r>
    </w:p>
    <w:p>
      <w:pPr>
        <w:pStyle w:val="BodyText"/>
        <w:spacing w:line="218" w:lineRule="auto"/>
        <w:ind w:left="8"/>
      </w:pPr>
      <w:r>
        <w:rPr>
          <w:spacing w:val="-4"/>
        </w:rPr>
        <w:t>对象可实现价格的保证。</w:t>
      </w:r>
    </w:p>
    <w:p>
      <w:pPr>
        <w:pStyle w:val="BodyText"/>
        <w:spacing w:before="167" w:line="452" w:lineRule="exact"/>
        <w:ind w:left="437"/>
      </w:pPr>
      <w:r>
        <w:rPr>
          <w:position w:val="16"/>
        </w:rPr>
        <w:t>三、本资产评估机构及资产评估师遵守法律、行政法规</w:t>
      </w:r>
      <w:r>
        <w:rPr>
          <w:spacing w:val="-1"/>
          <w:position w:val="16"/>
        </w:rPr>
        <w:t>和资产评估准则，坚</w:t>
      </w:r>
    </w:p>
    <w:p>
      <w:pPr>
        <w:pStyle w:val="BodyText"/>
        <w:spacing w:line="218" w:lineRule="auto"/>
        <w:ind w:left="12"/>
      </w:pPr>
      <w:r>
        <w:rPr>
          <w:spacing w:val="-1"/>
        </w:rPr>
        <w:t>持独立、客观和公正的原则，并对所出具的资产</w:t>
      </w:r>
      <w:r>
        <w:rPr>
          <w:spacing w:val="-2"/>
        </w:rPr>
        <w:t>评估报告依法承担责任。</w:t>
      </w:r>
    </w:p>
    <w:p>
      <w:pPr>
        <w:pStyle w:val="BodyText"/>
        <w:spacing w:before="164" w:line="347" w:lineRule="auto"/>
        <w:ind w:left="9" w:right="105" w:firstLine="450"/>
      </w:pPr>
      <w:r>
        <w:rPr>
          <w:spacing w:val="-1"/>
        </w:rPr>
        <w:t>四、评估对象涉及的资产、负债清单、历史年度经营成果、盈利预测数据及</w:t>
      </w:r>
      <w:r>
        <w:t xml:space="preserve"> </w:t>
      </w:r>
      <w:r>
        <w:rPr>
          <w:spacing w:val="-4"/>
        </w:rPr>
        <w:t>相关法律权属等资料由委托人、被评估单位申报或提供， 并经其采用签字、盖章</w:t>
      </w:r>
      <w:r>
        <w:rPr>
          <w:spacing w:val="15"/>
        </w:rPr>
        <w:t xml:space="preserve"> </w:t>
      </w:r>
      <w:r>
        <w:rPr>
          <w:spacing w:val="-4"/>
        </w:rPr>
        <w:t>或法律允许的其他方式确认； 委托人和其他相关当事人依法对其提供资料的真实</w:t>
      </w:r>
    </w:p>
    <w:p>
      <w:pPr>
        <w:pStyle w:val="BodyText"/>
        <w:spacing w:before="1" w:line="219" w:lineRule="auto"/>
        <w:ind w:left="9"/>
      </w:pPr>
      <w:r>
        <w:rPr>
          <w:spacing w:val="-19"/>
        </w:rPr>
        <w:t>性、</w:t>
      </w:r>
      <w:r>
        <w:rPr>
          <w:spacing w:val="-26"/>
        </w:rPr>
        <w:t xml:space="preserve"> </w:t>
      </w:r>
      <w:r>
        <w:rPr>
          <w:spacing w:val="-19"/>
        </w:rPr>
        <w:t>完整性、 合法性负责。</w:t>
      </w:r>
    </w:p>
    <w:p>
      <w:pPr>
        <w:pStyle w:val="BodyText"/>
        <w:spacing w:before="161" w:line="347" w:lineRule="auto"/>
        <w:ind w:left="11" w:right="108" w:firstLine="429"/>
      </w:pPr>
      <w:r>
        <w:t>五、本资产评估机构及资产评估师与资产评估</w:t>
      </w:r>
      <w:r>
        <w:rPr>
          <w:spacing w:val="-1"/>
        </w:rPr>
        <w:t>报告中的评估对象没有现存或</w:t>
      </w:r>
      <w:r>
        <w:t xml:space="preserve"> </w:t>
      </w:r>
      <w:r>
        <w:t>者预期的利益关系；与相关当事人没有现存或者预</w:t>
      </w:r>
      <w:r>
        <w:rPr>
          <w:spacing w:val="-1"/>
        </w:rPr>
        <w:t>期的利益关系，对相关当事人</w:t>
      </w:r>
    </w:p>
    <w:p>
      <w:pPr>
        <w:pStyle w:val="BodyText"/>
        <w:spacing w:before="1" w:line="219" w:lineRule="auto"/>
        <w:ind w:left="13"/>
      </w:pPr>
      <w:r>
        <w:rPr>
          <w:spacing w:val="-7"/>
        </w:rPr>
        <w:t>不存在偏见。</w:t>
      </w:r>
    </w:p>
    <w:p>
      <w:pPr>
        <w:pStyle w:val="BodyText"/>
        <w:spacing w:before="167" w:line="346" w:lineRule="auto"/>
        <w:ind w:left="8" w:right="105" w:firstLine="430"/>
        <w:sectPr>
          <w:headerReference w:type="default" r:id="rId15"/>
          <w:footerReference w:type="default" r:id="rId16"/>
          <w:pgSz w:w="11905" w:h="16839"/>
          <w:pgMar w:top="1336" w:right="1695" w:bottom="1579" w:left="1699" w:header="1154" w:footer="1314" w:gutter="0"/>
          <w:pgNumType w:start="7"/>
          <w:cols w:space="708"/>
        </w:sectPr>
      </w:pPr>
      <w:r>
        <w:t>六、资产评估师已经对资产评估报告中的评估对</w:t>
      </w:r>
      <w:r>
        <w:rPr>
          <w:spacing w:val="-1"/>
        </w:rPr>
        <w:t>象及其所涉及资产进行现场</w:t>
      </w:r>
      <w:r>
        <w:t xml:space="preserve"> </w:t>
      </w:r>
      <w:r>
        <w:t>调查；已经对评估对象及其所涉及资产的法律权属状况给予</w:t>
      </w:r>
      <w:r>
        <w:rPr>
          <w:spacing w:val="-1"/>
        </w:rPr>
        <w:t>必要的关注，对评估</w:t>
      </w:r>
      <w:r>
        <w:t xml:space="preserve"> </w:t>
      </w:r>
    </w:p>
    <w:p>
      <w:pPr>
        <w:pStyle w:val="BodyText"/>
        <w:spacing w:before="167" w:line="346" w:lineRule="auto"/>
        <w:ind w:left="8" w:right="105" w:firstLine="430"/>
      </w:pPr>
      <w:r>
        <w:t>对象及其所涉及资产的法律权属资料进行了查验，对已经</w:t>
      </w:r>
      <w:r>
        <w:rPr>
          <w:spacing w:val="-1"/>
        </w:rPr>
        <w:t>发现的问题进行了如实</w:t>
      </w:r>
      <w:r>
        <w:t xml:space="preserve"> </w:t>
      </w:r>
      <w:r>
        <w:rPr>
          <w:spacing w:val="-4"/>
        </w:rPr>
        <w:t>披露， 并且已提请委托人及其他相关当事人完善产权以满足出具资产评估报告的</w:t>
      </w:r>
    </w:p>
    <w:p>
      <w:pPr>
        <w:pStyle w:val="BodyText"/>
        <w:spacing w:before="1" w:line="220" w:lineRule="auto"/>
        <w:ind w:left="10"/>
      </w:pPr>
      <w:r>
        <w:rPr>
          <w:spacing w:val="-10"/>
        </w:rPr>
        <w:t>要求。</w:t>
      </w:r>
    </w:p>
    <w:p>
      <w:pPr>
        <w:spacing w:line="220" w:lineRule="auto"/>
        <w:sectPr>
          <w:headerReference w:type="default" r:id="rId17"/>
          <w:footerReference w:type="default" r:id="rId18"/>
          <w:type w:val="nextPage"/>
          <w:pgSz w:w="11905" w:h="16839"/>
          <w:pgMar w:top="1336" w:right="1695" w:bottom="1579" w:left="1699" w:header="1154" w:footer="1314" w:gutter="0"/>
          <w:pgNumType w:start="8"/>
          <w:cols w:space="708"/>
          <w:titlePg w:val="0"/>
        </w:sectPr>
      </w:pPr>
    </w:p>
    <w:p>
      <w:pPr>
        <w:spacing w:line="369" w:lineRule="auto"/>
        <w:rPr>
          <w:rFonts w:ascii="Arial"/>
          <w:sz w:val="21"/>
        </w:rPr>
      </w:pPr>
    </w:p>
    <w:p>
      <w:pPr>
        <w:pStyle w:val="BodyText"/>
        <w:spacing w:before="78" w:line="218" w:lineRule="auto"/>
        <w:ind w:left="437"/>
      </w:pPr>
      <w:r>
        <w:rPr>
          <w:spacing w:val="-2"/>
        </w:rPr>
        <w:t>执行资产评估业务的目的是对资产评估对象价值进行估算并发表专业意见，</w:t>
      </w:r>
    </w:p>
    <w:p>
      <w:pPr>
        <w:pStyle w:val="BodyText"/>
        <w:spacing w:before="162" w:line="452" w:lineRule="exact"/>
        <w:ind w:left="8"/>
      </w:pPr>
      <w:r>
        <w:rPr>
          <w:position w:val="16"/>
        </w:rPr>
        <w:t>对资产评估对象法律权属确认或者发表意见超出资产评估师</w:t>
      </w:r>
      <w:r>
        <w:rPr>
          <w:spacing w:val="-1"/>
          <w:position w:val="16"/>
        </w:rPr>
        <w:t>的执业范围。资产评</w:t>
      </w:r>
    </w:p>
    <w:p>
      <w:pPr>
        <w:pStyle w:val="BodyText"/>
        <w:spacing w:line="218" w:lineRule="auto"/>
        <w:ind w:left="9"/>
      </w:pPr>
      <w:r>
        <w:rPr>
          <w:spacing w:val="-3"/>
        </w:rPr>
        <w:t>估师不对资产评估对象的法律权属提供保证。</w:t>
      </w:r>
    </w:p>
    <w:p>
      <w:pPr>
        <w:pStyle w:val="BodyText"/>
        <w:spacing w:before="168" w:line="345" w:lineRule="auto"/>
        <w:ind w:left="7" w:right="62" w:firstLine="428"/>
      </w:pPr>
      <w:r>
        <w:t>七、本资产评估机构出具的资产评估报告中的分析、判断和</w:t>
      </w:r>
      <w:r>
        <w:rPr>
          <w:spacing w:val="-1"/>
        </w:rPr>
        <w:t>结果受资产评估</w:t>
      </w:r>
      <w:r>
        <w:t xml:space="preserve"> </w:t>
      </w:r>
      <w:r>
        <w:rPr>
          <w:spacing w:val="-6"/>
        </w:rPr>
        <w:t>报告中假设和限定条件的限制，</w:t>
      </w:r>
      <w:r>
        <w:rPr>
          <w:spacing w:val="84"/>
        </w:rPr>
        <w:t xml:space="preserve"> </w:t>
      </w:r>
      <w:r>
        <w:rPr>
          <w:spacing w:val="-6"/>
        </w:rPr>
        <w:t>资产评估报告使用人应当充分考虑资产评估报告</w:t>
      </w:r>
    </w:p>
    <w:p>
      <w:pPr>
        <w:pStyle w:val="BodyText"/>
        <w:spacing w:line="218" w:lineRule="auto"/>
        <w:ind w:left="31"/>
      </w:pPr>
      <w:r>
        <w:rPr>
          <w:spacing w:val="-1"/>
        </w:rPr>
        <w:t>中载明的假设、限定条件、特别事项说明及其对评估结论的</w:t>
      </w:r>
      <w:r>
        <w:rPr>
          <w:spacing w:val="-2"/>
        </w:rPr>
        <w:t>影响。</w:t>
      </w:r>
    </w:p>
    <w:p>
      <w:pPr>
        <w:spacing w:line="218" w:lineRule="auto"/>
        <w:sectPr>
          <w:headerReference w:type="default" r:id="rId19"/>
          <w:footerReference w:type="default" r:id="rId20"/>
          <w:pgSz w:w="11905" w:h="16839"/>
          <w:pgMar w:top="1336" w:right="1738" w:bottom="1579" w:left="1699" w:header="1154" w:footer="1314" w:gutter="0"/>
          <w:pgNumType w:start="9"/>
          <w:cols w:space="708"/>
        </w:sectPr>
      </w:pPr>
    </w:p>
    <w:p>
      <w:pPr>
        <w:spacing w:line="316" w:lineRule="auto"/>
        <w:rPr>
          <w:rFonts w:ascii="Arial"/>
          <w:sz w:val="21"/>
        </w:rPr>
      </w:pPr>
    </w:p>
    <w:p>
      <w:pPr>
        <w:pStyle w:val="BodyText"/>
        <w:spacing w:before="97" w:line="220" w:lineRule="auto"/>
        <w:ind w:left="1109"/>
        <w:rPr>
          <w:sz w:val="30"/>
          <w:szCs w:val="30"/>
        </w:rPr>
      </w:pPr>
      <w:r>
        <w:rPr>
          <w:b/>
          <w:bCs/>
          <w:spacing w:val="-3"/>
          <w:sz w:val="30"/>
          <w:szCs w:val="30"/>
        </w:rPr>
        <w:t>常州亚玛顿股份有限公司拟发行股份及支付现金</w:t>
      </w:r>
    </w:p>
    <w:p>
      <w:pPr>
        <w:pStyle w:val="BodyText"/>
        <w:spacing w:before="150" w:line="220" w:lineRule="auto"/>
        <w:ind w:left="42"/>
        <w:rPr>
          <w:sz w:val="30"/>
          <w:szCs w:val="30"/>
        </w:rPr>
      </w:pPr>
      <w:r>
        <w:rPr>
          <w:b/>
          <w:bCs/>
          <w:spacing w:val="-2"/>
          <w:sz w:val="30"/>
          <w:szCs w:val="30"/>
        </w:rPr>
        <w:t>购买资产所涉及的凤阳硅谷智能有限公司股东全部权益价值项目</w:t>
      </w:r>
    </w:p>
    <w:p>
      <w:pPr>
        <w:pStyle w:val="BodyText"/>
        <w:spacing w:before="347" w:line="218" w:lineRule="auto"/>
        <w:ind w:left="2843"/>
        <w:rPr>
          <w:sz w:val="36"/>
          <w:szCs w:val="36"/>
        </w:rPr>
      </w:pPr>
      <w:r>
        <w:rPr>
          <w:spacing w:val="-4"/>
          <w:sz w:val="36"/>
          <w:szCs w:val="36"/>
        </w:rPr>
        <w:t>资产评估报告摘要</w:t>
      </w:r>
    </w:p>
    <w:p>
      <w:pPr>
        <w:pStyle w:val="BodyText"/>
        <w:spacing w:before="315" w:line="220" w:lineRule="auto"/>
        <w:ind w:left="2641"/>
      </w:pPr>
      <w:r>
        <w:rPr>
          <w:spacing w:val="-2"/>
        </w:rPr>
        <w:t>华辰评报字（</w:t>
      </w:r>
      <w:r>
        <w:rPr>
          <w:rFonts w:ascii="Times New Roman" w:eastAsia="Times New Roman" w:hAnsi="Times New Roman" w:cs="Times New Roman"/>
          <w:spacing w:val="-2"/>
        </w:rPr>
        <w:t>2024</w:t>
      </w:r>
      <w:r>
        <w:rPr>
          <w:spacing w:val="-2"/>
        </w:rPr>
        <w:t>）第</w:t>
      </w:r>
      <w:r>
        <w:rPr>
          <w:spacing w:val="-24"/>
        </w:rPr>
        <w:t xml:space="preserve"> </w:t>
      </w:r>
      <w:r>
        <w:rPr>
          <w:rFonts w:ascii="Times New Roman" w:eastAsia="Times New Roman" w:hAnsi="Times New Roman" w:cs="Times New Roman"/>
          <w:spacing w:val="-2"/>
        </w:rPr>
        <w:t xml:space="preserve">0013 </w:t>
      </w:r>
      <w:r>
        <w:rPr>
          <w:spacing w:val="-2"/>
        </w:rPr>
        <w:t>号</w:t>
      </w:r>
    </w:p>
    <w:p>
      <w:pPr>
        <w:pStyle w:val="BodyText"/>
        <w:spacing w:before="225" w:line="346" w:lineRule="auto"/>
        <w:ind w:left="8" w:firstLine="482"/>
        <w:jc w:val="both"/>
        <w:rPr>
          <w:rFonts w:ascii="Times New Roman" w:eastAsia="Times New Roman" w:hAnsi="Times New Roman" w:cs="Times New Roman"/>
        </w:rPr>
      </w:pPr>
      <w:r>
        <w:rPr>
          <w:spacing w:val="-1"/>
        </w:rPr>
        <w:t>江苏天健华辰资产评估有限公司接受常州亚玛顿股份有限公司的委托， 按照</w:t>
      </w:r>
      <w:r>
        <w:rPr>
          <w:spacing w:val="11"/>
        </w:rPr>
        <w:t xml:space="preserve"> </w:t>
      </w:r>
      <w:r>
        <w:rPr>
          <w:spacing w:val="-10"/>
        </w:rPr>
        <w:t>法律、 行政法规和资产评估准则的规定，坚持独立、客观和公正的原则， 采用资产</w:t>
      </w:r>
      <w:r>
        <w:t xml:space="preserve"> </w:t>
      </w:r>
      <w:r>
        <w:t xml:space="preserve">基础法和收益法，按照必要的评估程序， </w:t>
      </w:r>
      <w:r>
        <w:rPr>
          <w:spacing w:val="-1"/>
        </w:rPr>
        <w:t>对常州亚玛顿股份有限公司拟发行股份</w:t>
      </w:r>
      <w:r>
        <w:t xml:space="preserve"> </w:t>
      </w:r>
      <w:r>
        <w:rPr>
          <w:spacing w:val="-1"/>
        </w:rPr>
        <w:t>及支付现金购买资产所涉及的凤阳硅谷智能有限公司的股东全部权益在</w:t>
      </w:r>
      <w:r>
        <w:rPr>
          <w:spacing w:val="-33"/>
        </w:rPr>
        <w:t xml:space="preserve"> </w:t>
      </w:r>
      <w:r>
        <w:rPr>
          <w:rFonts w:ascii="Times New Roman" w:eastAsia="Times New Roman" w:hAnsi="Times New Roman" w:cs="Times New Roman"/>
          <w:spacing w:val="-1"/>
        </w:rPr>
        <w:t>2023</w:t>
      </w:r>
      <w:r>
        <w:rPr>
          <w:rFonts w:ascii="Times New Roman" w:eastAsia="Times New Roman" w:hAnsi="Times New Roman" w:cs="Times New Roman"/>
          <w:spacing w:val="27"/>
          <w:w w:val="101"/>
        </w:rPr>
        <w:t xml:space="preserve"> </w:t>
      </w:r>
      <w:r>
        <w:rPr>
          <w:spacing w:val="-1"/>
        </w:rPr>
        <w:t>年</w:t>
      </w:r>
      <w:r>
        <w:rPr>
          <w:spacing w:val="-34"/>
        </w:rPr>
        <w:t xml:space="preserve"> </w:t>
      </w:r>
      <w:r>
        <w:rPr>
          <w:rFonts w:ascii="Times New Roman" w:eastAsia="Times New Roman" w:hAnsi="Times New Roman" w:cs="Times New Roman"/>
          <w:spacing w:val="-1"/>
        </w:rPr>
        <w:t>9</w:t>
      </w:r>
    </w:p>
    <w:p>
      <w:pPr>
        <w:pStyle w:val="BodyText"/>
        <w:spacing w:line="218" w:lineRule="auto"/>
        <w:ind w:left="15"/>
      </w:pPr>
      <w:r>
        <w:rPr>
          <w:spacing w:val="-3"/>
        </w:rPr>
        <w:t>月</w:t>
      </w:r>
      <w:r>
        <w:rPr>
          <w:spacing w:val="-40"/>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49"/>
        </w:rPr>
        <w:t xml:space="preserve"> </w:t>
      </w:r>
      <w:r>
        <w:rPr>
          <w:spacing w:val="-3"/>
        </w:rPr>
        <w:t>日的市场价值进行了评估。现将资产评估情况报告如下：</w:t>
      </w:r>
    </w:p>
    <w:p>
      <w:pPr>
        <w:pStyle w:val="BodyText"/>
        <w:spacing w:before="226" w:line="346" w:lineRule="auto"/>
        <w:ind w:left="9" w:right="1" w:firstLine="484"/>
        <w:jc w:val="both"/>
      </w:pPr>
      <w:r>
        <w:rPr>
          <w:spacing w:val="-9"/>
        </w:rPr>
        <w:t>一、评估目的：</w:t>
      </w:r>
      <w:r>
        <w:rPr>
          <w:spacing w:val="76"/>
        </w:rPr>
        <w:t xml:space="preserve"> </w:t>
      </w:r>
      <w:r>
        <w:rPr>
          <w:spacing w:val="-9"/>
        </w:rPr>
        <w:t>根据</w:t>
      </w:r>
      <w:r>
        <w:rPr>
          <w:spacing w:val="-37"/>
        </w:rPr>
        <w:t xml:space="preserve"> </w:t>
      </w:r>
      <w:r>
        <w:rPr>
          <w:rFonts w:ascii="Times New Roman" w:eastAsia="Times New Roman" w:hAnsi="Times New Roman" w:cs="Times New Roman"/>
          <w:spacing w:val="-9"/>
        </w:rPr>
        <w:t>2023</w:t>
      </w:r>
      <w:r>
        <w:rPr>
          <w:rFonts w:ascii="Times New Roman" w:eastAsia="Times New Roman" w:hAnsi="Times New Roman" w:cs="Times New Roman"/>
          <w:spacing w:val="27"/>
        </w:rPr>
        <w:t xml:space="preserve"> </w:t>
      </w:r>
      <w:r>
        <w:rPr>
          <w:spacing w:val="-9"/>
        </w:rPr>
        <w:t xml:space="preserve">年 </w:t>
      </w:r>
      <w:r>
        <w:rPr>
          <w:rFonts w:ascii="Times New Roman" w:eastAsia="Times New Roman" w:hAnsi="Times New Roman" w:cs="Times New Roman"/>
          <w:spacing w:val="-9"/>
        </w:rPr>
        <w:t>11</w:t>
      </w:r>
      <w:r>
        <w:rPr>
          <w:rFonts w:ascii="Times New Roman" w:eastAsia="Times New Roman" w:hAnsi="Times New Roman" w:cs="Times New Roman"/>
          <w:spacing w:val="32"/>
        </w:rPr>
        <w:t xml:space="preserve"> </w:t>
      </w:r>
      <w:r>
        <w:rPr>
          <w:spacing w:val="-9"/>
        </w:rPr>
        <w:t>月</w:t>
      </w:r>
      <w:r>
        <w:rPr>
          <w:spacing w:val="-34"/>
        </w:rPr>
        <w:t xml:space="preserve"> </w:t>
      </w:r>
      <w:r>
        <w:rPr>
          <w:rFonts w:ascii="Times New Roman" w:eastAsia="Times New Roman" w:hAnsi="Times New Roman" w:cs="Times New Roman"/>
          <w:spacing w:val="-9"/>
        </w:rPr>
        <w:t xml:space="preserve">7  </w:t>
      </w:r>
      <w:r>
        <w:rPr>
          <w:spacing w:val="-9"/>
        </w:rPr>
        <w:t>日常州亚玛顿股份有限公司《第五届董</w:t>
      </w:r>
      <w:r>
        <w:t xml:space="preserve"> </w:t>
      </w:r>
      <w:r>
        <w:rPr>
          <w:spacing w:val="3"/>
        </w:rPr>
        <w:t>事会第十一次会议》文件，常州亚玛顿股份有限公司拟发行股份及支</w:t>
      </w:r>
      <w:r>
        <w:rPr>
          <w:spacing w:val="2"/>
        </w:rPr>
        <w:t>付现金购买</w:t>
      </w:r>
      <w:r>
        <w:t xml:space="preserve"> </w:t>
      </w:r>
      <w:r>
        <w:rPr>
          <w:spacing w:val="3"/>
        </w:rPr>
        <w:t>资产，需要对所涉及的凤阳硅谷智能有限公司的股东全部权益价值进行评</w:t>
      </w:r>
      <w:r>
        <w:rPr>
          <w:spacing w:val="2"/>
        </w:rPr>
        <w:t>估，为</w:t>
      </w:r>
    </w:p>
    <w:p>
      <w:pPr>
        <w:pStyle w:val="BodyText"/>
        <w:spacing w:line="218" w:lineRule="auto"/>
        <w:ind w:left="13"/>
      </w:pPr>
      <w:r>
        <w:rPr>
          <w:spacing w:val="-4"/>
        </w:rPr>
        <w:t>该经济行为提供价值参考依据。</w:t>
      </w:r>
    </w:p>
    <w:p>
      <w:pPr>
        <w:pStyle w:val="BodyText"/>
        <w:spacing w:before="230" w:line="218" w:lineRule="auto"/>
        <w:ind w:left="493"/>
      </w:pPr>
      <w:r>
        <w:rPr>
          <w:spacing w:val="-8"/>
        </w:rPr>
        <w:t>二、评估对象：</w:t>
      </w:r>
      <w:r>
        <w:rPr>
          <w:spacing w:val="83"/>
        </w:rPr>
        <w:t xml:space="preserve"> </w:t>
      </w:r>
      <w:r>
        <w:rPr>
          <w:spacing w:val="-8"/>
        </w:rPr>
        <w:t>凤阳硅谷智能有限公司的股东全部权益价值。</w:t>
      </w:r>
    </w:p>
    <w:p>
      <w:pPr>
        <w:pStyle w:val="BodyText"/>
        <w:spacing w:before="225" w:line="509" w:lineRule="exact"/>
        <w:ind w:left="489"/>
      </w:pPr>
      <w:r>
        <w:rPr>
          <w:spacing w:val="-7"/>
          <w:position w:val="20"/>
        </w:rPr>
        <w:t>三、评估范围：</w:t>
      </w:r>
      <w:r>
        <w:rPr>
          <w:spacing w:val="73"/>
          <w:position w:val="20"/>
        </w:rPr>
        <w:t xml:space="preserve"> </w:t>
      </w:r>
      <w:r>
        <w:rPr>
          <w:spacing w:val="-7"/>
          <w:position w:val="20"/>
        </w:rPr>
        <w:t>凤阳硅谷智能有限公司于评估基准日的全部资产及负债。</w:t>
      </w:r>
    </w:p>
    <w:p>
      <w:pPr>
        <w:pStyle w:val="BodyText"/>
        <w:spacing w:line="218" w:lineRule="auto"/>
        <w:ind w:left="512"/>
      </w:pPr>
      <w:r>
        <w:rPr>
          <w:spacing w:val="-6"/>
        </w:rPr>
        <w:t>四、价值类型：市场价值。</w:t>
      </w:r>
    </w:p>
    <w:p>
      <w:pPr>
        <w:pStyle w:val="BodyText"/>
        <w:spacing w:before="226" w:line="513" w:lineRule="exact"/>
        <w:ind w:left="493"/>
      </w:pPr>
      <w:r>
        <w:rPr>
          <w:spacing w:val="-14"/>
          <w:position w:val="21"/>
        </w:rPr>
        <w:t>五、评估基准日：</w:t>
      </w:r>
      <w:r>
        <w:rPr>
          <w:spacing w:val="37"/>
          <w:position w:val="21"/>
        </w:rPr>
        <w:t xml:space="preserve">  </w:t>
      </w:r>
      <w:r>
        <w:rPr>
          <w:rFonts w:ascii="Times New Roman" w:eastAsia="Times New Roman" w:hAnsi="Times New Roman" w:cs="Times New Roman"/>
          <w:spacing w:val="-14"/>
          <w:position w:val="21"/>
        </w:rPr>
        <w:t xml:space="preserve">2023 </w:t>
      </w:r>
      <w:r>
        <w:rPr>
          <w:spacing w:val="-14"/>
          <w:position w:val="21"/>
        </w:rPr>
        <w:t>年</w:t>
      </w:r>
      <w:r>
        <w:rPr>
          <w:spacing w:val="-51"/>
          <w:position w:val="21"/>
        </w:rPr>
        <w:t xml:space="preserve"> </w:t>
      </w:r>
      <w:r>
        <w:rPr>
          <w:rFonts w:ascii="Times New Roman" w:eastAsia="Times New Roman" w:hAnsi="Times New Roman" w:cs="Times New Roman"/>
          <w:spacing w:val="-14"/>
          <w:position w:val="21"/>
        </w:rPr>
        <w:t>9</w:t>
      </w:r>
      <w:r>
        <w:rPr>
          <w:rFonts w:ascii="Times New Roman" w:eastAsia="Times New Roman" w:hAnsi="Times New Roman" w:cs="Times New Roman"/>
          <w:spacing w:val="17"/>
          <w:position w:val="21"/>
        </w:rPr>
        <w:t xml:space="preserve"> </w:t>
      </w:r>
      <w:r>
        <w:rPr>
          <w:spacing w:val="-14"/>
          <w:position w:val="21"/>
        </w:rPr>
        <w:t>月</w:t>
      </w:r>
      <w:r>
        <w:rPr>
          <w:spacing w:val="-53"/>
          <w:position w:val="21"/>
        </w:rPr>
        <w:t xml:space="preserve"> </w:t>
      </w:r>
      <w:r>
        <w:rPr>
          <w:rFonts w:ascii="Times New Roman" w:eastAsia="Times New Roman" w:hAnsi="Times New Roman" w:cs="Times New Roman"/>
          <w:spacing w:val="-14"/>
          <w:position w:val="21"/>
        </w:rPr>
        <w:t xml:space="preserve">30  </w:t>
      </w:r>
      <w:r>
        <w:rPr>
          <w:spacing w:val="-14"/>
          <w:position w:val="21"/>
        </w:rPr>
        <w:t>日。</w:t>
      </w:r>
    </w:p>
    <w:p>
      <w:pPr>
        <w:pStyle w:val="BodyText"/>
        <w:spacing w:line="218" w:lineRule="auto"/>
        <w:ind w:left="491"/>
      </w:pPr>
      <w:r>
        <w:rPr>
          <w:spacing w:val="-13"/>
        </w:rPr>
        <w:t>六、评估方法：</w:t>
      </w:r>
      <w:r>
        <w:rPr>
          <w:spacing w:val="89"/>
        </w:rPr>
        <w:t xml:space="preserve"> </w:t>
      </w:r>
      <w:r>
        <w:rPr>
          <w:spacing w:val="-13"/>
        </w:rPr>
        <w:t>资产基础法、收益法。</w:t>
      </w:r>
    </w:p>
    <w:p>
      <w:pPr>
        <w:pStyle w:val="BodyText"/>
        <w:spacing w:before="226" w:line="218" w:lineRule="auto"/>
        <w:ind w:left="488"/>
      </w:pPr>
      <w:r>
        <w:rPr>
          <w:spacing w:val="-2"/>
        </w:rPr>
        <w:t>七、评估结论</w:t>
      </w:r>
    </w:p>
    <w:p>
      <w:pPr>
        <w:pStyle w:val="BodyText"/>
        <w:spacing w:before="226" w:line="451" w:lineRule="exact"/>
        <w:ind w:right="17"/>
        <w:jc w:val="right"/>
      </w:pPr>
      <w:r>
        <w:rPr>
          <w:spacing w:val="-1"/>
          <w:position w:val="16"/>
        </w:rPr>
        <w:t>本次评估， 评估人员采用资产基础法和收益法对评估对象分别进行了评</w:t>
      </w:r>
      <w:r>
        <w:rPr>
          <w:spacing w:val="-2"/>
          <w:position w:val="16"/>
        </w:rPr>
        <w:t>估，</w:t>
      </w:r>
    </w:p>
    <w:p>
      <w:pPr>
        <w:pStyle w:val="BodyText"/>
        <w:spacing w:line="218" w:lineRule="auto"/>
        <w:ind w:left="11"/>
      </w:pPr>
      <w:r>
        <w:rPr>
          <w:spacing w:val="-1"/>
        </w:rPr>
        <w:t>经分析，最终选取收益法评估结果作为评估结论。</w:t>
      </w:r>
    </w:p>
    <w:p>
      <w:pPr>
        <w:pStyle w:val="BodyText"/>
        <w:spacing w:before="225" w:line="364" w:lineRule="auto"/>
        <w:ind w:left="9" w:right="5" w:firstLine="482"/>
      </w:pPr>
      <w:r>
        <w:rPr>
          <w:spacing w:val="3"/>
        </w:rPr>
        <w:t>经收益法评估，凤阳硅谷智能有限公司股东全部权益于评估基</w:t>
      </w:r>
      <w:r>
        <w:rPr>
          <w:spacing w:val="2"/>
        </w:rPr>
        <w:t>准日的市场价</w:t>
      </w:r>
      <w:r>
        <w:t xml:space="preserve"> </w:t>
      </w:r>
      <w:r>
        <w:rPr>
          <w:spacing w:val="-2"/>
        </w:rPr>
        <w:t xml:space="preserve">值为 </w:t>
      </w:r>
      <w:r>
        <w:rPr>
          <w:rFonts w:ascii="Times New Roman" w:eastAsia="Times New Roman" w:hAnsi="Times New Roman" w:cs="Times New Roman"/>
          <w:spacing w:val="-2"/>
        </w:rPr>
        <w:t>125,614.43</w:t>
      </w:r>
      <w:r>
        <w:rPr>
          <w:rFonts w:ascii="Times New Roman" w:eastAsia="Times New Roman" w:hAnsi="Times New Roman" w:cs="Times New Roman"/>
          <w:spacing w:val="33"/>
        </w:rPr>
        <w:t xml:space="preserve"> </w:t>
      </w:r>
      <w:r>
        <w:rPr>
          <w:spacing w:val="-2"/>
        </w:rPr>
        <w:t>万元，较账面净资产</w:t>
      </w:r>
      <w:r>
        <w:rPr>
          <w:spacing w:val="-39"/>
        </w:rPr>
        <w:t xml:space="preserve"> </w:t>
      </w:r>
      <w:r>
        <w:rPr>
          <w:rFonts w:ascii="Times New Roman" w:eastAsia="Times New Roman" w:hAnsi="Times New Roman" w:cs="Times New Roman"/>
          <w:spacing w:val="-2"/>
        </w:rPr>
        <w:t>46,704.15</w:t>
      </w:r>
      <w:r>
        <w:rPr>
          <w:rFonts w:ascii="Times New Roman" w:eastAsia="Times New Roman" w:hAnsi="Times New Roman" w:cs="Times New Roman"/>
          <w:spacing w:val="33"/>
        </w:rPr>
        <w:t xml:space="preserve"> </w:t>
      </w:r>
      <w:r>
        <w:rPr>
          <w:spacing w:val="-2"/>
        </w:rPr>
        <w:t>万元增值</w:t>
      </w:r>
      <w:r>
        <w:rPr>
          <w:spacing w:val="-34"/>
        </w:rPr>
        <w:t xml:space="preserve"> </w:t>
      </w:r>
      <w:r>
        <w:rPr>
          <w:rFonts w:ascii="Times New Roman" w:eastAsia="Times New Roman" w:hAnsi="Times New Roman" w:cs="Times New Roman"/>
          <w:spacing w:val="-2"/>
        </w:rPr>
        <w:t>78,910.</w:t>
      </w:r>
      <w:r>
        <w:rPr>
          <w:rFonts w:ascii="Times New Roman" w:eastAsia="Times New Roman" w:hAnsi="Times New Roman" w:cs="Times New Roman"/>
          <w:spacing w:val="-3"/>
        </w:rPr>
        <w:t>28</w:t>
      </w:r>
      <w:r>
        <w:rPr>
          <w:rFonts w:ascii="Times New Roman" w:eastAsia="Times New Roman" w:hAnsi="Times New Roman" w:cs="Times New Roman"/>
          <w:spacing w:val="33"/>
        </w:rPr>
        <w:t xml:space="preserve"> </w:t>
      </w:r>
      <w:r>
        <w:rPr>
          <w:spacing w:val="-3"/>
        </w:rPr>
        <w:t>万元，增值率</w:t>
      </w:r>
    </w:p>
    <w:p>
      <w:pPr>
        <w:pStyle w:val="BodyText"/>
        <w:spacing w:before="1" w:line="178" w:lineRule="auto"/>
        <w:ind w:left="28"/>
        <w:sectPr>
          <w:headerReference w:type="default" r:id="rId21"/>
          <w:footerReference w:type="default" r:id="rId22"/>
          <w:pgSz w:w="11905" w:h="16839"/>
          <w:pgMar w:top="1336" w:right="1690" w:bottom="1579" w:left="1699" w:header="1154" w:footer="1314" w:gutter="0"/>
          <w:pgNumType w:start="10"/>
          <w:cols w:space="708"/>
        </w:sectPr>
      </w:pPr>
      <w:r>
        <w:rPr>
          <w:rFonts w:ascii="Times New Roman" w:eastAsia="Times New Roman" w:hAnsi="Times New Roman" w:cs="Times New Roman"/>
          <w:spacing w:val="-4"/>
        </w:rPr>
        <w:t>168.96%</w:t>
      </w:r>
      <w:r>
        <w:rPr>
          <w:spacing w:val="-4"/>
        </w:rPr>
        <w:t>。</w:t>
      </w:r>
    </w:p>
    <w:p>
      <w:pPr>
        <w:pStyle w:val="BodyText"/>
        <w:spacing w:before="234" w:line="345" w:lineRule="auto"/>
        <w:ind w:left="13" w:firstLine="486"/>
        <w:jc w:val="both"/>
      </w:pPr>
      <w:r>
        <w:rPr>
          <w:spacing w:val="2"/>
        </w:rPr>
        <w:t>资产评估报告使用人在使用本报告的评估结论时，请注意本报告正文中第十</w:t>
      </w:r>
      <w:r>
        <w:rPr>
          <w:spacing w:val="18"/>
        </w:rPr>
        <w:t xml:space="preserve"> </w:t>
      </w:r>
      <w:r>
        <w:rPr>
          <w:spacing w:val="3"/>
        </w:rPr>
        <w:t>一项</w:t>
      </w:r>
      <w:r>
        <w:rPr>
          <w:rFonts w:ascii="Times New Roman" w:eastAsia="Times New Roman" w:hAnsi="Times New Roman" w:cs="Times New Roman"/>
          <w:spacing w:val="3"/>
        </w:rPr>
        <w:t>“</w:t>
      </w:r>
      <w:r>
        <w:rPr>
          <w:spacing w:val="3"/>
        </w:rPr>
        <w:t>特别事项说明</w:t>
      </w:r>
      <w:r>
        <w:rPr>
          <w:rFonts w:ascii="Times New Roman" w:eastAsia="Times New Roman" w:hAnsi="Times New Roman" w:cs="Times New Roman"/>
          <w:spacing w:val="3"/>
        </w:rPr>
        <w:t>”</w:t>
      </w:r>
      <w:r>
        <w:rPr>
          <w:spacing w:val="3"/>
        </w:rPr>
        <w:t>对评估结论的影响；并关注评估结论成立的假设前提和使用</w:t>
      </w:r>
    </w:p>
    <w:p>
      <w:pPr>
        <w:pStyle w:val="BodyText"/>
        <w:spacing w:before="1" w:line="220" w:lineRule="auto"/>
        <w:ind w:left="26"/>
      </w:pPr>
      <w:r>
        <w:rPr>
          <w:spacing w:val="-9"/>
        </w:rPr>
        <w:t>限制。</w:t>
      </w:r>
    </w:p>
    <w:p>
      <w:pPr>
        <w:spacing w:line="220" w:lineRule="auto"/>
        <w:sectPr>
          <w:headerReference w:type="default" r:id="rId23"/>
          <w:footerReference w:type="default" r:id="rId24"/>
          <w:type w:val="nextPage"/>
          <w:pgSz w:w="11905" w:h="16839"/>
          <w:pgMar w:top="1336" w:right="1690" w:bottom="1579" w:left="1699" w:header="1154" w:footer="1314" w:gutter="0"/>
          <w:pgNumType w:start="11"/>
          <w:cols w:space="708"/>
          <w:titlePg w:val="0"/>
        </w:sectPr>
      </w:pPr>
    </w:p>
    <w:p>
      <w:pPr>
        <w:spacing w:line="370" w:lineRule="auto"/>
        <w:rPr>
          <w:rFonts w:ascii="Arial"/>
          <w:sz w:val="21"/>
        </w:rPr>
      </w:pPr>
    </w:p>
    <w:p>
      <w:pPr>
        <w:pStyle w:val="BodyText"/>
        <w:spacing w:before="78" w:line="345" w:lineRule="auto"/>
        <w:ind w:left="122" w:right="42" w:firstLine="481"/>
        <w:jc w:val="both"/>
      </w:pPr>
      <w:r>
        <w:rPr>
          <w:spacing w:val="1"/>
        </w:rPr>
        <w:t>对于本报告正文中第十一项</w:t>
      </w:r>
      <w:r>
        <w:rPr>
          <w:rFonts w:ascii="Times New Roman" w:eastAsia="Times New Roman" w:hAnsi="Times New Roman" w:cs="Times New Roman"/>
          <w:spacing w:val="1"/>
        </w:rPr>
        <w:t>“</w:t>
      </w:r>
      <w:r>
        <w:rPr>
          <w:spacing w:val="1"/>
        </w:rPr>
        <w:t>特别事项说明</w:t>
      </w:r>
      <w:r>
        <w:rPr>
          <w:rFonts w:ascii="Times New Roman" w:eastAsia="Times New Roman" w:hAnsi="Times New Roman" w:cs="Times New Roman"/>
          <w:spacing w:val="1"/>
        </w:rPr>
        <w:t>”</w:t>
      </w:r>
      <w:r>
        <w:rPr>
          <w:rFonts w:ascii="Times New Roman" w:eastAsia="Times New Roman" w:hAnsi="Times New Roman" w:cs="Times New Roman"/>
          <w:spacing w:val="-21"/>
        </w:rPr>
        <w:t xml:space="preserve"> </w:t>
      </w:r>
      <w:r>
        <w:rPr>
          <w:spacing w:val="1"/>
        </w:rPr>
        <w:t>中有如下事项可能影响评估结论，</w:t>
      </w:r>
      <w:r>
        <w:t xml:space="preserve"> </w:t>
      </w:r>
      <w:r>
        <w:rPr>
          <w:spacing w:val="3"/>
        </w:rPr>
        <w:t>但其影响程度非资产评估师执业水平和能力所能评定估算，提醒报告使用人特别</w:t>
      </w:r>
    </w:p>
    <w:p>
      <w:pPr>
        <w:pStyle w:val="BodyText"/>
        <w:spacing w:line="220" w:lineRule="auto"/>
        <w:ind w:left="128"/>
      </w:pPr>
      <w:r>
        <w:rPr>
          <w:spacing w:val="-16"/>
        </w:rPr>
        <w:t>关注：</w:t>
      </w:r>
    </w:p>
    <w:p>
      <w:pPr>
        <w:pStyle w:val="BodyText"/>
        <w:spacing w:before="222" w:line="451" w:lineRule="exact"/>
        <w:ind w:left="611"/>
      </w:pPr>
      <w:r>
        <w:rPr>
          <w:spacing w:val="-8"/>
          <w:position w:val="16"/>
        </w:rPr>
        <w:t>（一）于评估基准日， 纳入评估范围的部分房屋建筑物产权证明尚在办理中，</w:t>
      </w:r>
    </w:p>
    <w:p>
      <w:pPr>
        <w:pStyle w:val="BodyText"/>
        <w:spacing w:line="220" w:lineRule="auto"/>
        <w:ind w:left="129"/>
      </w:pPr>
      <w:r>
        <w:rPr>
          <w:spacing w:val="-10"/>
        </w:rPr>
        <w:t>具体如下表：</w:t>
      </w:r>
    </w:p>
    <w:p>
      <w:pPr>
        <w:pStyle w:val="BodyText"/>
        <w:spacing w:before="237" w:line="220" w:lineRule="auto"/>
        <w:ind w:left="6795"/>
        <w:rPr>
          <w:sz w:val="21"/>
          <w:szCs w:val="21"/>
        </w:rPr>
      </w:pPr>
      <w:r>
        <w:rPr>
          <w:spacing w:val="-15"/>
          <w:sz w:val="21"/>
          <w:szCs w:val="21"/>
        </w:rPr>
        <w:t>金额单位：</w:t>
      </w:r>
      <w:r>
        <w:rPr>
          <w:spacing w:val="26"/>
          <w:sz w:val="21"/>
          <w:szCs w:val="21"/>
        </w:rPr>
        <w:t xml:space="preserve"> </w:t>
      </w:r>
      <w:r>
        <w:rPr>
          <w:spacing w:val="-15"/>
          <w:sz w:val="21"/>
          <w:szCs w:val="21"/>
        </w:rPr>
        <w:t>人民币元</w:t>
      </w:r>
    </w:p>
    <w:p>
      <w:pPr>
        <w:spacing w:line="80" w:lineRule="exact"/>
      </w:pPr>
    </w:p>
    <w:tbl>
      <w:tblPr>
        <w:tblStyle w:val="TableNormal2"/>
        <w:tblW w:w="872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2"/>
        <w:gridCol w:w="1695"/>
        <w:gridCol w:w="1277"/>
        <w:gridCol w:w="979"/>
        <w:gridCol w:w="1056"/>
        <w:gridCol w:w="1599"/>
        <w:gridCol w:w="1431"/>
      </w:tblGrid>
      <w:tr>
        <w:tblPrEx>
          <w:tblW w:w="872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7"/>
        </w:trPr>
        <w:tc>
          <w:tcPr>
            <w:tcW w:w="692" w:type="dxa"/>
            <w:tcBorders>
              <w:left w:val="nil"/>
            </w:tcBorders>
            <w:vAlign w:val="top"/>
          </w:tcPr>
          <w:p>
            <w:pPr>
              <w:spacing w:before="149" w:line="222" w:lineRule="auto"/>
              <w:ind w:left="146"/>
              <w:rPr>
                <w:rFonts w:ascii="SimSun" w:eastAsia="SimSun" w:hAnsi="SimSun" w:cs="SimSun"/>
                <w:sz w:val="21"/>
                <w:szCs w:val="21"/>
              </w:rPr>
            </w:pPr>
            <w:r>
              <w:rPr>
                <w:rFonts w:ascii="SimSun" w:eastAsia="SimSun" w:hAnsi="SimSun" w:cs="SimSun"/>
                <w:b/>
                <w:bCs/>
                <w:spacing w:val="-4"/>
                <w:sz w:val="21"/>
                <w:szCs w:val="21"/>
              </w:rPr>
              <w:t>序号</w:t>
            </w:r>
          </w:p>
        </w:tc>
        <w:tc>
          <w:tcPr>
            <w:tcW w:w="1695" w:type="dxa"/>
            <w:vAlign w:val="top"/>
          </w:tcPr>
          <w:p>
            <w:pPr>
              <w:spacing w:before="149" w:line="223" w:lineRule="auto"/>
              <w:ind w:left="641"/>
              <w:rPr>
                <w:rFonts w:ascii="SimSun" w:eastAsia="SimSun" w:hAnsi="SimSun" w:cs="SimSun"/>
                <w:sz w:val="21"/>
                <w:szCs w:val="21"/>
              </w:rPr>
            </w:pPr>
            <w:r>
              <w:rPr>
                <w:rFonts w:ascii="SimSun" w:eastAsia="SimSun" w:hAnsi="SimSun" w:cs="SimSun"/>
                <w:b/>
                <w:bCs/>
                <w:spacing w:val="-5"/>
                <w:sz w:val="21"/>
                <w:szCs w:val="21"/>
              </w:rPr>
              <w:t>名称</w:t>
            </w:r>
          </w:p>
        </w:tc>
        <w:tc>
          <w:tcPr>
            <w:tcW w:w="1277" w:type="dxa"/>
            <w:vAlign w:val="top"/>
          </w:tcPr>
          <w:p>
            <w:pPr>
              <w:spacing w:before="149" w:line="221" w:lineRule="auto"/>
              <w:ind w:left="218"/>
              <w:rPr>
                <w:rFonts w:ascii="SimSun" w:eastAsia="SimSun" w:hAnsi="SimSun" w:cs="SimSun"/>
                <w:sz w:val="21"/>
                <w:szCs w:val="21"/>
              </w:rPr>
            </w:pPr>
            <w:r>
              <w:rPr>
                <w:rFonts w:ascii="SimSun" w:eastAsia="SimSun" w:hAnsi="SimSun" w:cs="SimSun"/>
                <w:b/>
                <w:bCs/>
                <w:spacing w:val="-4"/>
                <w:sz w:val="21"/>
                <w:szCs w:val="21"/>
              </w:rPr>
              <w:t>建成年月</w:t>
            </w:r>
          </w:p>
        </w:tc>
        <w:tc>
          <w:tcPr>
            <w:tcW w:w="979" w:type="dxa"/>
            <w:vAlign w:val="top"/>
          </w:tcPr>
          <w:p>
            <w:pPr>
              <w:spacing w:before="149" w:line="221" w:lineRule="auto"/>
              <w:ind w:left="284"/>
              <w:rPr>
                <w:rFonts w:ascii="SimSun" w:eastAsia="SimSun" w:hAnsi="SimSun" w:cs="SimSun"/>
                <w:sz w:val="21"/>
                <w:szCs w:val="21"/>
              </w:rPr>
            </w:pPr>
            <w:r>
              <w:rPr>
                <w:rFonts w:ascii="SimSun" w:eastAsia="SimSun" w:hAnsi="SimSun" w:cs="SimSun"/>
                <w:b/>
                <w:bCs/>
                <w:spacing w:val="-5"/>
                <w:sz w:val="21"/>
                <w:szCs w:val="21"/>
              </w:rPr>
              <w:t>结构</w:t>
            </w:r>
          </w:p>
        </w:tc>
        <w:tc>
          <w:tcPr>
            <w:tcW w:w="1056" w:type="dxa"/>
            <w:vAlign w:val="top"/>
          </w:tcPr>
          <w:p>
            <w:pPr>
              <w:spacing w:before="49" w:line="217" w:lineRule="auto"/>
              <w:ind w:left="215"/>
              <w:rPr>
                <w:rFonts w:ascii="SimSun" w:eastAsia="SimSun" w:hAnsi="SimSun" w:cs="SimSun"/>
                <w:sz w:val="21"/>
                <w:szCs w:val="21"/>
              </w:rPr>
            </w:pPr>
            <w:r>
              <w:rPr>
                <w:rFonts w:ascii="SimSun" w:eastAsia="SimSun" w:hAnsi="SimSun" w:cs="SimSun"/>
                <w:b/>
                <w:bCs/>
                <w:spacing w:val="-4"/>
                <w:sz w:val="21"/>
                <w:szCs w:val="21"/>
              </w:rPr>
              <w:t>建筑面</w:t>
            </w:r>
          </w:p>
          <w:p>
            <w:pPr>
              <w:spacing w:line="167" w:lineRule="auto"/>
              <w:ind w:left="423"/>
              <w:rPr>
                <w:rFonts w:ascii="SimSun" w:eastAsia="SimSun" w:hAnsi="SimSun" w:cs="SimSun"/>
                <w:sz w:val="21"/>
                <w:szCs w:val="21"/>
              </w:rPr>
            </w:pPr>
            <w:r>
              <w:rPr>
                <w:rFonts w:ascii="SimSun" w:eastAsia="SimSun" w:hAnsi="SimSun" w:cs="SimSun"/>
                <w:b/>
                <w:bCs/>
                <w:spacing w:val="-3"/>
                <w:sz w:val="21"/>
                <w:szCs w:val="21"/>
              </w:rPr>
              <w:t>积</w:t>
            </w:r>
          </w:p>
        </w:tc>
        <w:tc>
          <w:tcPr>
            <w:tcW w:w="1599" w:type="dxa"/>
            <w:vAlign w:val="top"/>
          </w:tcPr>
          <w:p>
            <w:pPr>
              <w:spacing w:before="149" w:line="221" w:lineRule="auto"/>
              <w:ind w:left="384"/>
              <w:rPr>
                <w:rFonts w:ascii="SimSun" w:eastAsia="SimSun" w:hAnsi="SimSun" w:cs="SimSun"/>
                <w:sz w:val="21"/>
                <w:szCs w:val="21"/>
              </w:rPr>
            </w:pPr>
            <w:r>
              <w:rPr>
                <w:rFonts w:ascii="SimSun" w:eastAsia="SimSun" w:hAnsi="SimSun" w:cs="SimSun"/>
                <w:b/>
                <w:bCs/>
                <w:spacing w:val="-4"/>
                <w:sz w:val="21"/>
                <w:szCs w:val="21"/>
              </w:rPr>
              <w:t>账面原值</w:t>
            </w:r>
          </w:p>
        </w:tc>
        <w:tc>
          <w:tcPr>
            <w:tcW w:w="1431" w:type="dxa"/>
            <w:tcBorders>
              <w:right w:val="nil"/>
            </w:tcBorders>
            <w:vAlign w:val="top"/>
          </w:tcPr>
          <w:p>
            <w:pPr>
              <w:spacing w:before="149" w:line="221" w:lineRule="auto"/>
              <w:ind w:left="298"/>
              <w:rPr>
                <w:rFonts w:ascii="SimSun" w:eastAsia="SimSun" w:hAnsi="SimSun" w:cs="SimSun"/>
                <w:sz w:val="21"/>
                <w:szCs w:val="21"/>
              </w:rPr>
            </w:pPr>
            <w:r>
              <w:rPr>
                <w:rFonts w:ascii="SimSun" w:eastAsia="SimSun" w:hAnsi="SimSun" w:cs="SimSun"/>
                <w:b/>
                <w:bCs/>
                <w:spacing w:val="-4"/>
                <w:sz w:val="21"/>
                <w:szCs w:val="21"/>
              </w:rPr>
              <w:t>账面净值</w:t>
            </w:r>
          </w:p>
        </w:tc>
      </w:tr>
      <w:tr>
        <w:tblPrEx>
          <w:tblW w:w="8729" w:type="dxa"/>
          <w:tblInd w:w="0" w:type="dxa"/>
          <w:tblLayout w:type="fixed"/>
        </w:tblPrEx>
        <w:trPr>
          <w:trHeight w:val="329"/>
        </w:trPr>
        <w:tc>
          <w:tcPr>
            <w:tcW w:w="692" w:type="dxa"/>
            <w:tcBorders>
              <w:left w:val="nil"/>
            </w:tcBorders>
            <w:vAlign w:val="top"/>
          </w:tcPr>
          <w:p>
            <w:pPr>
              <w:spacing w:before="89" w:line="187" w:lineRule="auto"/>
              <w:ind w:left="3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95" w:type="dxa"/>
            <w:vAlign w:val="top"/>
          </w:tcPr>
          <w:p>
            <w:pPr>
              <w:spacing w:before="55" w:line="221" w:lineRule="auto"/>
              <w:ind w:left="113"/>
              <w:rPr>
                <w:rFonts w:ascii="SimSun" w:eastAsia="SimSun" w:hAnsi="SimSun" w:cs="SimSun"/>
                <w:sz w:val="21"/>
                <w:szCs w:val="21"/>
              </w:rPr>
            </w:pPr>
            <w:r>
              <w:rPr>
                <w:rFonts w:ascii="SimSun" w:eastAsia="SimSun" w:hAnsi="SimSun" w:cs="SimSun"/>
                <w:spacing w:val="-2"/>
                <w:sz w:val="21"/>
                <w:szCs w:val="21"/>
              </w:rPr>
              <w:t>危化品库</w:t>
            </w:r>
          </w:p>
        </w:tc>
        <w:tc>
          <w:tcPr>
            <w:tcW w:w="1277" w:type="dxa"/>
            <w:vAlign w:val="top"/>
          </w:tcPr>
          <w:p>
            <w:pPr>
              <w:spacing w:before="87" w:line="189"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2021.12</w:t>
            </w:r>
          </w:p>
        </w:tc>
        <w:tc>
          <w:tcPr>
            <w:tcW w:w="979" w:type="dxa"/>
            <w:vAlign w:val="top"/>
          </w:tcPr>
          <w:p>
            <w:pPr>
              <w:spacing w:before="27" w:line="223" w:lineRule="auto"/>
              <w:ind w:left="282"/>
              <w:rPr>
                <w:rFonts w:ascii="SimSun" w:eastAsia="SimSun" w:hAnsi="SimSun" w:cs="SimSun"/>
                <w:sz w:val="21"/>
                <w:szCs w:val="21"/>
              </w:rPr>
            </w:pPr>
            <w:r>
              <w:rPr>
                <w:rFonts w:ascii="SimSun" w:eastAsia="SimSun" w:hAnsi="SimSun" w:cs="SimSun"/>
                <w:spacing w:val="-2"/>
                <w:sz w:val="21"/>
                <w:szCs w:val="21"/>
              </w:rPr>
              <w:t>钢混</w:t>
            </w:r>
          </w:p>
        </w:tc>
        <w:tc>
          <w:tcPr>
            <w:tcW w:w="1056" w:type="dxa"/>
            <w:vAlign w:val="top"/>
          </w:tcPr>
          <w:p>
            <w:pPr>
              <w:spacing w:before="89"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138.75</w:t>
            </w:r>
          </w:p>
        </w:tc>
        <w:tc>
          <w:tcPr>
            <w:tcW w:w="1599" w:type="dxa"/>
            <w:vAlign w:val="top"/>
          </w:tcPr>
          <w:p>
            <w:pPr>
              <w:spacing w:before="86" w:line="201" w:lineRule="auto"/>
              <w:ind w:left="4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1,084,732.79</w:t>
            </w:r>
          </w:p>
        </w:tc>
        <w:tc>
          <w:tcPr>
            <w:tcW w:w="1431" w:type="dxa"/>
            <w:tcBorders>
              <w:right w:val="nil"/>
            </w:tcBorders>
            <w:vAlign w:val="top"/>
          </w:tcPr>
          <w:p>
            <w:pPr>
              <w:spacing w:before="86" w:line="201"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993,889.64</w:t>
            </w:r>
          </w:p>
        </w:tc>
      </w:tr>
      <w:tr>
        <w:tblPrEx>
          <w:tblW w:w="8729" w:type="dxa"/>
          <w:tblInd w:w="0" w:type="dxa"/>
          <w:tblLayout w:type="fixed"/>
        </w:tblPrEx>
        <w:trPr>
          <w:trHeight w:val="358"/>
        </w:trPr>
        <w:tc>
          <w:tcPr>
            <w:tcW w:w="692" w:type="dxa"/>
            <w:tcBorders>
              <w:left w:val="nil"/>
            </w:tcBorders>
            <w:vAlign w:val="top"/>
          </w:tcPr>
          <w:p>
            <w:pPr>
              <w:pStyle w:val="TableText"/>
            </w:pPr>
          </w:p>
        </w:tc>
        <w:tc>
          <w:tcPr>
            <w:tcW w:w="1695" w:type="dxa"/>
            <w:vAlign w:val="top"/>
          </w:tcPr>
          <w:p>
            <w:pPr>
              <w:spacing w:before="57" w:line="222" w:lineRule="auto"/>
              <w:ind w:left="639"/>
              <w:rPr>
                <w:rFonts w:ascii="SimSun" w:eastAsia="SimSun" w:hAnsi="SimSun" w:cs="SimSun"/>
                <w:sz w:val="21"/>
                <w:szCs w:val="21"/>
              </w:rPr>
            </w:pPr>
            <w:r>
              <w:rPr>
                <w:rFonts w:ascii="SimSun" w:eastAsia="SimSun" w:hAnsi="SimSun" w:cs="SimSun"/>
                <w:b/>
                <w:bCs/>
                <w:spacing w:val="-4"/>
                <w:sz w:val="21"/>
                <w:szCs w:val="21"/>
              </w:rPr>
              <w:t>合计</w:t>
            </w:r>
          </w:p>
        </w:tc>
        <w:tc>
          <w:tcPr>
            <w:tcW w:w="1277" w:type="dxa"/>
            <w:vAlign w:val="top"/>
          </w:tcPr>
          <w:p>
            <w:pPr>
              <w:pStyle w:val="TableText"/>
            </w:pPr>
          </w:p>
        </w:tc>
        <w:tc>
          <w:tcPr>
            <w:tcW w:w="979" w:type="dxa"/>
            <w:vAlign w:val="top"/>
          </w:tcPr>
          <w:p>
            <w:pPr>
              <w:pStyle w:val="TableText"/>
            </w:pPr>
          </w:p>
        </w:tc>
        <w:tc>
          <w:tcPr>
            <w:tcW w:w="1056" w:type="dxa"/>
            <w:vAlign w:val="top"/>
          </w:tcPr>
          <w:p>
            <w:pPr>
              <w:spacing w:before="100" w:line="187" w:lineRule="auto"/>
              <w:ind w:left="381"/>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138.75</w:t>
            </w:r>
          </w:p>
        </w:tc>
        <w:tc>
          <w:tcPr>
            <w:tcW w:w="1599" w:type="dxa"/>
            <w:vAlign w:val="top"/>
          </w:tcPr>
          <w:p>
            <w:pPr>
              <w:spacing w:before="100" w:line="196" w:lineRule="auto"/>
              <w:ind w:left="39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1,084,732.79</w:t>
            </w:r>
          </w:p>
        </w:tc>
        <w:tc>
          <w:tcPr>
            <w:tcW w:w="1431" w:type="dxa"/>
            <w:tcBorders>
              <w:right w:val="nil"/>
            </w:tcBorders>
            <w:vAlign w:val="top"/>
          </w:tcPr>
          <w:p>
            <w:pPr>
              <w:spacing w:before="100" w:line="196" w:lineRule="auto"/>
              <w:ind w:left="374"/>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993,889.64</w:t>
            </w:r>
          </w:p>
        </w:tc>
      </w:tr>
    </w:tbl>
    <w:p>
      <w:pPr>
        <w:pStyle w:val="BodyText"/>
        <w:spacing w:before="170" w:line="346" w:lineRule="auto"/>
        <w:ind w:left="124" w:right="226" w:firstLine="481"/>
        <w:jc w:val="both"/>
      </w:pPr>
      <w:r>
        <w:rPr>
          <w:spacing w:val="-4"/>
        </w:rPr>
        <w:t>本次评估， 对于上述尚未取得产权证明的房屋， 其建筑面积由被评估</w:t>
      </w:r>
      <w:r>
        <w:rPr>
          <w:spacing w:val="-5"/>
        </w:rPr>
        <w:t>单位提</w:t>
      </w:r>
      <w:r>
        <w:t xml:space="preserve"> </w:t>
      </w:r>
      <w:r>
        <w:rPr>
          <w:spacing w:val="-4"/>
        </w:rPr>
        <w:t>供，并经评估人员现场测量复核，该建筑面积与被评估单位未来取得相关权证时所</w:t>
      </w:r>
      <w:r>
        <w:rPr>
          <w:spacing w:val="1"/>
        </w:rPr>
        <w:t xml:space="preserve"> </w:t>
      </w:r>
      <w:r>
        <w:rPr>
          <w:spacing w:val="-1"/>
        </w:rPr>
        <w:t>确定的面积可能存在差异。对上述尚未取得产权证明的房屋， 凤阳硅谷已经出具</w:t>
      </w:r>
      <w:r>
        <w:rPr>
          <w:spacing w:val="18"/>
        </w:rPr>
        <w:t xml:space="preserve"> </w:t>
      </w:r>
      <w:r>
        <w:rPr>
          <w:spacing w:val="3"/>
        </w:rPr>
        <w:t>声明，其权属归凤阳硅谷所有，不存在产权纠纷。评估是以产</w:t>
      </w:r>
      <w:r>
        <w:rPr>
          <w:spacing w:val="2"/>
        </w:rPr>
        <w:t>权权属明确、不存</w:t>
      </w:r>
    </w:p>
    <w:p>
      <w:pPr>
        <w:pStyle w:val="BodyText"/>
        <w:spacing w:before="1" w:line="220" w:lineRule="auto"/>
        <w:ind w:left="123"/>
      </w:pPr>
      <w:r>
        <w:rPr>
          <w:spacing w:val="-1"/>
        </w:rPr>
        <w:t>在纠纷的前提进行的。</w:t>
      </w:r>
    </w:p>
    <w:p>
      <w:pPr>
        <w:pStyle w:val="BodyText"/>
        <w:spacing w:before="225" w:line="346" w:lineRule="auto"/>
        <w:ind w:left="125" w:right="232" w:firstLine="486"/>
        <w:jc w:val="both"/>
      </w:pPr>
      <w:r>
        <w:rPr>
          <w:spacing w:val="-4"/>
        </w:rPr>
        <w:t>（二）</w:t>
      </w:r>
      <w:r>
        <w:rPr>
          <w:spacing w:val="-29"/>
        </w:rPr>
        <w:t xml:space="preserve"> </w:t>
      </w:r>
      <w:r>
        <w:rPr>
          <w:rFonts w:ascii="Times New Roman" w:eastAsia="Times New Roman" w:hAnsi="Times New Roman" w:cs="Times New Roman"/>
          <w:spacing w:val="-4"/>
        </w:rPr>
        <w:t>2020</w:t>
      </w:r>
      <w:r>
        <w:rPr>
          <w:rFonts w:ascii="Times New Roman" w:eastAsia="Times New Roman" w:hAnsi="Times New Roman" w:cs="Times New Roman"/>
          <w:spacing w:val="27"/>
          <w:w w:val="101"/>
        </w:rPr>
        <w:t xml:space="preserve"> </w:t>
      </w:r>
      <w:r>
        <w:rPr>
          <w:spacing w:val="-4"/>
        </w:rPr>
        <w:t>年</w:t>
      </w:r>
      <w:r>
        <w:rPr>
          <w:spacing w:val="-2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32"/>
        </w:rPr>
        <w:t xml:space="preserve"> </w:t>
      </w:r>
      <w:r>
        <w:rPr>
          <w:spacing w:val="-4"/>
        </w:rPr>
        <w:t>月，凤阳硅谷智能有限公司与</w:t>
      </w:r>
      <w:r>
        <w:rPr>
          <w:spacing w:val="-5"/>
        </w:rPr>
        <w:t>江苏银行股份有限公司常州分</w:t>
      </w:r>
      <w:r>
        <w:t xml:space="preserve"> </w:t>
      </w:r>
      <w:r>
        <w:rPr>
          <w:spacing w:val="-8"/>
        </w:rPr>
        <w:t>行签订《固定资产借款合同》，合同编号：</w:t>
      </w:r>
      <w:r>
        <w:rPr>
          <w:spacing w:val="-56"/>
        </w:rPr>
        <w:t xml:space="preserve"> </w:t>
      </w:r>
      <w:r>
        <w:rPr>
          <w:rFonts w:ascii="Times New Roman" w:eastAsia="Times New Roman" w:hAnsi="Times New Roman" w:cs="Times New Roman"/>
          <w:spacing w:val="-8"/>
        </w:rPr>
        <w:t>JK061720000432</w:t>
      </w:r>
      <w:r>
        <w:rPr>
          <w:spacing w:val="-8"/>
        </w:rPr>
        <w:t>，合同约定</w:t>
      </w:r>
      <w:r>
        <w:rPr>
          <w:spacing w:val="-9"/>
        </w:rPr>
        <w:t>借款金额</w:t>
      </w:r>
      <w:r>
        <w:rPr>
          <w:spacing w:val="-51"/>
        </w:rPr>
        <w:t xml:space="preserve"> </w:t>
      </w:r>
      <w:r>
        <w:rPr>
          <w:rFonts w:ascii="Times New Roman" w:eastAsia="Times New Roman" w:hAnsi="Times New Roman" w:cs="Times New Roman"/>
          <w:spacing w:val="-9"/>
        </w:rPr>
        <w:t>3.9</w:t>
      </w:r>
      <w:r>
        <w:rPr>
          <w:rFonts w:ascii="Times New Roman" w:eastAsia="Times New Roman" w:hAnsi="Times New Roman" w:cs="Times New Roman"/>
        </w:rPr>
        <w:t xml:space="preserve"> </w:t>
      </w:r>
      <w:r>
        <w:rPr>
          <w:spacing w:val="-5"/>
        </w:rPr>
        <w:t>亿元，借款期限自</w:t>
      </w:r>
      <w:r>
        <w:rPr>
          <w:spacing w:val="-45"/>
        </w:rPr>
        <w:t xml:space="preserve"> </w:t>
      </w:r>
      <w:r>
        <w:rPr>
          <w:rFonts w:ascii="Times New Roman" w:eastAsia="Times New Roman" w:hAnsi="Times New Roman" w:cs="Times New Roman"/>
          <w:spacing w:val="-5"/>
        </w:rPr>
        <w:t>2020</w:t>
      </w:r>
      <w:r>
        <w:rPr>
          <w:rFonts w:ascii="Times New Roman" w:eastAsia="Times New Roman" w:hAnsi="Times New Roman" w:cs="Times New Roman"/>
          <w:spacing w:val="18"/>
        </w:rPr>
        <w:t xml:space="preserve"> </w:t>
      </w:r>
      <w:r>
        <w:rPr>
          <w:spacing w:val="-5"/>
        </w:rPr>
        <w:t>年</w:t>
      </w:r>
      <w:r>
        <w:rPr>
          <w:spacing w:val="-3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2"/>
          <w:w w:val="101"/>
        </w:rPr>
        <w:t xml:space="preserve"> </w:t>
      </w:r>
      <w:r>
        <w:rPr>
          <w:spacing w:val="-5"/>
        </w:rPr>
        <w:t>月</w:t>
      </w:r>
      <w:r>
        <w:rPr>
          <w:spacing w:val="-48"/>
        </w:rPr>
        <w:t xml:space="preserve"> </w:t>
      </w:r>
      <w:r>
        <w:rPr>
          <w:rFonts w:ascii="Times New Roman" w:eastAsia="Times New Roman" w:hAnsi="Times New Roman" w:cs="Times New Roman"/>
          <w:spacing w:val="-5"/>
        </w:rPr>
        <w:t xml:space="preserve">25  </w:t>
      </w:r>
      <w:r>
        <w:rPr>
          <w:spacing w:val="-5"/>
        </w:rPr>
        <w:t>日至</w:t>
      </w:r>
      <w:r>
        <w:rPr>
          <w:spacing w:val="-47"/>
        </w:rPr>
        <w:t xml:space="preserve"> </w:t>
      </w:r>
      <w:r>
        <w:rPr>
          <w:rFonts w:ascii="Times New Roman" w:eastAsia="Times New Roman" w:hAnsi="Times New Roman" w:cs="Times New Roman"/>
          <w:spacing w:val="-5"/>
        </w:rPr>
        <w:t>2025</w:t>
      </w:r>
      <w:r>
        <w:rPr>
          <w:rFonts w:ascii="Times New Roman" w:eastAsia="Times New Roman" w:hAnsi="Times New Roman" w:cs="Times New Roman"/>
          <w:spacing w:val="22"/>
        </w:rPr>
        <w:t xml:space="preserve"> </w:t>
      </w:r>
      <w:r>
        <w:rPr>
          <w:spacing w:val="-5"/>
        </w:rPr>
        <w:t>年</w:t>
      </w:r>
      <w:r>
        <w:rPr>
          <w:spacing w:val="-3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3"/>
        </w:rPr>
        <w:t xml:space="preserve"> </w:t>
      </w:r>
      <w:r>
        <w:rPr>
          <w:spacing w:val="-5"/>
        </w:rPr>
        <w:t>月</w:t>
      </w:r>
      <w:r>
        <w:rPr>
          <w:spacing w:val="-48"/>
        </w:rPr>
        <w:t xml:space="preserve"> </w:t>
      </w:r>
      <w:r>
        <w:rPr>
          <w:rFonts w:ascii="Times New Roman" w:eastAsia="Times New Roman" w:hAnsi="Times New Roman" w:cs="Times New Roman"/>
          <w:spacing w:val="-5"/>
        </w:rPr>
        <w:t xml:space="preserve">24  </w:t>
      </w:r>
      <w:r>
        <w:rPr>
          <w:spacing w:val="-5"/>
        </w:rPr>
        <w:t>日。为此，双方签订了最</w:t>
      </w:r>
      <w:r>
        <w:t xml:space="preserve"> </w:t>
      </w:r>
      <w:r>
        <w:rPr>
          <w:spacing w:val="-9"/>
        </w:rPr>
        <w:t>高额抵押合同，</w:t>
      </w:r>
      <w:r>
        <w:rPr>
          <w:spacing w:val="51"/>
        </w:rPr>
        <w:t xml:space="preserve"> </w:t>
      </w:r>
      <w:r>
        <w:rPr>
          <w:spacing w:val="-9"/>
        </w:rPr>
        <w:t xml:space="preserve">编号： </w:t>
      </w:r>
      <w:r>
        <w:rPr>
          <w:rFonts w:ascii="Times New Roman" w:eastAsia="Times New Roman" w:hAnsi="Times New Roman" w:cs="Times New Roman"/>
          <w:spacing w:val="-9"/>
        </w:rPr>
        <w:t>DY061720000092</w:t>
      </w:r>
      <w:r>
        <w:rPr>
          <w:spacing w:val="-9"/>
        </w:rPr>
        <w:t>，凤阳硅谷将其名下</w:t>
      </w:r>
      <w:r>
        <w:rPr>
          <w:spacing w:val="-51"/>
        </w:rPr>
        <w:t xml:space="preserve"> </w:t>
      </w:r>
      <w:r>
        <w:rPr>
          <w:rFonts w:ascii="Times New Roman" w:eastAsia="Times New Roman" w:hAnsi="Times New Roman" w:cs="Times New Roman"/>
          <w:spacing w:val="-9"/>
        </w:rPr>
        <w:t xml:space="preserve">6 </w:t>
      </w:r>
      <w:r>
        <w:rPr>
          <w:spacing w:val="-9"/>
        </w:rPr>
        <w:t>宗土地使用权和</w:t>
      </w:r>
      <w:r>
        <w:rPr>
          <w:spacing w:val="-34"/>
        </w:rPr>
        <w:t xml:space="preserve"> </w:t>
      </w:r>
      <w:r>
        <w:rPr>
          <w:rFonts w:ascii="Times New Roman" w:eastAsia="Times New Roman" w:hAnsi="Times New Roman" w:cs="Times New Roman"/>
          <w:spacing w:val="-9"/>
        </w:rPr>
        <w:t>14</w:t>
      </w:r>
      <w:r>
        <w:rPr>
          <w:rFonts w:ascii="Times New Roman" w:eastAsia="Times New Roman" w:hAnsi="Times New Roman" w:cs="Times New Roman"/>
        </w:rPr>
        <w:t xml:space="preserve"> </w:t>
      </w:r>
      <w:r>
        <w:rPr>
          <w:spacing w:val="-10"/>
        </w:rPr>
        <w:t>项房产抵押， 截至评估基准日， 凤阳硅</w:t>
      </w:r>
      <w:r>
        <w:rPr>
          <w:spacing w:val="-11"/>
        </w:rPr>
        <w:t>谷在江苏银行股份有限公司常州分行（含下</w:t>
      </w:r>
    </w:p>
    <w:p>
      <w:pPr>
        <w:pStyle w:val="BodyText"/>
        <w:spacing w:line="221" w:lineRule="auto"/>
        <w:ind w:left="126"/>
      </w:pPr>
      <w:r>
        <w:rPr>
          <w:spacing w:val="-6"/>
        </w:rPr>
        <w:t>属支行） 的借款余额为</w:t>
      </w:r>
      <w:r>
        <w:rPr>
          <w:spacing w:val="-54"/>
        </w:rPr>
        <w:t xml:space="preserve"> </w:t>
      </w:r>
      <w:r>
        <w:rPr>
          <w:rFonts w:ascii="Times New Roman" w:eastAsia="Times New Roman" w:hAnsi="Times New Roman" w:cs="Times New Roman"/>
          <w:spacing w:val="-6"/>
        </w:rPr>
        <w:t>70,484.14</w:t>
      </w:r>
      <w:r>
        <w:rPr>
          <w:rFonts w:ascii="Times New Roman" w:eastAsia="Times New Roman" w:hAnsi="Times New Roman" w:cs="Times New Roman"/>
          <w:spacing w:val="14"/>
        </w:rPr>
        <w:t xml:space="preserve"> </w:t>
      </w:r>
      <w:r>
        <w:rPr>
          <w:spacing w:val="-6"/>
        </w:rPr>
        <w:t>万元。具体信息如下表</w:t>
      </w:r>
      <w:r>
        <w:rPr>
          <w:spacing w:val="-7"/>
        </w:rPr>
        <w:t>所示：</w:t>
      </w:r>
    </w:p>
    <w:tbl>
      <w:tblPr>
        <w:tblStyle w:val="TableNormal2"/>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2"/>
        </w:trPr>
        <w:tc>
          <w:tcPr>
            <w:tcW w:w="2266" w:type="dxa"/>
            <w:tcBorders>
              <w:left w:val="nil"/>
            </w:tcBorders>
            <w:vAlign w:val="top"/>
          </w:tcPr>
          <w:p>
            <w:pPr>
              <w:spacing w:before="49" w:line="213" w:lineRule="auto"/>
              <w:ind w:left="199"/>
              <w:rPr>
                <w:rFonts w:ascii="SimSun" w:eastAsia="SimSun" w:hAnsi="SimSun" w:cs="SimSun"/>
                <w:sz w:val="21"/>
                <w:szCs w:val="21"/>
              </w:rPr>
            </w:pPr>
            <w:r>
              <w:rPr>
                <w:rFonts w:ascii="SimSun" w:eastAsia="SimSun" w:hAnsi="SimSun" w:cs="SimSun"/>
                <w:b/>
                <w:bCs/>
                <w:spacing w:val="-2"/>
                <w:sz w:val="21"/>
                <w:szCs w:val="21"/>
              </w:rPr>
              <w:t>权属人及抵押物名称</w:t>
            </w:r>
          </w:p>
        </w:tc>
        <w:tc>
          <w:tcPr>
            <w:tcW w:w="2415" w:type="dxa"/>
            <w:vAlign w:val="top"/>
          </w:tcPr>
          <w:p>
            <w:pPr>
              <w:spacing w:before="49" w:line="213" w:lineRule="auto"/>
              <w:ind w:left="793"/>
              <w:rPr>
                <w:rFonts w:ascii="SimSun" w:eastAsia="SimSun" w:hAnsi="SimSun" w:cs="SimSun"/>
                <w:sz w:val="21"/>
                <w:szCs w:val="21"/>
              </w:rPr>
            </w:pPr>
            <w:r>
              <w:rPr>
                <w:rFonts w:ascii="SimSun" w:eastAsia="SimSun" w:hAnsi="SimSun" w:cs="SimSun"/>
                <w:b/>
                <w:bCs/>
                <w:spacing w:val="-3"/>
                <w:sz w:val="21"/>
                <w:szCs w:val="21"/>
              </w:rPr>
              <w:t>权证编号</w:t>
            </w:r>
          </w:p>
        </w:tc>
        <w:tc>
          <w:tcPr>
            <w:tcW w:w="2588" w:type="dxa"/>
            <w:vAlign w:val="top"/>
          </w:tcPr>
          <w:p>
            <w:pPr>
              <w:spacing w:before="49" w:line="213" w:lineRule="auto"/>
              <w:ind w:left="1091"/>
              <w:rPr>
                <w:rFonts w:ascii="SimSun" w:eastAsia="SimSun" w:hAnsi="SimSun" w:cs="SimSun"/>
                <w:sz w:val="21"/>
                <w:szCs w:val="21"/>
              </w:rPr>
            </w:pPr>
            <w:r>
              <w:rPr>
                <w:rFonts w:ascii="SimSun" w:eastAsia="SimSun" w:hAnsi="SimSun" w:cs="SimSun"/>
                <w:b/>
                <w:bCs/>
                <w:spacing w:val="-5"/>
                <w:sz w:val="21"/>
                <w:szCs w:val="21"/>
              </w:rPr>
              <w:t>处所</w:t>
            </w:r>
          </w:p>
        </w:tc>
        <w:tc>
          <w:tcPr>
            <w:tcW w:w="1484" w:type="dxa"/>
            <w:tcBorders>
              <w:right w:val="nil"/>
            </w:tcBorders>
            <w:vAlign w:val="top"/>
          </w:tcPr>
          <w:p>
            <w:pPr>
              <w:spacing w:before="49" w:line="213" w:lineRule="auto"/>
              <w:ind w:left="223"/>
              <w:rPr>
                <w:rFonts w:ascii="SimSun" w:eastAsia="SimSun" w:hAnsi="SimSun" w:cs="SimSun"/>
                <w:sz w:val="21"/>
                <w:szCs w:val="21"/>
              </w:rPr>
            </w:pPr>
            <w:r>
              <w:rPr>
                <w:rFonts w:ascii="SimSun" w:eastAsia="SimSun" w:hAnsi="SimSun" w:cs="SimSun"/>
                <w:b/>
                <w:bCs/>
                <w:spacing w:val="-6"/>
                <w:sz w:val="21"/>
                <w:szCs w:val="21"/>
              </w:rPr>
              <w:t>面积（㎡）</w:t>
            </w:r>
          </w:p>
        </w:tc>
      </w:tr>
      <w:tr>
        <w:tblPrEx>
          <w:tblW w:w="8753" w:type="dxa"/>
          <w:tblInd w:w="100" w:type="dxa"/>
          <w:tblLayout w:type="fixed"/>
        </w:tblPrEx>
        <w:trPr>
          <w:trHeight w:val="1093"/>
        </w:trPr>
        <w:tc>
          <w:tcPr>
            <w:tcW w:w="2266" w:type="dxa"/>
            <w:tcBorders>
              <w:left w:val="nil"/>
            </w:tcBorders>
            <w:vAlign w:val="top"/>
          </w:tcPr>
          <w:p>
            <w:pPr>
              <w:pStyle w:val="TableText"/>
              <w:spacing w:line="363" w:lineRule="auto"/>
            </w:pPr>
          </w:p>
          <w:p>
            <w:pPr>
              <w:spacing w:before="68"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4" w:line="231" w:lineRule="auto"/>
              <w:ind w:left="505" w:right="165" w:hanging="33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1"/>
                <w:sz w:val="21"/>
                <w:szCs w:val="21"/>
              </w:rPr>
              <w:t>产第</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0002166</w:t>
            </w:r>
            <w:r>
              <w:rPr>
                <w:rFonts w:ascii="SimSun" w:eastAsia="SimSun" w:hAnsi="SimSun" w:cs="SimSun"/>
                <w:spacing w:val="-1"/>
                <w:sz w:val="21"/>
                <w:szCs w:val="21"/>
              </w:rPr>
              <w:t>、</w:t>
            </w:r>
          </w:p>
          <w:p>
            <w:pPr>
              <w:spacing w:before="61" w:line="207" w:lineRule="auto"/>
              <w:ind w:left="716" w:right="282" w:hanging="447"/>
              <w:rPr>
                <w:rFonts w:ascii="SimSun" w:eastAsia="SimSun" w:hAnsi="SimSun" w:cs="SimSun"/>
                <w:sz w:val="21"/>
                <w:szCs w:val="21"/>
              </w:rPr>
            </w:pPr>
            <w:r>
              <w:rPr>
                <w:rFonts w:ascii="Times New Roman" w:eastAsia="Times New Roman" w:hAnsi="Times New Roman" w:cs="Times New Roman"/>
                <w:spacing w:val="-4"/>
                <w:sz w:val="21"/>
                <w:szCs w:val="21"/>
              </w:rPr>
              <w:t>0002167</w:t>
            </w:r>
            <w:r>
              <w:rPr>
                <w:rFonts w:ascii="Times New Roman" w:eastAsia="Times New Roman" w:hAnsi="Times New Roman" w:cs="Times New Roman"/>
                <w:spacing w:val="-22"/>
                <w:sz w:val="21"/>
                <w:szCs w:val="21"/>
              </w:rPr>
              <w:t xml:space="preserve"> </w:t>
            </w:r>
            <w:r>
              <w:rPr>
                <w:rFonts w:ascii="SimSun" w:eastAsia="SimSun" w:hAnsi="SimSun" w:cs="SimSun"/>
                <w:spacing w:val="-4"/>
                <w:sz w:val="21"/>
                <w:szCs w:val="21"/>
              </w:rPr>
              <w:t>、</w:t>
            </w:r>
            <w:r>
              <w:rPr>
                <w:rFonts w:ascii="Times New Roman" w:eastAsia="Times New Roman" w:hAnsi="Times New Roman" w:cs="Times New Roman"/>
                <w:spacing w:val="-4"/>
                <w:sz w:val="21"/>
                <w:szCs w:val="21"/>
              </w:rPr>
              <w:t>0002168</w:t>
            </w:r>
            <w:r>
              <w:rPr>
                <w:rFonts w:ascii="SimSun" w:eastAsia="SimSun" w:hAnsi="SimSun" w:cs="SimSun"/>
                <w:spacing w:val="-4"/>
                <w:sz w:val="21"/>
                <w:szCs w:val="21"/>
              </w:rPr>
              <w:t>、</w:t>
            </w:r>
            <w:r>
              <w:rPr>
                <w:rFonts w:ascii="SimSun" w:eastAsia="SimSun" w:hAnsi="SimSun" w:cs="SimSun"/>
                <w:sz w:val="21"/>
                <w:szCs w:val="21"/>
              </w:rPr>
              <w:t xml:space="preserve"> </w:t>
            </w:r>
            <w:r>
              <w:rPr>
                <w:rFonts w:ascii="Times New Roman" w:eastAsia="Times New Roman" w:hAnsi="Times New Roman" w:cs="Times New Roman"/>
                <w:spacing w:val="-1"/>
                <w:sz w:val="21"/>
                <w:szCs w:val="21"/>
              </w:rPr>
              <w:t>0002169</w:t>
            </w:r>
            <w:r>
              <w:rPr>
                <w:rFonts w:ascii="Times New Roman" w:eastAsia="Times New Roman" w:hAnsi="Times New Roman" w:cs="Times New Roman"/>
                <w:spacing w:val="17"/>
                <w:sz w:val="21"/>
                <w:szCs w:val="21"/>
              </w:rPr>
              <w:t xml:space="preserve"> </w:t>
            </w:r>
            <w:r>
              <w:rPr>
                <w:rFonts w:ascii="SimSun" w:eastAsia="SimSun" w:hAnsi="SimSun" w:cs="SimSun"/>
                <w:spacing w:val="-1"/>
                <w:sz w:val="21"/>
                <w:szCs w:val="21"/>
              </w:rPr>
              <w:t>号</w:t>
            </w:r>
          </w:p>
        </w:tc>
        <w:tc>
          <w:tcPr>
            <w:tcW w:w="2588" w:type="dxa"/>
            <w:vAlign w:val="top"/>
          </w:tcPr>
          <w:p>
            <w:pPr>
              <w:pStyle w:val="TableText"/>
              <w:spacing w:line="362" w:lineRule="auto"/>
            </w:pPr>
          </w:p>
          <w:p>
            <w:pPr>
              <w:spacing w:before="68"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pStyle w:val="TableText"/>
              <w:spacing w:line="405" w:lineRule="auto"/>
            </w:pPr>
          </w:p>
          <w:p>
            <w:pPr>
              <w:spacing w:before="61" w:line="201"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16,558.00</w:t>
            </w:r>
          </w:p>
        </w:tc>
      </w:tr>
    </w:tbl>
    <w:p>
      <w:pPr>
        <w:sectPr>
          <w:headerReference w:type="default" r:id="rId25"/>
          <w:footerReference w:type="default" r:id="rId26"/>
          <w:pgSz w:w="11905" w:h="16839"/>
          <w:pgMar w:top="1336" w:right="1464" w:bottom="1579" w:left="1584" w:header="1154" w:footer="1314" w:gutter="0"/>
          <w:pgNumType w:start="12"/>
          <w:cols w:space="708"/>
        </w:sectPr>
      </w:pPr>
    </w:p>
    <w:tbl>
      <w:tblPr>
        <w:tblStyle w:val="TableNormal3"/>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2266" w:type="dxa"/>
            <w:tcBorders>
              <w:left w:val="nil"/>
            </w:tcBorders>
            <w:vAlign w:val="top"/>
          </w:tcPr>
          <w:p>
            <w:pPr>
              <w:spacing w:before="27"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7" w:line="226" w:lineRule="auto"/>
              <w:ind w:left="481" w:right="165" w:hanging="308"/>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产第</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0002170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165"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spacing w:before="196" w:line="201"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224,628.00</w:t>
            </w:r>
          </w:p>
        </w:tc>
      </w:tr>
      <w:tr>
        <w:tblPrEx>
          <w:tblW w:w="8753" w:type="dxa"/>
          <w:tblInd w:w="100" w:type="dxa"/>
          <w:tblLayout w:type="fixed"/>
        </w:tblPrEx>
        <w:trPr>
          <w:trHeight w:val="546"/>
        </w:trPr>
        <w:tc>
          <w:tcPr>
            <w:tcW w:w="2266" w:type="dxa"/>
            <w:tcBorders>
              <w:left w:val="nil"/>
            </w:tcBorders>
            <w:vAlign w:val="top"/>
          </w:tcPr>
          <w:p>
            <w:pPr>
              <w:spacing w:before="161"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6" w:line="224" w:lineRule="auto"/>
              <w:ind w:left="481" w:right="165" w:hanging="308"/>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产第</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0002171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160"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spacing w:before="191" w:line="201"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304,522.00</w:t>
            </w:r>
          </w:p>
        </w:tc>
      </w:tr>
      <w:tr>
        <w:tblPrEx>
          <w:tblW w:w="8753" w:type="dxa"/>
          <w:tblInd w:w="100" w:type="dxa"/>
          <w:tblLayout w:type="fixed"/>
        </w:tblPrEx>
        <w:trPr>
          <w:trHeight w:val="551"/>
        </w:trPr>
        <w:tc>
          <w:tcPr>
            <w:tcW w:w="2266" w:type="dxa"/>
            <w:tcBorders>
              <w:left w:val="nil"/>
            </w:tcBorders>
            <w:vAlign w:val="top"/>
          </w:tcPr>
          <w:p>
            <w:pPr>
              <w:spacing w:before="166"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6" w:line="226"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6" w:line="226" w:lineRule="auto"/>
              <w:ind w:left="1092" w:right="236" w:hanging="840"/>
              <w:rPr>
                <w:rFonts w:ascii="SimSun" w:eastAsia="SimSun" w:hAnsi="SimSun" w:cs="SimSun"/>
                <w:sz w:val="21"/>
                <w:szCs w:val="21"/>
              </w:rPr>
            </w:pPr>
            <w:r>
              <w:rPr>
                <w:rFonts w:ascii="SimSun" w:eastAsia="SimSun" w:hAnsi="SimSun" w:cs="SimSun"/>
                <w:spacing w:val="-1"/>
                <w:sz w:val="21"/>
                <w:szCs w:val="21"/>
              </w:rPr>
              <w:t>凤阳县凤宁产业园（油</w:t>
            </w:r>
            <w:r>
              <w:rPr>
                <w:rFonts w:ascii="SimSun" w:eastAsia="SimSun" w:hAnsi="SimSun" w:cs="SimSun"/>
                <w:spacing w:val="3"/>
                <w:sz w:val="21"/>
                <w:szCs w:val="21"/>
              </w:rPr>
              <w:t xml:space="preserve"> </w:t>
            </w:r>
            <w:r>
              <w:rPr>
                <w:rFonts w:ascii="SimSun" w:eastAsia="SimSun" w:hAnsi="SimSun" w:cs="SimSun"/>
                <w:spacing w:val="-4"/>
                <w:sz w:val="21"/>
                <w:szCs w:val="21"/>
              </w:rPr>
              <w:t>站）</w:t>
            </w:r>
          </w:p>
        </w:tc>
        <w:tc>
          <w:tcPr>
            <w:tcW w:w="1484" w:type="dxa"/>
            <w:tcBorders>
              <w:right w:val="nil"/>
            </w:tcBorders>
            <w:vAlign w:val="top"/>
          </w:tcPr>
          <w:p>
            <w:pPr>
              <w:spacing w:before="200"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228.75</w:t>
            </w:r>
          </w:p>
        </w:tc>
      </w:tr>
      <w:tr>
        <w:tblPrEx>
          <w:tblW w:w="8753" w:type="dxa"/>
          <w:tblInd w:w="100" w:type="dxa"/>
          <w:tblLayout w:type="fixed"/>
        </w:tblPrEx>
        <w:trPr>
          <w:trHeight w:val="547"/>
        </w:trPr>
        <w:tc>
          <w:tcPr>
            <w:tcW w:w="2266" w:type="dxa"/>
            <w:tcBorders>
              <w:left w:val="nil"/>
            </w:tcBorders>
            <w:vAlign w:val="top"/>
          </w:tcPr>
          <w:p>
            <w:pPr>
              <w:spacing w:before="16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9"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9" w:line="223" w:lineRule="auto"/>
              <w:ind w:left="882" w:right="130" w:hanging="736"/>
              <w:rPr>
                <w:rFonts w:ascii="SimSun" w:eastAsia="SimSun" w:hAnsi="SimSun" w:cs="SimSun"/>
                <w:sz w:val="21"/>
                <w:szCs w:val="21"/>
              </w:rPr>
            </w:pPr>
            <w:r>
              <w:rPr>
                <w:rFonts w:ascii="SimSun" w:eastAsia="SimSun" w:hAnsi="SimSun" w:cs="SimSun"/>
                <w:spacing w:val="-1"/>
                <w:sz w:val="21"/>
                <w:szCs w:val="21"/>
              </w:rPr>
              <w:t>凤阳县凤宁产业园（化学</w:t>
            </w:r>
            <w:r>
              <w:rPr>
                <w:rFonts w:ascii="SimSun" w:eastAsia="SimSun" w:hAnsi="SimSun" w:cs="SimSun"/>
                <w:spacing w:val="5"/>
                <w:sz w:val="21"/>
                <w:szCs w:val="21"/>
              </w:rPr>
              <w:t xml:space="preserve"> </w:t>
            </w:r>
            <w:r>
              <w:rPr>
                <w:rFonts w:ascii="SimSun" w:eastAsia="SimSun" w:hAnsi="SimSun" w:cs="SimSun"/>
                <w:spacing w:val="-2"/>
                <w:sz w:val="21"/>
                <w:szCs w:val="21"/>
              </w:rPr>
              <w:t>水车间）</w:t>
            </w:r>
          </w:p>
        </w:tc>
        <w:tc>
          <w:tcPr>
            <w:tcW w:w="1484" w:type="dxa"/>
            <w:tcBorders>
              <w:right w:val="nil"/>
            </w:tcBorders>
            <w:vAlign w:val="top"/>
          </w:tcPr>
          <w:p>
            <w:pPr>
              <w:spacing w:before="201"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261.67</w:t>
            </w:r>
          </w:p>
        </w:tc>
      </w:tr>
      <w:tr>
        <w:tblPrEx>
          <w:tblW w:w="8753" w:type="dxa"/>
          <w:tblInd w:w="100" w:type="dxa"/>
          <w:tblLayout w:type="fixed"/>
        </w:tblPrEx>
        <w:trPr>
          <w:trHeight w:val="575"/>
        </w:trPr>
        <w:tc>
          <w:tcPr>
            <w:tcW w:w="2266" w:type="dxa"/>
            <w:tcBorders>
              <w:left w:val="nil"/>
            </w:tcBorders>
            <w:vAlign w:val="top"/>
          </w:tcPr>
          <w:p>
            <w:pPr>
              <w:spacing w:before="168"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35" w:line="228"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0004092</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35" w:line="228" w:lineRule="auto"/>
              <w:ind w:left="354" w:right="130" w:hanging="208"/>
              <w:rPr>
                <w:rFonts w:ascii="SimSun" w:eastAsia="SimSun" w:hAnsi="SimSun" w:cs="SimSun"/>
                <w:sz w:val="21"/>
                <w:szCs w:val="21"/>
              </w:rPr>
            </w:pPr>
            <w:r>
              <w:rPr>
                <w:rFonts w:ascii="SimSun" w:eastAsia="SimSun" w:hAnsi="SimSun" w:cs="SimSun"/>
                <w:spacing w:val="-1"/>
                <w:sz w:val="21"/>
                <w:szCs w:val="21"/>
              </w:rPr>
              <w:t>凤阳县凤宁产业园（循环</w:t>
            </w:r>
            <w:r>
              <w:rPr>
                <w:rFonts w:ascii="SimSun" w:eastAsia="SimSun" w:hAnsi="SimSun" w:cs="SimSun"/>
                <w:spacing w:val="5"/>
                <w:sz w:val="21"/>
                <w:szCs w:val="21"/>
              </w:rPr>
              <w:t xml:space="preserve"> </w:t>
            </w:r>
            <w:r>
              <w:rPr>
                <w:rFonts w:ascii="SimSun" w:eastAsia="SimSun" w:hAnsi="SimSun" w:cs="SimSun"/>
                <w:spacing w:val="-1"/>
                <w:sz w:val="21"/>
                <w:szCs w:val="21"/>
              </w:rPr>
              <w:t>水系统、空压泵房）</w:t>
            </w:r>
          </w:p>
        </w:tc>
        <w:tc>
          <w:tcPr>
            <w:tcW w:w="1484" w:type="dxa"/>
            <w:tcBorders>
              <w:right w:val="nil"/>
            </w:tcBorders>
            <w:vAlign w:val="top"/>
          </w:tcPr>
          <w:p>
            <w:pPr>
              <w:spacing w:before="202"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681.60</w:t>
            </w:r>
          </w:p>
        </w:tc>
      </w:tr>
    </w:tbl>
    <w:p>
      <w:pPr>
        <w:spacing w:line="206" w:lineRule="exact"/>
        <w:rPr>
          <w:rFonts w:ascii="Arial"/>
          <w:sz w:val="17"/>
        </w:rPr>
      </w:pPr>
    </w:p>
    <w:p>
      <w:pPr>
        <w:spacing w:line="206" w:lineRule="exact"/>
        <w:rPr>
          <w:rFonts w:ascii="Arial" w:eastAsia="Arial" w:hAnsi="Arial" w:cs="Arial"/>
          <w:sz w:val="17"/>
          <w:szCs w:val="17"/>
        </w:rPr>
        <w:sectPr>
          <w:headerReference w:type="default" r:id="rId27"/>
          <w:footerReference w:type="default" r:id="rId28"/>
          <w:type w:val="nextPage"/>
          <w:pgSz w:w="11905" w:h="16839"/>
          <w:pgMar w:top="1336" w:right="1464" w:bottom="1579" w:left="1584" w:header="1154" w:footer="1314" w:gutter="0"/>
          <w:pgNumType w:start="13"/>
          <w:cols w:space="708"/>
          <w:titlePg w:val="0"/>
        </w:sectPr>
      </w:pPr>
    </w:p>
    <w:p>
      <w:pPr>
        <w:spacing w:before="102"/>
      </w:pPr>
    </w:p>
    <w:tbl>
      <w:tblPr>
        <w:tblStyle w:val="TableNormal4"/>
        <w:tblW w:w="8753"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2266" w:type="dxa"/>
            <w:tcBorders>
              <w:left w:val="nil"/>
            </w:tcBorders>
            <w:vAlign w:val="top"/>
          </w:tcPr>
          <w:p>
            <w:pPr>
              <w:spacing w:before="18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49" w:line="225"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0004093</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49" w:line="225" w:lineRule="auto"/>
              <w:ind w:left="988" w:right="130" w:hanging="842"/>
              <w:rPr>
                <w:rFonts w:ascii="SimSun" w:eastAsia="SimSun" w:hAnsi="SimSun" w:cs="SimSun"/>
                <w:sz w:val="21"/>
                <w:szCs w:val="21"/>
              </w:rPr>
            </w:pPr>
            <w:r>
              <w:rPr>
                <w:rFonts w:ascii="SimSun" w:eastAsia="SimSun" w:hAnsi="SimSun" w:cs="SimSun"/>
                <w:spacing w:val="-1"/>
                <w:sz w:val="21"/>
                <w:szCs w:val="21"/>
              </w:rPr>
              <w:t>凤阳县凤宁产业园（发电</w:t>
            </w:r>
            <w:r>
              <w:rPr>
                <w:rFonts w:ascii="SimSun" w:eastAsia="SimSun" w:hAnsi="SimSun" w:cs="SimSun"/>
                <w:spacing w:val="5"/>
                <w:sz w:val="21"/>
                <w:szCs w:val="21"/>
              </w:rPr>
              <w:t xml:space="preserve"> </w:t>
            </w:r>
            <w:r>
              <w:rPr>
                <w:rFonts w:ascii="SimSun" w:eastAsia="SimSun" w:hAnsi="SimSun" w:cs="SimSun"/>
                <w:spacing w:val="-3"/>
                <w:sz w:val="21"/>
                <w:szCs w:val="21"/>
              </w:rPr>
              <w:t>厂房）</w:t>
            </w:r>
          </w:p>
        </w:tc>
        <w:tc>
          <w:tcPr>
            <w:tcW w:w="1484" w:type="dxa"/>
            <w:tcBorders>
              <w:right w:val="nil"/>
            </w:tcBorders>
            <w:vAlign w:val="top"/>
          </w:tcPr>
          <w:p>
            <w:pPr>
              <w:spacing w:before="221"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604.15</w:t>
            </w:r>
          </w:p>
        </w:tc>
      </w:tr>
      <w:tr>
        <w:tblPrEx>
          <w:tblW w:w="8753" w:type="dxa"/>
          <w:tblInd w:w="0" w:type="dxa"/>
          <w:tblLayout w:type="fixed"/>
        </w:tblPrEx>
        <w:trPr>
          <w:trHeight w:val="552"/>
        </w:trPr>
        <w:tc>
          <w:tcPr>
            <w:tcW w:w="2266" w:type="dxa"/>
            <w:tcBorders>
              <w:left w:val="nil"/>
            </w:tcBorders>
            <w:vAlign w:val="top"/>
          </w:tcPr>
          <w:p>
            <w:pPr>
              <w:spacing w:before="16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5" w:line="227"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0004094</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5" w:line="227" w:lineRule="auto"/>
              <w:ind w:left="985" w:right="130" w:hanging="839"/>
              <w:rPr>
                <w:rFonts w:ascii="SimSun" w:eastAsia="SimSun" w:hAnsi="SimSun" w:cs="SimSun"/>
                <w:sz w:val="21"/>
                <w:szCs w:val="21"/>
              </w:rPr>
            </w:pPr>
            <w:r>
              <w:rPr>
                <w:rFonts w:ascii="SimSun" w:eastAsia="SimSun" w:hAnsi="SimSun" w:cs="SimSun"/>
                <w:spacing w:val="-1"/>
                <w:sz w:val="21"/>
                <w:szCs w:val="21"/>
              </w:rPr>
              <w:t>凤阳县凤宁产业园（碎玻</w:t>
            </w:r>
            <w:r>
              <w:rPr>
                <w:rFonts w:ascii="SimSun" w:eastAsia="SimSun" w:hAnsi="SimSun" w:cs="SimSun"/>
                <w:spacing w:val="5"/>
                <w:sz w:val="21"/>
                <w:szCs w:val="21"/>
              </w:rPr>
              <w:t xml:space="preserve"> </w:t>
            </w:r>
            <w:r>
              <w:rPr>
                <w:rFonts w:ascii="SimSun" w:eastAsia="SimSun" w:hAnsi="SimSun" w:cs="SimSun"/>
                <w:spacing w:val="-2"/>
                <w:sz w:val="21"/>
                <w:szCs w:val="21"/>
              </w:rPr>
              <w:t>璃库）</w:t>
            </w:r>
          </w:p>
        </w:tc>
        <w:tc>
          <w:tcPr>
            <w:tcW w:w="1484" w:type="dxa"/>
            <w:tcBorders>
              <w:right w:val="nil"/>
            </w:tcBorders>
            <w:vAlign w:val="top"/>
          </w:tcPr>
          <w:p>
            <w:pPr>
              <w:spacing w:before="195" w:line="201" w:lineRule="auto"/>
              <w:ind w:left="6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2,847.92</w:t>
            </w:r>
          </w:p>
        </w:tc>
      </w:tr>
      <w:tr>
        <w:tblPrEx>
          <w:tblW w:w="8753" w:type="dxa"/>
          <w:tblInd w:w="0" w:type="dxa"/>
          <w:tblLayout w:type="fixed"/>
        </w:tblPrEx>
        <w:trPr>
          <w:trHeight w:val="551"/>
        </w:trPr>
        <w:tc>
          <w:tcPr>
            <w:tcW w:w="2266" w:type="dxa"/>
            <w:tcBorders>
              <w:left w:val="nil"/>
            </w:tcBorders>
            <w:vAlign w:val="top"/>
          </w:tcPr>
          <w:p>
            <w:pPr>
              <w:spacing w:before="159"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4" w:line="227"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0004096</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4" w:line="227" w:lineRule="auto"/>
              <w:ind w:left="756" w:right="130" w:hanging="610"/>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8"/>
                <w:sz w:val="21"/>
                <w:szCs w:val="21"/>
              </w:rPr>
              <w:t>车间</w:t>
            </w:r>
            <w:r>
              <w:rPr>
                <w:rFonts w:ascii="SimSun" w:eastAsia="SimSun" w:hAnsi="SimSun" w:cs="SimSun"/>
                <w:spacing w:val="-43"/>
                <w:sz w:val="21"/>
                <w:szCs w:val="21"/>
              </w:rPr>
              <w:t xml:space="preserve"> </w:t>
            </w:r>
            <w:r>
              <w:rPr>
                <w:rFonts w:ascii="Times New Roman" w:eastAsia="Times New Roman" w:hAnsi="Times New Roman" w:cs="Times New Roman"/>
                <w:spacing w:val="-8"/>
                <w:sz w:val="21"/>
                <w:szCs w:val="21"/>
              </w:rPr>
              <w:t>C</w:t>
            </w:r>
            <w:r>
              <w:rPr>
                <w:rFonts w:ascii="Times New Roman" w:eastAsia="Times New Roman" w:hAnsi="Times New Roman" w:cs="Times New Roman"/>
                <w:spacing w:val="22"/>
                <w:w w:val="101"/>
                <w:sz w:val="21"/>
                <w:szCs w:val="21"/>
              </w:rPr>
              <w:t xml:space="preserve"> </w:t>
            </w:r>
            <w:r>
              <w:rPr>
                <w:rFonts w:ascii="SimSun" w:eastAsia="SimSun" w:hAnsi="SimSun" w:cs="SimSun"/>
                <w:spacing w:val="-8"/>
                <w:sz w:val="21"/>
                <w:szCs w:val="21"/>
              </w:rPr>
              <w:t>区）</w:t>
            </w:r>
          </w:p>
        </w:tc>
        <w:tc>
          <w:tcPr>
            <w:tcW w:w="1484" w:type="dxa"/>
            <w:tcBorders>
              <w:right w:val="nil"/>
            </w:tcBorders>
            <w:vAlign w:val="top"/>
          </w:tcPr>
          <w:p>
            <w:pPr>
              <w:spacing w:before="194" w:line="201"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3,552.04</w:t>
            </w:r>
          </w:p>
        </w:tc>
      </w:tr>
      <w:tr>
        <w:tblPrEx>
          <w:tblW w:w="8753" w:type="dxa"/>
          <w:tblInd w:w="0" w:type="dxa"/>
          <w:tblLayout w:type="fixed"/>
        </w:tblPrEx>
        <w:trPr>
          <w:trHeight w:val="820"/>
        </w:trPr>
        <w:tc>
          <w:tcPr>
            <w:tcW w:w="2266" w:type="dxa"/>
            <w:tcBorders>
              <w:left w:val="nil"/>
            </w:tcBorders>
            <w:vAlign w:val="top"/>
          </w:tcPr>
          <w:p>
            <w:pPr>
              <w:spacing w:before="29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159" w:line="231"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0004097</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5"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p>
            <w:pPr>
              <w:spacing w:before="18" w:line="226" w:lineRule="auto"/>
              <w:ind w:left="1092" w:right="270" w:hanging="806"/>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10KV </w:t>
            </w:r>
            <w:r>
              <w:rPr>
                <w:rFonts w:ascii="SimSun" w:eastAsia="SimSun" w:hAnsi="SimSun" w:cs="SimSun"/>
                <w:spacing w:val="-1"/>
                <w:sz w:val="21"/>
                <w:szCs w:val="21"/>
              </w:rPr>
              <w:t>配电及柴油电</w:t>
            </w:r>
            <w:r>
              <w:rPr>
                <w:rFonts w:ascii="SimSun" w:eastAsia="SimSun" w:hAnsi="SimSun" w:cs="SimSun"/>
                <w:sz w:val="21"/>
                <w:szCs w:val="21"/>
              </w:rPr>
              <w:t xml:space="preserve"> </w:t>
            </w:r>
            <w:r>
              <w:rPr>
                <w:rFonts w:ascii="SimSun" w:eastAsia="SimSun" w:hAnsi="SimSun" w:cs="SimSun"/>
                <w:spacing w:val="-4"/>
                <w:sz w:val="21"/>
                <w:szCs w:val="21"/>
              </w:rPr>
              <w:t>站）</w:t>
            </w:r>
          </w:p>
        </w:tc>
        <w:tc>
          <w:tcPr>
            <w:tcW w:w="1484" w:type="dxa"/>
            <w:tcBorders>
              <w:right w:val="nil"/>
            </w:tcBorders>
            <w:vAlign w:val="top"/>
          </w:tcPr>
          <w:p>
            <w:pPr>
              <w:pStyle w:val="TableText"/>
              <w:spacing w:line="271" w:lineRule="auto"/>
            </w:pPr>
          </w:p>
          <w:p>
            <w:pPr>
              <w:spacing w:before="60"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450.00</w:t>
            </w:r>
          </w:p>
        </w:tc>
      </w:tr>
      <w:tr>
        <w:tblPrEx>
          <w:tblW w:w="8753" w:type="dxa"/>
          <w:tblInd w:w="0" w:type="dxa"/>
          <w:tblLayout w:type="fixed"/>
        </w:tblPrEx>
        <w:trPr>
          <w:trHeight w:val="547"/>
        </w:trPr>
        <w:tc>
          <w:tcPr>
            <w:tcW w:w="2266" w:type="dxa"/>
            <w:tcBorders>
              <w:left w:val="nil"/>
            </w:tcBorders>
            <w:vAlign w:val="top"/>
          </w:tcPr>
          <w:p>
            <w:pPr>
              <w:spacing w:before="160"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7" w:line="224"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0004098</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7" w:line="224" w:lineRule="auto"/>
              <w:ind w:left="776" w:right="130" w:hanging="630"/>
              <w:rPr>
                <w:rFonts w:ascii="SimSun" w:eastAsia="SimSun" w:hAnsi="SimSun" w:cs="SimSun"/>
                <w:sz w:val="21"/>
                <w:szCs w:val="21"/>
              </w:rPr>
            </w:pPr>
            <w:r>
              <w:rPr>
                <w:rFonts w:ascii="SimSun" w:eastAsia="SimSun" w:hAnsi="SimSun" w:cs="SimSun"/>
                <w:spacing w:val="-1"/>
                <w:sz w:val="21"/>
                <w:szCs w:val="21"/>
              </w:rPr>
              <w:t>凤阳县凤宁产业园（油水</w:t>
            </w:r>
            <w:r>
              <w:rPr>
                <w:rFonts w:ascii="SimSun" w:eastAsia="SimSun" w:hAnsi="SimSun" w:cs="SimSun"/>
                <w:spacing w:val="5"/>
                <w:sz w:val="21"/>
                <w:szCs w:val="21"/>
              </w:rPr>
              <w:t xml:space="preserve"> </w:t>
            </w:r>
            <w:r>
              <w:rPr>
                <w:rFonts w:ascii="SimSun" w:eastAsia="SimSun" w:hAnsi="SimSun" w:cs="SimSun"/>
                <w:spacing w:val="-2"/>
                <w:sz w:val="21"/>
                <w:szCs w:val="21"/>
              </w:rPr>
              <w:t>分离池房）</w:t>
            </w:r>
          </w:p>
        </w:tc>
        <w:tc>
          <w:tcPr>
            <w:tcW w:w="1484" w:type="dxa"/>
            <w:tcBorders>
              <w:right w:val="nil"/>
            </w:tcBorders>
            <w:vAlign w:val="top"/>
          </w:tcPr>
          <w:p>
            <w:pPr>
              <w:spacing w:before="195" w:line="187" w:lineRule="auto"/>
              <w:ind w:left="92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19.25</w:t>
            </w:r>
          </w:p>
        </w:tc>
      </w:tr>
      <w:tr>
        <w:tblPrEx>
          <w:tblW w:w="8753" w:type="dxa"/>
          <w:tblInd w:w="0" w:type="dxa"/>
          <w:tblLayout w:type="fixed"/>
        </w:tblPrEx>
        <w:trPr>
          <w:trHeight w:val="551"/>
        </w:trPr>
        <w:tc>
          <w:tcPr>
            <w:tcW w:w="2266" w:type="dxa"/>
            <w:tcBorders>
              <w:left w:val="nil"/>
            </w:tcBorders>
            <w:vAlign w:val="top"/>
          </w:tcPr>
          <w:p>
            <w:pPr>
              <w:spacing w:before="26"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6" w:line="226"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0004099</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6" w:line="226" w:lineRule="auto"/>
              <w:ind w:left="146" w:right="130"/>
              <w:rPr>
                <w:rFonts w:ascii="SimSun" w:eastAsia="SimSun" w:hAnsi="SimSun" w:cs="SimSun"/>
                <w:sz w:val="21"/>
                <w:szCs w:val="21"/>
              </w:rPr>
            </w:pPr>
            <w:r>
              <w:rPr>
                <w:rFonts w:ascii="SimSun" w:eastAsia="SimSun" w:hAnsi="SimSun" w:cs="SimSun"/>
                <w:spacing w:val="-1"/>
                <w:sz w:val="21"/>
                <w:szCs w:val="21"/>
              </w:rPr>
              <w:t>凤阳县凤宁产业园（压延</w:t>
            </w:r>
            <w:r>
              <w:rPr>
                <w:rFonts w:ascii="SimSun" w:eastAsia="SimSun" w:hAnsi="SimSun" w:cs="SimSun"/>
                <w:spacing w:val="5"/>
                <w:sz w:val="21"/>
                <w:szCs w:val="21"/>
              </w:rPr>
              <w:t xml:space="preserve"> </w:t>
            </w:r>
            <w:r>
              <w:rPr>
                <w:rFonts w:ascii="SimSun" w:eastAsia="SimSun" w:hAnsi="SimSun" w:cs="SimSun"/>
                <w:spacing w:val="-1"/>
                <w:sz w:val="21"/>
                <w:szCs w:val="21"/>
              </w:rPr>
              <w:t>联合车间、碎玻璃系统）</w:t>
            </w:r>
          </w:p>
        </w:tc>
        <w:tc>
          <w:tcPr>
            <w:tcW w:w="1484" w:type="dxa"/>
            <w:tcBorders>
              <w:right w:val="nil"/>
            </w:tcBorders>
            <w:vAlign w:val="top"/>
          </w:tcPr>
          <w:p>
            <w:pPr>
              <w:spacing w:before="196" w:line="201" w:lineRule="auto"/>
              <w:ind w:left="5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33,377.13</w:t>
            </w:r>
          </w:p>
        </w:tc>
      </w:tr>
      <w:tr>
        <w:tblPrEx>
          <w:tblW w:w="8753" w:type="dxa"/>
          <w:tblInd w:w="0" w:type="dxa"/>
          <w:tblLayout w:type="fixed"/>
        </w:tblPrEx>
        <w:trPr>
          <w:trHeight w:val="547"/>
        </w:trPr>
        <w:tc>
          <w:tcPr>
            <w:tcW w:w="2266" w:type="dxa"/>
            <w:tcBorders>
              <w:left w:val="nil"/>
            </w:tcBorders>
            <w:vAlign w:val="top"/>
          </w:tcPr>
          <w:p>
            <w:pPr>
              <w:spacing w:before="27"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7" w:line="224"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7" w:line="224" w:lineRule="auto"/>
              <w:ind w:left="778" w:right="130" w:hanging="632"/>
              <w:rPr>
                <w:rFonts w:ascii="SimSun" w:eastAsia="SimSun" w:hAnsi="SimSun" w:cs="SimSun"/>
                <w:sz w:val="21"/>
                <w:szCs w:val="21"/>
              </w:rPr>
            </w:pPr>
            <w:r>
              <w:rPr>
                <w:rFonts w:ascii="SimSun" w:eastAsia="SimSun" w:hAnsi="SimSun" w:cs="SimSun"/>
                <w:spacing w:val="-1"/>
                <w:sz w:val="21"/>
                <w:szCs w:val="21"/>
              </w:rPr>
              <w:t>凤阳县凤宁产业园（泡沫</w:t>
            </w:r>
            <w:r>
              <w:rPr>
                <w:rFonts w:ascii="SimSun" w:eastAsia="SimSun" w:hAnsi="SimSun" w:cs="SimSun"/>
                <w:spacing w:val="5"/>
                <w:sz w:val="21"/>
                <w:szCs w:val="21"/>
              </w:rPr>
              <w:t xml:space="preserve"> </w:t>
            </w:r>
            <w:r>
              <w:rPr>
                <w:rFonts w:ascii="SimSun" w:eastAsia="SimSun" w:hAnsi="SimSun" w:cs="SimSun"/>
                <w:spacing w:val="-2"/>
                <w:sz w:val="21"/>
                <w:szCs w:val="21"/>
              </w:rPr>
              <w:t>消防泵房）</w:t>
            </w:r>
          </w:p>
        </w:tc>
        <w:tc>
          <w:tcPr>
            <w:tcW w:w="1484" w:type="dxa"/>
            <w:tcBorders>
              <w:right w:val="nil"/>
            </w:tcBorders>
            <w:vAlign w:val="top"/>
          </w:tcPr>
          <w:p>
            <w:pPr>
              <w:spacing w:before="200" w:line="187"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148.00</w:t>
            </w:r>
          </w:p>
        </w:tc>
      </w:tr>
      <w:tr>
        <w:tblPrEx>
          <w:tblW w:w="8753" w:type="dxa"/>
          <w:tblInd w:w="0" w:type="dxa"/>
          <w:tblLayout w:type="fixed"/>
        </w:tblPrEx>
        <w:trPr>
          <w:trHeight w:val="551"/>
        </w:trPr>
        <w:tc>
          <w:tcPr>
            <w:tcW w:w="2266" w:type="dxa"/>
            <w:tcBorders>
              <w:left w:val="nil"/>
            </w:tcBorders>
            <w:vAlign w:val="top"/>
          </w:tcPr>
          <w:p>
            <w:pPr>
              <w:spacing w:before="3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33"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33" w:line="223" w:lineRule="auto"/>
              <w:ind w:left="756" w:right="130" w:hanging="610"/>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7"/>
                <w:sz w:val="21"/>
                <w:szCs w:val="21"/>
              </w:rPr>
              <w:t>车间</w:t>
            </w:r>
            <w:r>
              <w:rPr>
                <w:rFonts w:ascii="SimSun" w:eastAsia="SimSun" w:hAnsi="SimSun" w:cs="SimSun"/>
                <w:spacing w:val="-48"/>
                <w:sz w:val="21"/>
                <w:szCs w:val="21"/>
              </w:rPr>
              <w:t xml:space="preserve"> </w:t>
            </w:r>
            <w:r>
              <w:rPr>
                <w:rFonts w:ascii="Times New Roman" w:eastAsia="Times New Roman" w:hAnsi="Times New Roman" w:cs="Times New Roman"/>
                <w:spacing w:val="-7"/>
                <w:sz w:val="21"/>
                <w:szCs w:val="21"/>
              </w:rPr>
              <w:t>B</w:t>
            </w:r>
            <w:r>
              <w:rPr>
                <w:rFonts w:ascii="Times New Roman" w:eastAsia="Times New Roman" w:hAnsi="Times New Roman" w:cs="Times New Roman"/>
                <w:spacing w:val="22"/>
                <w:w w:val="101"/>
                <w:sz w:val="21"/>
                <w:szCs w:val="21"/>
              </w:rPr>
              <w:t xml:space="preserve"> </w:t>
            </w:r>
            <w:r>
              <w:rPr>
                <w:rFonts w:ascii="SimSun" w:eastAsia="SimSun" w:hAnsi="SimSun" w:cs="SimSun"/>
                <w:spacing w:val="-7"/>
                <w:sz w:val="21"/>
                <w:szCs w:val="21"/>
              </w:rPr>
              <w:t>区）</w:t>
            </w:r>
          </w:p>
        </w:tc>
        <w:tc>
          <w:tcPr>
            <w:tcW w:w="1484" w:type="dxa"/>
            <w:tcBorders>
              <w:right w:val="nil"/>
            </w:tcBorders>
            <w:vAlign w:val="top"/>
          </w:tcPr>
          <w:p>
            <w:pPr>
              <w:spacing w:before="198" w:line="201"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3,570.50</w:t>
            </w:r>
          </w:p>
        </w:tc>
      </w:tr>
      <w:tr>
        <w:tblPrEx>
          <w:tblW w:w="8753" w:type="dxa"/>
          <w:tblInd w:w="0" w:type="dxa"/>
          <w:tblLayout w:type="fixed"/>
        </w:tblPrEx>
        <w:trPr>
          <w:trHeight w:val="551"/>
        </w:trPr>
        <w:tc>
          <w:tcPr>
            <w:tcW w:w="2266" w:type="dxa"/>
            <w:tcBorders>
              <w:left w:val="nil"/>
            </w:tcBorders>
            <w:vAlign w:val="top"/>
          </w:tcPr>
          <w:p>
            <w:pPr>
              <w:spacing w:before="28"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9" w:line="225"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0004102</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8"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p>
            <w:pPr>
              <w:spacing w:before="23" w:line="209" w:lineRule="auto"/>
              <w:ind w:left="1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110KV </w:t>
            </w:r>
            <w:r>
              <w:rPr>
                <w:rFonts w:ascii="SimSun" w:eastAsia="SimSun" w:hAnsi="SimSun" w:cs="SimSun"/>
                <w:spacing w:val="-1"/>
                <w:sz w:val="21"/>
                <w:szCs w:val="21"/>
              </w:rPr>
              <w:t>厂区总变电站）</w:t>
            </w:r>
          </w:p>
        </w:tc>
        <w:tc>
          <w:tcPr>
            <w:tcW w:w="1484" w:type="dxa"/>
            <w:tcBorders>
              <w:right w:val="nil"/>
            </w:tcBorders>
            <w:vAlign w:val="top"/>
          </w:tcPr>
          <w:p>
            <w:pPr>
              <w:spacing w:before="198" w:line="201"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1,012.58</w:t>
            </w:r>
          </w:p>
        </w:tc>
      </w:tr>
      <w:tr>
        <w:tblPrEx>
          <w:tblW w:w="8753" w:type="dxa"/>
          <w:tblInd w:w="0" w:type="dxa"/>
          <w:tblLayout w:type="fixed"/>
        </w:tblPrEx>
        <w:trPr>
          <w:trHeight w:val="547"/>
        </w:trPr>
        <w:tc>
          <w:tcPr>
            <w:tcW w:w="2266" w:type="dxa"/>
            <w:tcBorders>
              <w:left w:val="nil"/>
              <w:bottom w:val="single" w:sz="4" w:space="0" w:color="000000"/>
            </w:tcBorders>
            <w:vAlign w:val="top"/>
          </w:tcPr>
          <w:p>
            <w:pPr>
              <w:spacing w:before="29"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tcBorders>
              <w:bottom w:val="single" w:sz="4" w:space="0" w:color="000000"/>
            </w:tcBorders>
            <w:vAlign w:val="top"/>
          </w:tcPr>
          <w:p>
            <w:pPr>
              <w:spacing w:before="29"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0004123</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tcBorders>
              <w:bottom w:val="single" w:sz="4" w:space="0" w:color="000000"/>
            </w:tcBorders>
            <w:vAlign w:val="top"/>
          </w:tcPr>
          <w:p>
            <w:pPr>
              <w:spacing w:before="29" w:line="223" w:lineRule="auto"/>
              <w:ind w:left="752" w:right="130" w:hanging="606"/>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7"/>
                <w:sz w:val="21"/>
                <w:szCs w:val="21"/>
              </w:rPr>
              <w:t>车间</w:t>
            </w:r>
            <w:r>
              <w:rPr>
                <w:rFonts w:ascii="SimSun" w:eastAsia="SimSun" w:hAnsi="SimSun" w:cs="SimSun"/>
                <w:spacing w:val="-48"/>
                <w:sz w:val="21"/>
                <w:szCs w:val="21"/>
              </w:rPr>
              <w:t xml:space="preserve"> </w:t>
            </w:r>
            <w:r>
              <w:rPr>
                <w:rFonts w:ascii="Times New Roman" w:eastAsia="Times New Roman" w:hAnsi="Times New Roman" w:cs="Times New Roman"/>
                <w:spacing w:val="-7"/>
                <w:sz w:val="21"/>
                <w:szCs w:val="21"/>
              </w:rPr>
              <w:t>A</w:t>
            </w:r>
            <w:r>
              <w:rPr>
                <w:rFonts w:ascii="Times New Roman" w:eastAsia="Times New Roman" w:hAnsi="Times New Roman" w:cs="Times New Roman"/>
                <w:spacing w:val="20"/>
                <w:w w:val="101"/>
                <w:sz w:val="21"/>
                <w:szCs w:val="21"/>
              </w:rPr>
              <w:t xml:space="preserve"> </w:t>
            </w:r>
            <w:r>
              <w:rPr>
                <w:rFonts w:ascii="SimSun" w:eastAsia="SimSun" w:hAnsi="SimSun" w:cs="SimSun"/>
                <w:spacing w:val="-7"/>
                <w:sz w:val="21"/>
                <w:szCs w:val="21"/>
              </w:rPr>
              <w:t>区）</w:t>
            </w:r>
          </w:p>
        </w:tc>
        <w:tc>
          <w:tcPr>
            <w:tcW w:w="1484" w:type="dxa"/>
            <w:tcBorders>
              <w:bottom w:val="single" w:sz="4" w:space="0" w:color="000000"/>
              <w:right w:val="nil"/>
            </w:tcBorders>
            <w:vAlign w:val="top"/>
          </w:tcPr>
          <w:p>
            <w:pPr>
              <w:spacing w:before="194" w:line="201"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1,976.42</w:t>
            </w:r>
          </w:p>
        </w:tc>
      </w:tr>
      <w:tr>
        <w:tblPrEx>
          <w:tblW w:w="8753" w:type="dxa"/>
          <w:tblInd w:w="0" w:type="dxa"/>
          <w:tblLayout w:type="fixed"/>
        </w:tblPrEx>
        <w:trPr>
          <w:trHeight w:val="571"/>
        </w:trPr>
        <w:tc>
          <w:tcPr>
            <w:tcW w:w="2266" w:type="dxa"/>
            <w:tcBorders>
              <w:top w:val="single" w:sz="4" w:space="0" w:color="000000"/>
              <w:left w:val="nil"/>
            </w:tcBorders>
            <w:vAlign w:val="top"/>
          </w:tcPr>
          <w:p>
            <w:pPr>
              <w:spacing w:before="16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tcBorders>
              <w:top w:val="single" w:sz="4" w:space="0" w:color="000000"/>
            </w:tcBorders>
            <w:vAlign w:val="top"/>
          </w:tcPr>
          <w:p>
            <w:pPr>
              <w:spacing w:before="24" w:line="231"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0004255</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tcBorders>
              <w:top w:val="single" w:sz="4" w:space="0" w:color="000000"/>
            </w:tcBorders>
            <w:vAlign w:val="top"/>
          </w:tcPr>
          <w:p>
            <w:pPr>
              <w:spacing w:before="25" w:line="231" w:lineRule="auto"/>
              <w:ind w:left="352" w:right="130" w:hanging="206"/>
              <w:rPr>
                <w:rFonts w:ascii="SimSun" w:eastAsia="SimSun" w:hAnsi="SimSun" w:cs="SimSun"/>
                <w:sz w:val="21"/>
                <w:szCs w:val="21"/>
              </w:rPr>
            </w:pPr>
            <w:r>
              <w:rPr>
                <w:rFonts w:ascii="SimSun" w:eastAsia="SimSun" w:hAnsi="SimSun" w:cs="SimSun"/>
                <w:spacing w:val="-1"/>
                <w:sz w:val="21"/>
                <w:szCs w:val="21"/>
              </w:rPr>
              <w:t>凤阳县凤宁产业园（脱硫</w:t>
            </w:r>
            <w:r>
              <w:rPr>
                <w:rFonts w:ascii="SimSun" w:eastAsia="SimSun" w:hAnsi="SimSun" w:cs="SimSun"/>
                <w:spacing w:val="5"/>
                <w:sz w:val="21"/>
                <w:szCs w:val="21"/>
              </w:rPr>
              <w:t xml:space="preserve"> </w:t>
            </w:r>
            <w:r>
              <w:rPr>
                <w:rFonts w:ascii="SimSun" w:eastAsia="SimSun" w:hAnsi="SimSun" w:cs="SimSun"/>
                <w:spacing w:val="-1"/>
                <w:sz w:val="21"/>
                <w:szCs w:val="21"/>
              </w:rPr>
              <w:t>脱硝一体化控制室）</w:t>
            </w:r>
          </w:p>
        </w:tc>
        <w:tc>
          <w:tcPr>
            <w:tcW w:w="1484" w:type="dxa"/>
            <w:tcBorders>
              <w:top w:val="single" w:sz="4" w:space="0" w:color="000000"/>
              <w:right w:val="nil"/>
            </w:tcBorders>
            <w:vAlign w:val="top"/>
          </w:tcPr>
          <w:p>
            <w:pPr>
              <w:spacing w:before="198"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251.92</w:t>
            </w:r>
          </w:p>
        </w:tc>
      </w:tr>
    </w:tbl>
    <w:p>
      <w:pPr>
        <w:pStyle w:val="BodyText"/>
        <w:spacing w:before="163" w:line="218" w:lineRule="auto"/>
        <w:ind w:left="505"/>
      </w:pPr>
      <w:r>
        <w:rPr>
          <w:spacing w:val="-1"/>
        </w:rPr>
        <w:t>本次评估未考虑上述抵押担保事项可能对评估结果产生的影响。</w:t>
      </w:r>
    </w:p>
    <w:p>
      <w:pPr>
        <w:pStyle w:val="BodyText"/>
        <w:spacing w:before="157" w:line="359" w:lineRule="auto"/>
        <w:ind w:left="24" w:right="230" w:firstLine="486"/>
      </w:pPr>
      <w:r>
        <w:rPr>
          <w:spacing w:val="-9"/>
        </w:rPr>
        <w:t>（三）</w:t>
      </w:r>
      <w:r>
        <w:rPr>
          <w:rFonts w:ascii="Times New Roman" w:eastAsia="Times New Roman" w:hAnsi="Times New Roman" w:cs="Times New Roman"/>
          <w:spacing w:val="-9"/>
        </w:rPr>
        <w:t xml:space="preserve">2023 </w:t>
      </w:r>
      <w:r>
        <w:rPr>
          <w:spacing w:val="-9"/>
        </w:rPr>
        <w:t>年</w:t>
      </w:r>
      <w:r>
        <w:rPr>
          <w:spacing w:val="-45"/>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8"/>
        </w:rPr>
        <w:t xml:space="preserve"> </w:t>
      </w:r>
      <w:r>
        <w:rPr>
          <w:spacing w:val="-9"/>
        </w:rPr>
        <w:t>月</w:t>
      </w:r>
      <w:r>
        <w:rPr>
          <w:spacing w:val="-57"/>
        </w:rPr>
        <w:t xml:space="preserve"> </w:t>
      </w:r>
      <w:r>
        <w:rPr>
          <w:rFonts w:ascii="Times New Roman" w:eastAsia="Times New Roman" w:hAnsi="Times New Roman" w:cs="Times New Roman"/>
          <w:spacing w:val="-9"/>
        </w:rPr>
        <w:t xml:space="preserve">25  </w:t>
      </w:r>
      <w:r>
        <w:rPr>
          <w:spacing w:val="-9"/>
        </w:rPr>
        <w:t>日，经凤阳硅谷股东会决议同意，</w:t>
      </w:r>
      <w:r>
        <w:rPr>
          <w:spacing w:val="44"/>
        </w:rPr>
        <w:t xml:space="preserve"> </w:t>
      </w:r>
      <w:r>
        <w:rPr>
          <w:spacing w:val="-9"/>
        </w:rPr>
        <w:t>公司实施非同比例定</w:t>
      </w:r>
      <w:r>
        <w:t xml:space="preserve"> </w:t>
      </w:r>
      <w:r>
        <w:rPr>
          <w:spacing w:val="-4"/>
        </w:rPr>
        <w:t>向减资，</w:t>
      </w:r>
      <w:r>
        <w:rPr>
          <w:spacing w:val="-34"/>
        </w:rPr>
        <w:t xml:space="preserve"> </w:t>
      </w:r>
      <w:r>
        <w:rPr>
          <w:spacing w:val="-4"/>
        </w:rPr>
        <w:t>以</w:t>
      </w:r>
      <w:r>
        <w:rPr>
          <w:spacing w:val="-34"/>
        </w:rPr>
        <w:t xml:space="preserve"> </w:t>
      </w:r>
      <w:r>
        <w:rPr>
          <w:rFonts w:ascii="Times New Roman" w:eastAsia="Times New Roman" w:hAnsi="Times New Roman" w:cs="Times New Roman"/>
          <w:spacing w:val="-4"/>
        </w:rPr>
        <w:t xml:space="preserve">131,945,205.50 </w:t>
      </w:r>
      <w:r>
        <w:rPr>
          <w:spacing w:val="-4"/>
        </w:rPr>
        <w:t>元人民币</w:t>
      </w:r>
      <w:r>
        <w:rPr>
          <w:spacing w:val="-5"/>
        </w:rPr>
        <w:t>的价格回购黄山高新毅达新安江专精特新创业</w:t>
      </w:r>
      <w:r>
        <w:t xml:space="preserve"> </w:t>
      </w:r>
      <w:r>
        <w:rPr>
          <w:spacing w:val="3"/>
        </w:rPr>
        <w:t xml:space="preserve">投资基金（有限合伙）所持有公司 </w:t>
      </w:r>
      <w:r>
        <w:rPr>
          <w:rFonts w:ascii="Times New Roman" w:eastAsia="Times New Roman" w:hAnsi="Times New Roman" w:cs="Times New Roman"/>
          <w:spacing w:val="3"/>
        </w:rPr>
        <w:t>9.43%</w:t>
      </w:r>
      <w:r>
        <w:rPr>
          <w:spacing w:val="3"/>
        </w:rPr>
        <w:t>股权合计</w:t>
      </w:r>
      <w:r>
        <w:rPr>
          <w:spacing w:val="52"/>
        </w:rPr>
        <w:t xml:space="preserve"> </w:t>
      </w:r>
      <w:r>
        <w:rPr>
          <w:rFonts w:ascii="Times New Roman" w:eastAsia="Times New Roman" w:hAnsi="Times New Roman" w:cs="Times New Roman"/>
          <w:spacing w:val="3"/>
        </w:rPr>
        <w:t xml:space="preserve">1,111.11  </w:t>
      </w:r>
      <w:r>
        <w:rPr>
          <w:spacing w:val="3"/>
        </w:rPr>
        <w:t>万元注册资本；以</w:t>
      </w:r>
      <w:r>
        <w:t xml:space="preserve"> </w:t>
      </w:r>
      <w:r>
        <w:rPr>
          <w:rFonts w:ascii="Times New Roman" w:eastAsia="Times New Roman" w:hAnsi="Times New Roman" w:cs="Times New Roman"/>
          <w:spacing w:val="1"/>
        </w:rPr>
        <w:t xml:space="preserve">39,583,561.60  </w:t>
      </w:r>
      <w:r>
        <w:rPr>
          <w:spacing w:val="1"/>
        </w:rPr>
        <w:t>元人民币的价格回购</w:t>
      </w:r>
      <w:r>
        <w:t xml:space="preserve">扬中高投毅达创业投资基金合伙企业（有限合 </w:t>
      </w:r>
      <w:r>
        <w:rPr>
          <w:spacing w:val="-1"/>
        </w:rPr>
        <w:t>伙）所持有公司</w:t>
      </w:r>
      <w:r>
        <w:rPr>
          <w:spacing w:val="-47"/>
        </w:rPr>
        <w:t xml:space="preserve"> </w:t>
      </w:r>
      <w:r>
        <w:rPr>
          <w:rFonts w:ascii="Times New Roman" w:eastAsia="Times New Roman" w:hAnsi="Times New Roman" w:cs="Times New Roman"/>
          <w:spacing w:val="-1"/>
        </w:rPr>
        <w:t>2.83%</w:t>
      </w:r>
      <w:r>
        <w:rPr>
          <w:spacing w:val="-1"/>
        </w:rPr>
        <w:t>股权合计</w:t>
      </w:r>
      <w:r>
        <w:rPr>
          <w:spacing w:val="-42"/>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23"/>
        </w:rPr>
        <w:t xml:space="preserve"> </w:t>
      </w:r>
      <w:r>
        <w:rPr>
          <w:spacing w:val="-1"/>
        </w:rPr>
        <w:t>万元注</w:t>
      </w:r>
      <w:r>
        <w:rPr>
          <w:spacing w:val="-2"/>
        </w:rPr>
        <w:t>册资本；以</w:t>
      </w:r>
      <w:r>
        <w:rPr>
          <w:spacing w:val="-48"/>
        </w:rPr>
        <w:t xml:space="preserve"> </w:t>
      </w:r>
      <w:r>
        <w:rPr>
          <w:rFonts w:ascii="Times New Roman" w:eastAsia="Times New Roman" w:hAnsi="Times New Roman" w:cs="Times New Roman"/>
          <w:spacing w:val="-2"/>
        </w:rPr>
        <w:t>26,389,041.10</w:t>
      </w:r>
      <w:r>
        <w:rPr>
          <w:rFonts w:ascii="Times New Roman" w:eastAsia="Times New Roman" w:hAnsi="Times New Roman" w:cs="Times New Roman"/>
          <w:spacing w:val="20"/>
          <w:w w:val="101"/>
        </w:rPr>
        <w:t xml:space="preserve"> </w:t>
      </w:r>
      <w:r>
        <w:rPr>
          <w:spacing w:val="-2"/>
        </w:rPr>
        <w:t>元人民币</w:t>
      </w:r>
      <w:r>
        <w:t xml:space="preserve"> </w:t>
      </w:r>
      <w:r>
        <w:rPr>
          <w:spacing w:val="-6"/>
        </w:rPr>
        <w:t>的价格回购宿迁高投毅达产才融合发展创业投资合伙企业（有限合伙</w:t>
      </w:r>
      <w:r>
        <w:rPr>
          <w:spacing w:val="-7"/>
        </w:rPr>
        <w:t>）</w:t>
      </w:r>
      <w:r>
        <w:rPr>
          <w:spacing w:val="-42"/>
        </w:rPr>
        <w:t xml:space="preserve"> </w:t>
      </w:r>
      <w:r>
        <w:rPr>
          <w:spacing w:val="-7"/>
        </w:rPr>
        <w:t>所持有公司</w:t>
      </w:r>
    </w:p>
    <w:p>
      <w:pPr>
        <w:pStyle w:val="BodyText"/>
        <w:spacing w:before="1" w:line="218" w:lineRule="auto"/>
        <w:ind w:left="42"/>
      </w:pPr>
      <w:r>
        <w:rPr>
          <w:rFonts w:ascii="Times New Roman" w:eastAsia="Times New Roman" w:hAnsi="Times New Roman" w:cs="Times New Roman"/>
          <w:spacing w:val="-3"/>
        </w:rPr>
        <w:t>1.89%</w:t>
      </w:r>
      <w:r>
        <w:rPr>
          <w:spacing w:val="-3"/>
        </w:rPr>
        <w:t>股权合计</w:t>
      </w:r>
      <w:r>
        <w:rPr>
          <w:spacing w:val="-45"/>
        </w:rPr>
        <w:t xml:space="preserve"> </w:t>
      </w:r>
      <w:r>
        <w:rPr>
          <w:rFonts w:ascii="Times New Roman" w:eastAsia="Times New Roman" w:hAnsi="Times New Roman" w:cs="Times New Roman"/>
          <w:spacing w:val="-3"/>
        </w:rPr>
        <w:t xml:space="preserve">222.22 </w:t>
      </w:r>
      <w:r>
        <w:rPr>
          <w:spacing w:val="-3"/>
        </w:rPr>
        <w:t>万元注册资本。</w:t>
      </w:r>
    </w:p>
    <w:p>
      <w:pPr>
        <w:pStyle w:val="BodyText"/>
        <w:spacing w:before="186" w:line="358" w:lineRule="auto"/>
        <w:ind w:left="34" w:right="230" w:firstLine="474"/>
        <w:sectPr>
          <w:headerReference w:type="default" r:id="rId29"/>
          <w:footerReference w:type="default" r:id="rId30"/>
          <w:pgSz w:w="11905" w:h="16839"/>
          <w:pgMar w:top="1336" w:right="1464" w:bottom="1579" w:left="1685" w:header="1154" w:footer="1314" w:gutter="0"/>
          <w:pgNumType w:start="14"/>
          <w:cols w:space="708"/>
        </w:sectPr>
      </w:pPr>
      <w:r>
        <w:rPr>
          <w:spacing w:val="-7"/>
        </w:rPr>
        <w:t>于评估基准日， 凤阳硅谷账面应付上述减资款项合计</w:t>
      </w:r>
      <w:r>
        <w:rPr>
          <w:spacing w:val="-21"/>
        </w:rPr>
        <w:t xml:space="preserve"> </w:t>
      </w:r>
      <w:r>
        <w:rPr>
          <w:rFonts w:ascii="Times New Roman" w:eastAsia="Times New Roman" w:hAnsi="Times New Roman" w:cs="Times New Roman"/>
          <w:spacing w:val="-7"/>
        </w:rPr>
        <w:t xml:space="preserve">197,917,808.20 </w:t>
      </w:r>
      <w:r>
        <w:rPr>
          <w:spacing w:val="-7"/>
        </w:rPr>
        <w:t>元，</w:t>
      </w:r>
      <w:r>
        <w:rPr>
          <w:spacing w:val="-65"/>
        </w:rPr>
        <w:t xml:space="preserve"> </w:t>
      </w:r>
      <w:r>
        <w:rPr>
          <w:spacing w:val="-7"/>
        </w:rPr>
        <w:t>该减</w:t>
      </w:r>
      <w:r>
        <w:t xml:space="preserve"> </w:t>
      </w:r>
      <w:r>
        <w:rPr>
          <w:spacing w:val="-5"/>
        </w:rPr>
        <w:t>资事项尚未完成工商变更登记。</w:t>
      </w:r>
      <w:r>
        <w:rPr>
          <w:rFonts w:ascii="Times New Roman" w:eastAsia="Times New Roman" w:hAnsi="Times New Roman" w:cs="Times New Roman"/>
          <w:spacing w:val="-5"/>
        </w:rPr>
        <w:t>2023</w:t>
      </w:r>
      <w:r>
        <w:rPr>
          <w:rFonts w:ascii="Times New Roman" w:eastAsia="Times New Roman" w:hAnsi="Times New Roman" w:cs="Times New Roman"/>
          <w:spacing w:val="18"/>
        </w:rPr>
        <w:t xml:space="preserve"> </w:t>
      </w:r>
      <w:r>
        <w:rPr>
          <w:spacing w:val="-5"/>
        </w:rPr>
        <w:t>年</w:t>
      </w:r>
      <w:r>
        <w:rPr>
          <w:spacing w:val="-25"/>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23"/>
        </w:rPr>
        <w:t xml:space="preserve"> </w:t>
      </w:r>
      <w:r>
        <w:rPr>
          <w:spacing w:val="-5"/>
        </w:rPr>
        <w:t>月</w:t>
      </w:r>
      <w:r>
        <w:rPr>
          <w:spacing w:val="-38"/>
        </w:rPr>
        <w:t xml:space="preserve"> </w:t>
      </w:r>
      <w:r>
        <w:rPr>
          <w:rFonts w:ascii="Times New Roman" w:eastAsia="Times New Roman" w:hAnsi="Times New Roman" w:cs="Times New Roman"/>
          <w:spacing w:val="-5"/>
        </w:rPr>
        <w:t xml:space="preserve">31  </w:t>
      </w:r>
      <w:r>
        <w:rPr>
          <w:spacing w:val="-5"/>
        </w:rPr>
        <w:t>日，</w:t>
      </w:r>
      <w:r>
        <w:rPr>
          <w:spacing w:val="-49"/>
        </w:rPr>
        <w:t xml:space="preserve"> </w:t>
      </w:r>
      <w:r>
        <w:rPr>
          <w:spacing w:val="-5"/>
        </w:rPr>
        <w:t>凤阳硅谷支付</w:t>
      </w:r>
      <w:r>
        <w:rPr>
          <w:spacing w:val="-6"/>
        </w:rPr>
        <w:t>了上述减资款</w:t>
      </w:r>
    </w:p>
    <w:p>
      <w:pPr>
        <w:pStyle w:val="BodyText"/>
        <w:spacing w:line="219" w:lineRule="auto"/>
        <w:ind w:left="27"/>
      </w:pPr>
      <w:r>
        <w:rPr>
          <w:spacing w:val="-5"/>
        </w:rPr>
        <w:t>项，并于</w:t>
      </w:r>
      <w:r>
        <w:rPr>
          <w:spacing w:val="-41"/>
        </w:rPr>
        <w:t xml:space="preserve"> </w:t>
      </w:r>
      <w:r>
        <w:rPr>
          <w:rFonts w:ascii="Times New Roman" w:eastAsia="Times New Roman" w:hAnsi="Times New Roman" w:cs="Times New Roman"/>
          <w:spacing w:val="-5"/>
        </w:rPr>
        <w:t xml:space="preserve">2023 </w:t>
      </w:r>
      <w:r>
        <w:rPr>
          <w:spacing w:val="-5"/>
        </w:rPr>
        <w:t>年</w:t>
      </w:r>
      <w:r>
        <w:rPr>
          <w:spacing w:val="-34"/>
        </w:rPr>
        <w:t xml:space="preserve"> </w:t>
      </w:r>
      <w:r>
        <w:rPr>
          <w:rFonts w:ascii="Times New Roman" w:eastAsia="Times New Roman" w:hAnsi="Times New Roman" w:cs="Times New Roman"/>
          <w:spacing w:val="-5"/>
        </w:rPr>
        <w:t xml:space="preserve">12 </w:t>
      </w:r>
      <w:r>
        <w:rPr>
          <w:spacing w:val="-5"/>
        </w:rPr>
        <w:t>月</w:t>
      </w:r>
      <w:r>
        <w:rPr>
          <w:spacing w:val="-57"/>
        </w:rPr>
        <w:t xml:space="preserve"> </w:t>
      </w:r>
      <w:r>
        <w:rPr>
          <w:rFonts w:ascii="Times New Roman" w:eastAsia="Times New Roman" w:hAnsi="Times New Roman" w:cs="Times New Roman"/>
          <w:spacing w:val="-5"/>
        </w:rPr>
        <w:t xml:space="preserve">22  </w:t>
      </w:r>
      <w:r>
        <w:rPr>
          <w:spacing w:val="-5"/>
        </w:rPr>
        <w:t>日完成了工商变工登记。</w:t>
      </w:r>
    </w:p>
    <w:p>
      <w:pPr>
        <w:pStyle w:val="BodyText"/>
        <w:spacing w:before="316" w:line="345" w:lineRule="auto"/>
        <w:ind w:left="19" w:right="231" w:firstLine="485"/>
        <w:jc w:val="both"/>
      </w:pPr>
      <w:r>
        <w:rPr>
          <w:spacing w:val="2"/>
        </w:rPr>
        <w:t>本报告评估结论使用的有效期限为自评估基准日起</w:t>
      </w:r>
      <w:r>
        <w:rPr>
          <w:spacing w:val="33"/>
        </w:rPr>
        <w:t xml:space="preserve"> </w:t>
      </w:r>
      <w:r>
        <w:rPr>
          <w:rFonts w:ascii="Times New Roman" w:eastAsia="Times New Roman" w:hAnsi="Times New Roman" w:cs="Times New Roman"/>
          <w:spacing w:val="2"/>
        </w:rPr>
        <w:t xml:space="preserve">1  </w:t>
      </w:r>
      <w:r>
        <w:rPr>
          <w:spacing w:val="2"/>
        </w:rPr>
        <w:t>年，</w:t>
      </w:r>
      <w:r>
        <w:rPr>
          <w:spacing w:val="1"/>
        </w:rPr>
        <w:t xml:space="preserve"> 即自评估基准日</w:t>
      </w:r>
      <w:r>
        <w:t xml:space="preserve"> </w:t>
      </w:r>
      <w:r>
        <w:rPr>
          <w:rFonts w:ascii="Times New Roman" w:eastAsia="Times New Roman" w:hAnsi="Times New Roman" w:cs="Times New Roman"/>
          <w:spacing w:val="-9"/>
        </w:rPr>
        <w:t xml:space="preserve">2023 </w:t>
      </w:r>
      <w:r>
        <w:rPr>
          <w:spacing w:val="-9"/>
        </w:rPr>
        <w:t>年</w:t>
      </w:r>
      <w:r>
        <w:rPr>
          <w:spacing w:val="-39"/>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7"/>
          <w:w w:val="101"/>
        </w:rPr>
        <w:t xml:space="preserve"> </w:t>
      </w:r>
      <w:r>
        <w:rPr>
          <w:spacing w:val="-9"/>
        </w:rPr>
        <w:t>月</w:t>
      </w:r>
      <w:r>
        <w:rPr>
          <w:spacing w:val="-53"/>
        </w:rPr>
        <w:t xml:space="preserve"> </w:t>
      </w:r>
      <w:r>
        <w:rPr>
          <w:rFonts w:ascii="Times New Roman" w:eastAsia="Times New Roman" w:hAnsi="Times New Roman" w:cs="Times New Roman"/>
          <w:spacing w:val="-9"/>
        </w:rPr>
        <w:t xml:space="preserve">30  </w:t>
      </w:r>
      <w:r>
        <w:rPr>
          <w:spacing w:val="-9"/>
        </w:rPr>
        <w:t>日起， 至</w:t>
      </w:r>
      <w:r>
        <w:rPr>
          <w:spacing w:val="-57"/>
        </w:rPr>
        <w:t xml:space="preserve"> </w:t>
      </w:r>
      <w:r>
        <w:rPr>
          <w:rFonts w:ascii="Times New Roman" w:eastAsia="Times New Roman" w:hAnsi="Times New Roman" w:cs="Times New Roman"/>
          <w:spacing w:val="-9"/>
        </w:rPr>
        <w:t>2024</w:t>
      </w:r>
      <w:r>
        <w:rPr>
          <w:rFonts w:ascii="Times New Roman" w:eastAsia="Times New Roman" w:hAnsi="Times New Roman" w:cs="Times New Roman"/>
          <w:spacing w:val="13"/>
        </w:rPr>
        <w:t xml:space="preserve"> </w:t>
      </w:r>
      <w:r>
        <w:rPr>
          <w:spacing w:val="-9"/>
        </w:rPr>
        <w:t>年</w:t>
      </w:r>
      <w:r>
        <w:rPr>
          <w:spacing w:val="-53"/>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7"/>
          <w:w w:val="101"/>
        </w:rPr>
        <w:t xml:space="preserve"> </w:t>
      </w:r>
      <w:r>
        <w:rPr>
          <w:spacing w:val="-9"/>
        </w:rPr>
        <w:t>月</w:t>
      </w:r>
      <w:r>
        <w:rPr>
          <w:spacing w:val="-57"/>
        </w:rPr>
        <w:t xml:space="preserve"> </w:t>
      </w:r>
      <w:r>
        <w:rPr>
          <w:rFonts w:ascii="Times New Roman" w:eastAsia="Times New Roman" w:hAnsi="Times New Roman" w:cs="Times New Roman"/>
          <w:spacing w:val="-9"/>
        </w:rPr>
        <w:t>29</w:t>
      </w:r>
      <w:r>
        <w:rPr>
          <w:rFonts w:ascii="Times New Roman" w:eastAsia="Times New Roman" w:hAnsi="Times New Roman" w:cs="Times New Roman"/>
          <w:spacing w:val="48"/>
          <w:w w:val="101"/>
        </w:rPr>
        <w:t xml:space="preserve"> </w:t>
      </w:r>
      <w:r>
        <w:rPr>
          <w:spacing w:val="-9"/>
        </w:rPr>
        <w:t>日止，资产评估报告使用人应当根据评估</w:t>
      </w:r>
    </w:p>
    <w:p>
      <w:pPr>
        <w:pStyle w:val="BodyText"/>
        <w:spacing w:line="218" w:lineRule="auto"/>
        <w:ind w:left="23"/>
      </w:pPr>
      <w:r>
        <w:rPr>
          <w:spacing w:val="-7"/>
        </w:rPr>
        <w:t>基准日后的资产状况和市场变化情况合理确定评估结论使用期限。通常， 只有当评</w:t>
      </w:r>
    </w:p>
    <w:p>
      <w:pPr>
        <w:spacing w:line="218" w:lineRule="auto"/>
        <w:sectPr>
          <w:headerReference w:type="default" r:id="rId31"/>
          <w:footerReference w:type="default" r:id="rId32"/>
          <w:type w:val="nextPage"/>
          <w:pgSz w:w="11905" w:h="16839"/>
          <w:pgMar w:top="1336" w:right="1464" w:bottom="1579" w:left="1685" w:header="1154" w:footer="1314" w:gutter="0"/>
          <w:pgNumType w:start="15"/>
          <w:cols w:space="708"/>
          <w:titlePg w:val="0"/>
        </w:sectPr>
      </w:pPr>
    </w:p>
    <w:p>
      <w:pPr>
        <w:spacing w:line="369" w:lineRule="auto"/>
        <w:rPr>
          <w:rFonts w:ascii="Arial"/>
          <w:sz w:val="21"/>
        </w:rPr>
      </w:pPr>
    </w:p>
    <w:p>
      <w:pPr>
        <w:pStyle w:val="BodyText"/>
        <w:spacing w:before="78" w:line="218" w:lineRule="auto"/>
        <w:ind w:left="9"/>
      </w:pPr>
      <w:r>
        <w:rPr>
          <w:spacing w:val="-1"/>
        </w:rPr>
        <w:t>估基准日与经济行为实现日相距不超过一年时，才可以使</w:t>
      </w:r>
      <w:r>
        <w:rPr>
          <w:spacing w:val="-2"/>
        </w:rPr>
        <w:t>用资产评估报告。</w:t>
      </w:r>
    </w:p>
    <w:p>
      <w:pPr>
        <w:pStyle w:val="BodyText"/>
        <w:spacing w:before="225" w:line="452" w:lineRule="exact"/>
        <w:jc w:val="right"/>
      </w:pPr>
      <w:r>
        <w:rPr>
          <w:b/>
          <w:bCs/>
          <w:spacing w:val="-1"/>
          <w:position w:val="16"/>
        </w:rPr>
        <w:t>以上内容摘自资产评估报告正文，欲了解本评估业务的详细情况和合理理解</w:t>
      </w:r>
    </w:p>
    <w:p>
      <w:pPr>
        <w:pStyle w:val="BodyText"/>
        <w:spacing w:line="218" w:lineRule="auto"/>
        <w:ind w:left="8"/>
      </w:pPr>
      <w:r>
        <w:rPr>
          <w:b/>
          <w:bCs/>
          <w:spacing w:val="-3"/>
        </w:rPr>
        <w:t>评估结论，应当阅读资产评估报告正文。</w:t>
      </w:r>
    </w:p>
    <w:p>
      <w:pPr>
        <w:spacing w:line="218" w:lineRule="auto"/>
        <w:sectPr>
          <w:headerReference w:type="default" r:id="rId33"/>
          <w:footerReference w:type="default" r:id="rId34"/>
          <w:pgSz w:w="11905" w:h="16839"/>
          <w:pgMar w:top="1336" w:right="1702" w:bottom="1579" w:left="1699" w:header="1154" w:footer="1314" w:gutter="0"/>
          <w:pgNumType w:start="16"/>
          <w:cols w:space="708"/>
        </w:sectPr>
      </w:pPr>
    </w:p>
    <w:p>
      <w:pPr>
        <w:spacing w:line="316" w:lineRule="auto"/>
        <w:rPr>
          <w:rFonts w:ascii="Arial"/>
          <w:sz w:val="21"/>
        </w:rPr>
      </w:pPr>
    </w:p>
    <w:p>
      <w:pPr>
        <w:pStyle w:val="BodyText"/>
        <w:spacing w:before="97" w:line="220" w:lineRule="auto"/>
        <w:ind w:left="1109"/>
        <w:rPr>
          <w:sz w:val="30"/>
          <w:szCs w:val="30"/>
        </w:rPr>
      </w:pPr>
      <w:r>
        <w:rPr>
          <w:b/>
          <w:bCs/>
          <w:spacing w:val="-3"/>
          <w:sz w:val="30"/>
          <w:szCs w:val="30"/>
        </w:rPr>
        <w:t>常州亚玛顿股份有限公司拟发行股份及支付现金</w:t>
      </w:r>
    </w:p>
    <w:p>
      <w:pPr>
        <w:pStyle w:val="BodyText"/>
        <w:spacing w:before="150" w:line="220" w:lineRule="auto"/>
        <w:ind w:left="42"/>
        <w:rPr>
          <w:sz w:val="30"/>
          <w:szCs w:val="30"/>
        </w:rPr>
      </w:pPr>
      <w:r>
        <w:rPr>
          <w:b/>
          <w:bCs/>
          <w:spacing w:val="-2"/>
          <w:sz w:val="30"/>
          <w:szCs w:val="30"/>
        </w:rPr>
        <w:t>购买资产所涉及的凤阳硅谷智能有限公司股东全部权益价值项目</w:t>
      </w:r>
    </w:p>
    <w:p>
      <w:pPr>
        <w:pStyle w:val="BodyText"/>
        <w:spacing w:before="347" w:line="218" w:lineRule="auto"/>
        <w:ind w:left="3203"/>
        <w:rPr>
          <w:sz w:val="36"/>
          <w:szCs w:val="36"/>
        </w:rPr>
      </w:pPr>
      <w:r>
        <w:rPr>
          <w:spacing w:val="-5"/>
          <w:sz w:val="36"/>
          <w:szCs w:val="36"/>
        </w:rPr>
        <w:t>资产评估报告</w:t>
      </w:r>
    </w:p>
    <w:p>
      <w:pPr>
        <w:spacing w:line="293" w:lineRule="auto"/>
        <w:rPr>
          <w:rFonts w:ascii="Arial"/>
          <w:sz w:val="21"/>
        </w:rPr>
      </w:pPr>
    </w:p>
    <w:p>
      <w:pPr>
        <w:pStyle w:val="BodyText"/>
        <w:spacing w:before="78" w:line="220" w:lineRule="auto"/>
        <w:ind w:left="2641"/>
      </w:pPr>
      <w:r>
        <w:rPr>
          <w:spacing w:val="-1"/>
        </w:rPr>
        <w:t>华辰评报字（</w:t>
      </w:r>
      <w:r>
        <w:rPr>
          <w:rFonts w:ascii="Times New Roman" w:eastAsia="Times New Roman" w:hAnsi="Times New Roman" w:cs="Times New Roman"/>
          <w:spacing w:val="-1"/>
        </w:rPr>
        <w:t>2024</w:t>
      </w:r>
      <w:r>
        <w:rPr>
          <w:spacing w:val="-1"/>
        </w:rPr>
        <w:t>）第</w:t>
      </w:r>
      <w:r>
        <w:rPr>
          <w:spacing w:val="-42"/>
        </w:rPr>
        <w:t xml:space="preserve"> </w:t>
      </w:r>
      <w:r>
        <w:rPr>
          <w:rFonts w:ascii="Times New Roman" w:eastAsia="Times New Roman" w:hAnsi="Times New Roman" w:cs="Times New Roman"/>
          <w:spacing w:val="-1"/>
        </w:rPr>
        <w:t xml:space="preserve">0013 </w:t>
      </w:r>
      <w:r>
        <w:rPr>
          <w:spacing w:val="-1"/>
        </w:rPr>
        <w:t>号</w:t>
      </w:r>
    </w:p>
    <w:p>
      <w:pPr>
        <w:pStyle w:val="BodyText"/>
        <w:spacing w:before="224" w:line="219" w:lineRule="auto"/>
        <w:ind w:left="15"/>
      </w:pPr>
      <w:r>
        <w:rPr>
          <w:b/>
          <w:bCs/>
          <w:spacing w:val="-4"/>
        </w:rPr>
        <w:t>常州亚玛顿股份有限公司：</w:t>
      </w:r>
    </w:p>
    <w:p>
      <w:pPr>
        <w:pStyle w:val="BodyText"/>
        <w:spacing w:before="230" w:line="346" w:lineRule="auto"/>
        <w:ind w:left="9" w:firstLine="481"/>
      </w:pPr>
      <w:r>
        <w:t>江苏天健华辰资产评估有限公司接受贵公司的委托，按照法律、</w:t>
      </w:r>
      <w:r>
        <w:rPr>
          <w:spacing w:val="-23"/>
        </w:rPr>
        <w:t xml:space="preserve"> </w:t>
      </w:r>
      <w:r>
        <w:t xml:space="preserve">行政法规和 </w:t>
      </w:r>
      <w:r>
        <w:rPr>
          <w:spacing w:val="-9"/>
        </w:rPr>
        <w:t>资产评估准则的规定，坚持独立、客观和公正的原则， 采用资产基础法和收益法，</w:t>
      </w:r>
      <w:r>
        <w:rPr>
          <w:spacing w:val="18"/>
        </w:rPr>
        <w:t xml:space="preserve"> </w:t>
      </w:r>
      <w:r>
        <w:rPr>
          <w:spacing w:val="-1"/>
        </w:rPr>
        <w:t>按照必要的评估程序， 对常州亚玛顿股份有限公司拟发行股份及支付现金购买资</w:t>
      </w:r>
      <w:r>
        <w:rPr>
          <w:spacing w:val="16"/>
        </w:rPr>
        <w:t xml:space="preserve"> </w:t>
      </w:r>
      <w:r>
        <w:rPr>
          <w:spacing w:val="-3"/>
        </w:rPr>
        <w:t>产所涉及凤阳硅谷智能有限公司的股东全部权益在</w:t>
      </w:r>
      <w:r>
        <w:rPr>
          <w:spacing w:val="-23"/>
        </w:rPr>
        <w:t xml:space="preserve"> </w:t>
      </w:r>
      <w:r>
        <w:rPr>
          <w:rFonts w:ascii="Times New Roman" w:eastAsia="Times New Roman" w:hAnsi="Times New Roman" w:cs="Times New Roman"/>
          <w:spacing w:val="-3"/>
        </w:rPr>
        <w:t>2023</w:t>
      </w:r>
      <w:r>
        <w:rPr>
          <w:rFonts w:ascii="Times New Roman" w:eastAsia="Times New Roman" w:hAnsi="Times New Roman" w:cs="Times New Roman"/>
          <w:spacing w:val="27"/>
          <w:w w:val="101"/>
        </w:rPr>
        <w:t xml:space="preserve"> </w:t>
      </w:r>
      <w:r>
        <w:rPr>
          <w:spacing w:val="-3"/>
        </w:rPr>
        <w:t>年</w:t>
      </w:r>
      <w:r>
        <w:rPr>
          <w:spacing w:val="-34"/>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32"/>
        </w:rPr>
        <w:t xml:space="preserve"> </w:t>
      </w:r>
      <w:r>
        <w:rPr>
          <w:spacing w:val="-3"/>
        </w:rPr>
        <w:t>月</w:t>
      </w:r>
      <w:r>
        <w:rPr>
          <w:spacing w:val="-33"/>
        </w:rPr>
        <w:t xml:space="preserve"> </w:t>
      </w:r>
      <w:r>
        <w:rPr>
          <w:rFonts w:ascii="Times New Roman" w:eastAsia="Times New Roman" w:hAnsi="Times New Roman" w:cs="Times New Roman"/>
          <w:spacing w:val="-3"/>
        </w:rPr>
        <w:t xml:space="preserve">30  </w:t>
      </w:r>
      <w:r>
        <w:rPr>
          <w:spacing w:val="-3"/>
        </w:rPr>
        <w:t>日的市场价值</w:t>
      </w:r>
    </w:p>
    <w:p>
      <w:pPr>
        <w:pStyle w:val="BodyText"/>
        <w:spacing w:line="218" w:lineRule="auto"/>
        <w:ind w:left="7"/>
      </w:pPr>
      <w:r>
        <w:rPr>
          <w:spacing w:val="-3"/>
        </w:rPr>
        <w:t>进行了评估。现将资产评估情况报告如下。</w:t>
      </w:r>
    </w:p>
    <w:p>
      <w:pPr>
        <w:pStyle w:val="BodyText"/>
        <w:spacing w:before="317" w:line="224" w:lineRule="auto"/>
        <w:ind w:right="2"/>
        <w:jc w:val="right"/>
        <w:outlineLvl w:val="0"/>
        <w:rPr>
          <w:sz w:val="27"/>
          <w:szCs w:val="27"/>
        </w:rPr>
      </w:pPr>
      <w:r>
        <w:rPr>
          <w:b/>
          <w:bCs/>
          <w:spacing w:val="10"/>
          <w:sz w:val="27"/>
          <w:szCs w:val="27"/>
        </w:rPr>
        <w:t>一、委托人、被评估单位和资产评估委托合同约定的其他资产评</w:t>
      </w:r>
    </w:p>
    <w:p>
      <w:pPr>
        <w:spacing w:line="260" w:lineRule="auto"/>
        <w:rPr>
          <w:rFonts w:ascii="Arial"/>
          <w:sz w:val="21"/>
        </w:rPr>
      </w:pPr>
    </w:p>
    <w:p>
      <w:pPr>
        <w:pStyle w:val="BodyText"/>
        <w:spacing w:before="88" w:line="571" w:lineRule="exact"/>
        <w:ind w:left="10"/>
        <w:rPr>
          <w:sz w:val="27"/>
          <w:szCs w:val="27"/>
        </w:rPr>
      </w:pPr>
      <w:r>
        <w:rPr>
          <w:b/>
          <w:bCs/>
          <w:spacing w:val="6"/>
          <w:position w:val="22"/>
          <w:sz w:val="27"/>
          <w:szCs w:val="27"/>
        </w:rPr>
        <w:t>估报告使用人概况</w:t>
      </w:r>
    </w:p>
    <w:p>
      <w:pPr>
        <w:pStyle w:val="BodyText"/>
        <w:spacing w:before="1" w:line="219" w:lineRule="auto"/>
        <w:ind w:left="496"/>
      </w:pPr>
      <w:r>
        <w:rPr>
          <w:b/>
          <w:bCs/>
          <w:spacing w:val="-4"/>
        </w:rPr>
        <w:t>（一）委托人概况</w:t>
      </w:r>
    </w:p>
    <w:p>
      <w:pPr>
        <w:pStyle w:val="BodyText"/>
        <w:spacing w:before="310" w:line="219" w:lineRule="auto"/>
        <w:ind w:left="493"/>
      </w:pPr>
      <w:r>
        <w:rPr>
          <w:spacing w:val="-7"/>
        </w:rPr>
        <w:t>企业名称：</w:t>
      </w:r>
      <w:r>
        <w:rPr>
          <w:spacing w:val="40"/>
        </w:rPr>
        <w:t xml:space="preserve"> </w:t>
      </w:r>
      <w:r>
        <w:rPr>
          <w:spacing w:val="-7"/>
        </w:rPr>
        <w:t>常州亚玛顿股份有限公司（以下简称“亚玛顿”）</w:t>
      </w:r>
    </w:p>
    <w:p>
      <w:pPr>
        <w:pStyle w:val="BodyText"/>
        <w:spacing w:before="229" w:line="508" w:lineRule="exact"/>
        <w:ind w:left="489"/>
      </w:pPr>
      <w:r>
        <w:rPr>
          <w:spacing w:val="-1"/>
          <w:position w:val="20"/>
        </w:rPr>
        <w:t>注册地址：常州市天宁区青龙东路</w:t>
      </w:r>
      <w:r>
        <w:rPr>
          <w:spacing w:val="-39"/>
          <w:position w:val="20"/>
        </w:rPr>
        <w:t xml:space="preserve"> </w:t>
      </w:r>
      <w:r>
        <w:rPr>
          <w:rFonts w:ascii="Times New Roman" w:eastAsia="Times New Roman" w:hAnsi="Times New Roman" w:cs="Times New Roman"/>
          <w:spacing w:val="-1"/>
          <w:position w:val="20"/>
        </w:rPr>
        <w:t xml:space="preserve">639 </w:t>
      </w:r>
      <w:r>
        <w:rPr>
          <w:spacing w:val="-1"/>
          <w:position w:val="20"/>
        </w:rPr>
        <w:t>号</w:t>
      </w:r>
    </w:p>
    <w:p>
      <w:pPr>
        <w:pStyle w:val="BodyText"/>
        <w:spacing w:before="1" w:line="219" w:lineRule="auto"/>
        <w:ind w:left="490"/>
      </w:pPr>
      <w:r>
        <w:rPr>
          <w:spacing w:val="-2"/>
        </w:rPr>
        <w:t>法定代表人：林金锡</w:t>
      </w:r>
    </w:p>
    <w:p>
      <w:pPr>
        <w:pStyle w:val="BodyText"/>
        <w:spacing w:before="224" w:line="509" w:lineRule="exact"/>
        <w:ind w:left="489"/>
      </w:pPr>
      <w:r>
        <w:rPr>
          <w:spacing w:val="-10"/>
          <w:position w:val="21"/>
        </w:rPr>
        <w:t>注册资本：</w:t>
      </w:r>
      <w:r>
        <w:rPr>
          <w:spacing w:val="52"/>
          <w:position w:val="21"/>
        </w:rPr>
        <w:t xml:space="preserve"> </w:t>
      </w:r>
      <w:r>
        <w:rPr>
          <w:rFonts w:ascii="Times New Roman" w:eastAsia="Times New Roman" w:hAnsi="Times New Roman" w:cs="Times New Roman"/>
          <w:spacing w:val="-10"/>
          <w:position w:val="21"/>
        </w:rPr>
        <w:t>19,906.25</w:t>
      </w:r>
      <w:r>
        <w:rPr>
          <w:rFonts w:ascii="Times New Roman" w:eastAsia="Times New Roman" w:hAnsi="Times New Roman" w:cs="Times New Roman"/>
          <w:spacing w:val="14"/>
          <w:position w:val="21"/>
        </w:rPr>
        <w:t xml:space="preserve"> </w:t>
      </w:r>
      <w:r>
        <w:rPr>
          <w:spacing w:val="-10"/>
          <w:position w:val="21"/>
        </w:rPr>
        <w:t>万元人民币</w:t>
      </w:r>
    </w:p>
    <w:p>
      <w:pPr>
        <w:pStyle w:val="BodyText"/>
        <w:spacing w:before="1" w:line="219" w:lineRule="auto"/>
        <w:ind w:left="497"/>
      </w:pPr>
      <w:r>
        <w:rPr>
          <w:spacing w:val="-3"/>
        </w:rPr>
        <w:t>公司类型：股份有限公司（上市）</w:t>
      </w:r>
    </w:p>
    <w:p>
      <w:pPr>
        <w:pStyle w:val="BodyText"/>
        <w:spacing w:before="227" w:line="220" w:lineRule="auto"/>
        <w:ind w:left="491"/>
      </w:pPr>
      <w:r>
        <w:rPr>
          <w:spacing w:val="-13"/>
        </w:rPr>
        <w:t>成立时间：</w:t>
      </w:r>
      <w:r>
        <w:rPr>
          <w:spacing w:val="35"/>
        </w:rPr>
        <w:t xml:space="preserve"> </w:t>
      </w:r>
      <w:r>
        <w:rPr>
          <w:rFonts w:ascii="Times New Roman" w:eastAsia="Times New Roman" w:hAnsi="Times New Roman" w:cs="Times New Roman"/>
          <w:spacing w:val="-13"/>
        </w:rPr>
        <w:t xml:space="preserve">2006 </w:t>
      </w:r>
      <w:r>
        <w:rPr>
          <w:spacing w:val="-13"/>
        </w:rPr>
        <w:t>年</w:t>
      </w:r>
      <w:r>
        <w:rPr>
          <w:spacing w:val="-53"/>
        </w:rPr>
        <w:t xml:space="preserve"> </w:t>
      </w:r>
      <w:r>
        <w:rPr>
          <w:rFonts w:ascii="Times New Roman" w:eastAsia="Times New Roman" w:hAnsi="Times New Roman" w:cs="Times New Roman"/>
          <w:spacing w:val="-13"/>
        </w:rPr>
        <w:t>9</w:t>
      </w:r>
      <w:r>
        <w:rPr>
          <w:rFonts w:ascii="Times New Roman" w:eastAsia="Times New Roman" w:hAnsi="Times New Roman" w:cs="Times New Roman"/>
          <w:spacing w:val="18"/>
        </w:rPr>
        <w:t xml:space="preserve"> </w:t>
      </w:r>
      <w:r>
        <w:rPr>
          <w:spacing w:val="-13"/>
        </w:rPr>
        <w:t>月</w:t>
      </w:r>
      <w:r>
        <w:rPr>
          <w:spacing w:val="-34"/>
        </w:rPr>
        <w:t xml:space="preserve"> </w:t>
      </w:r>
      <w:r>
        <w:rPr>
          <w:rFonts w:ascii="Times New Roman" w:eastAsia="Times New Roman" w:hAnsi="Times New Roman" w:cs="Times New Roman"/>
          <w:spacing w:val="-13"/>
        </w:rPr>
        <w:t xml:space="preserve">11  </w:t>
      </w:r>
      <w:r>
        <w:rPr>
          <w:spacing w:val="-13"/>
        </w:rPr>
        <w:t>日</w:t>
      </w:r>
    </w:p>
    <w:p>
      <w:pPr>
        <w:pStyle w:val="BodyText"/>
        <w:spacing w:before="225" w:line="346" w:lineRule="auto"/>
        <w:ind w:left="8" w:right="6" w:firstLine="483"/>
        <w:sectPr>
          <w:headerReference w:type="default" r:id="rId35"/>
          <w:footerReference w:type="default" r:id="rId36"/>
          <w:pgSz w:w="11905" w:h="16839"/>
          <w:pgMar w:top="1336" w:right="1693" w:bottom="1579" w:left="1699" w:header="1154" w:footer="1314" w:gutter="0"/>
          <w:pgNumType w:start="17"/>
          <w:cols w:space="708"/>
        </w:sectPr>
      </w:pPr>
      <w:r>
        <w:rPr>
          <w:spacing w:val="-1"/>
        </w:rPr>
        <w:t>经营范围： 太阳能用镀膜导电玻璃和常压及真空镀膜玻璃产品、节能与微电</w:t>
      </w:r>
      <w:r>
        <w:rPr>
          <w:spacing w:val="3"/>
        </w:rPr>
        <w:t xml:space="preserve"> </w:t>
      </w:r>
      <w:r>
        <w:rPr>
          <w:spacing w:val="3"/>
        </w:rPr>
        <w:t>子用玻璃及太阳能新材料产品、太阳能电池组</w:t>
      </w:r>
      <w:r>
        <w:rPr>
          <w:spacing w:val="2"/>
        </w:rPr>
        <w:t>件及系统集成产品的制造和销售；</w:t>
      </w:r>
      <w:r>
        <w:t xml:space="preserve"> </w:t>
      </w:r>
      <w:r>
        <w:rPr>
          <w:spacing w:val="3"/>
        </w:rPr>
        <w:t>太阳能电站工程的设计、安装及相关材料和设备的技术开</w:t>
      </w:r>
      <w:r>
        <w:rPr>
          <w:spacing w:val="2"/>
        </w:rPr>
        <w:t>发、技术咨询；自营和</w:t>
      </w:r>
      <w:r>
        <w:t xml:space="preserve"> </w:t>
      </w:r>
      <w:r>
        <w:rPr>
          <w:spacing w:val="-7"/>
        </w:rPr>
        <w:t>代理各类商品及技术的进出口业务（国家限定企业经营的商品和技术除外）</w:t>
      </w:r>
      <w:r>
        <w:rPr>
          <w:spacing w:val="-21"/>
        </w:rPr>
        <w:t xml:space="preserve"> </w:t>
      </w:r>
      <w:r>
        <w:rPr>
          <w:spacing w:val="-7"/>
        </w:rPr>
        <w:t>；实业</w:t>
      </w:r>
    </w:p>
    <w:p>
      <w:pPr>
        <w:pStyle w:val="BodyText"/>
        <w:spacing w:before="1" w:line="218" w:lineRule="auto"/>
        <w:ind w:left="13"/>
      </w:pPr>
      <w:r>
        <w:rPr>
          <w:spacing w:val="-1"/>
        </w:rPr>
        <w:t>项目的投资。（依法须经批准的项目，经相关部门批准后方可开展经营活动）</w:t>
      </w:r>
    </w:p>
    <w:p>
      <w:pPr>
        <w:pStyle w:val="BodyText"/>
        <w:spacing w:before="225" w:line="219" w:lineRule="auto"/>
        <w:ind w:left="10"/>
      </w:pPr>
      <w:r>
        <w:rPr>
          <w:spacing w:val="-4"/>
        </w:rPr>
        <w:t>许可项目：道路货物运输（不含危险货物</w:t>
      </w:r>
      <w:r>
        <w:rPr>
          <w:spacing w:val="-3"/>
        </w:rPr>
        <w:t>）（</w:t>
      </w:r>
      <w:r>
        <w:rPr>
          <w:spacing w:val="-4"/>
        </w:rPr>
        <w:t>依法须经批准的项目，经</w:t>
      </w:r>
      <w:r>
        <w:rPr>
          <w:spacing w:val="-5"/>
        </w:rPr>
        <w:t>相关部门批</w:t>
      </w:r>
    </w:p>
    <w:p>
      <w:pPr>
        <w:spacing w:line="219" w:lineRule="auto"/>
        <w:sectPr>
          <w:headerReference w:type="default" r:id="rId37"/>
          <w:footerReference w:type="default" r:id="rId38"/>
          <w:type w:val="nextPage"/>
          <w:pgSz w:w="11905" w:h="16839"/>
          <w:pgMar w:top="1336" w:right="1693" w:bottom="1579" w:left="1699" w:header="1154" w:footer="1314" w:gutter="0"/>
          <w:pgNumType w:start="18"/>
          <w:cols w:space="708"/>
          <w:titlePg w:val="0"/>
        </w:sectPr>
      </w:pPr>
    </w:p>
    <w:p>
      <w:pPr>
        <w:spacing w:line="369" w:lineRule="auto"/>
        <w:rPr>
          <w:rFonts w:ascii="Arial"/>
          <w:sz w:val="21"/>
        </w:rPr>
      </w:pPr>
    </w:p>
    <w:p>
      <w:pPr>
        <w:pStyle w:val="BodyText"/>
        <w:spacing w:before="78" w:line="220" w:lineRule="auto"/>
        <w:ind w:left="112"/>
      </w:pPr>
      <w:r>
        <w:rPr>
          <w:spacing w:val="-1"/>
        </w:rPr>
        <w:t>准后方可开展经营活动，具体经营项目以审批结果</w:t>
      </w:r>
      <w:r>
        <w:rPr>
          <w:spacing w:val="-2"/>
        </w:rPr>
        <w:t>为准）</w:t>
      </w:r>
    </w:p>
    <w:p>
      <w:pPr>
        <w:pStyle w:val="BodyText"/>
        <w:spacing w:before="150" w:line="466" w:lineRule="exact"/>
        <w:ind w:left="597"/>
      </w:pPr>
      <w:r>
        <w:rPr>
          <w:b/>
          <w:bCs/>
          <w:spacing w:val="-4"/>
          <w:position w:val="17"/>
        </w:rPr>
        <w:t>（二）被评估单位概况</w:t>
      </w:r>
    </w:p>
    <w:p>
      <w:pPr>
        <w:pStyle w:val="BodyText"/>
        <w:spacing w:before="1" w:line="218" w:lineRule="auto"/>
        <w:ind w:left="597"/>
      </w:pPr>
      <w:r>
        <w:rPr>
          <w:rFonts w:ascii="Times New Roman" w:eastAsia="Times New Roman" w:hAnsi="Times New Roman" w:cs="Times New Roman"/>
          <w:b/>
          <w:bCs/>
          <w:spacing w:val="-10"/>
        </w:rPr>
        <w:t>1</w:t>
      </w:r>
      <w:r>
        <w:rPr>
          <w:rFonts w:ascii="Times New Roman" w:eastAsia="Times New Roman" w:hAnsi="Times New Roman" w:cs="Times New Roman"/>
          <w:b/>
          <w:bCs/>
          <w:spacing w:val="-25"/>
        </w:rPr>
        <w:t xml:space="preserve"> </w:t>
      </w:r>
      <w:r>
        <w:rPr>
          <w:b/>
          <w:bCs/>
          <w:spacing w:val="-10"/>
        </w:rPr>
        <w:t>．基本情况</w:t>
      </w:r>
    </w:p>
    <w:p>
      <w:pPr>
        <w:pStyle w:val="BodyText"/>
        <w:spacing w:before="311" w:line="393" w:lineRule="auto"/>
        <w:ind w:left="590" w:right="1742" w:firstLine="3"/>
      </w:pPr>
      <w:r>
        <w:rPr>
          <w:spacing w:val="-1"/>
        </w:rPr>
        <w:t>企业名称：凤阳硅谷智能有限公司（以下简称“凤阳硅</w:t>
      </w:r>
      <w:r>
        <w:rPr>
          <w:spacing w:val="-2"/>
        </w:rPr>
        <w:t>谷”）</w:t>
      </w:r>
      <w:r>
        <w:t xml:space="preserve"> </w:t>
      </w:r>
      <w:r>
        <w:t>注册地址：安徽省滁州市凤阳县经济开发区</w:t>
      </w:r>
      <w:r>
        <w:rPr>
          <w:spacing w:val="-1"/>
        </w:rPr>
        <w:t>凤宁现代产业园区</w:t>
      </w:r>
    </w:p>
    <w:p>
      <w:pPr>
        <w:pStyle w:val="BodyText"/>
        <w:spacing w:line="219" w:lineRule="auto"/>
        <w:ind w:left="591"/>
      </w:pPr>
      <w:r>
        <w:rPr>
          <w:spacing w:val="-2"/>
        </w:rPr>
        <w:t>法定代表人：林金锡</w:t>
      </w:r>
    </w:p>
    <w:p>
      <w:pPr>
        <w:pStyle w:val="BodyText"/>
        <w:spacing w:before="229" w:line="508" w:lineRule="exact"/>
        <w:ind w:left="590"/>
      </w:pPr>
      <w:r>
        <w:rPr>
          <w:spacing w:val="-12"/>
          <w:position w:val="20"/>
        </w:rPr>
        <w:t>注册资本：</w:t>
      </w:r>
      <w:r>
        <w:rPr>
          <w:spacing w:val="60"/>
          <w:position w:val="20"/>
        </w:rPr>
        <w:t xml:space="preserve"> </w:t>
      </w:r>
      <w:r>
        <w:rPr>
          <w:rFonts w:ascii="Times New Roman" w:eastAsia="Times New Roman" w:hAnsi="Times New Roman" w:cs="Times New Roman"/>
          <w:spacing w:val="-12"/>
          <w:position w:val="20"/>
        </w:rPr>
        <w:t>10,110.</w:t>
      </w:r>
      <w:r>
        <w:rPr>
          <w:rFonts w:ascii="Times New Roman" w:eastAsia="Times New Roman" w:hAnsi="Times New Roman" w:cs="Times New Roman"/>
          <w:spacing w:val="-30"/>
          <w:position w:val="20"/>
        </w:rPr>
        <w:t xml:space="preserve"> </w:t>
      </w:r>
      <w:r>
        <w:rPr>
          <w:rFonts w:ascii="Times New Roman" w:eastAsia="Times New Roman" w:hAnsi="Times New Roman" w:cs="Times New Roman"/>
          <w:spacing w:val="-12"/>
          <w:position w:val="20"/>
        </w:rPr>
        <w:t>15</w:t>
      </w:r>
      <w:r>
        <w:rPr>
          <w:rFonts w:ascii="Times New Roman" w:eastAsia="Times New Roman" w:hAnsi="Times New Roman" w:cs="Times New Roman"/>
          <w:spacing w:val="14"/>
          <w:position w:val="20"/>
        </w:rPr>
        <w:t xml:space="preserve"> </w:t>
      </w:r>
      <w:r>
        <w:rPr>
          <w:spacing w:val="-12"/>
          <w:position w:val="20"/>
        </w:rPr>
        <w:t>万元人民币</w:t>
      </w:r>
    </w:p>
    <w:p>
      <w:pPr>
        <w:pStyle w:val="BodyText"/>
        <w:spacing w:before="1" w:line="219" w:lineRule="auto"/>
        <w:ind w:left="594"/>
      </w:pPr>
      <w:r>
        <w:rPr>
          <w:spacing w:val="-1"/>
        </w:rPr>
        <w:t>企业类型：其他有限责任公司</w:t>
      </w:r>
    </w:p>
    <w:p>
      <w:pPr>
        <w:pStyle w:val="BodyText"/>
        <w:spacing w:before="224" w:line="220" w:lineRule="auto"/>
        <w:ind w:left="592"/>
      </w:pPr>
      <w:r>
        <w:rPr>
          <w:spacing w:val="-12"/>
        </w:rPr>
        <w:t>成立时间：</w:t>
      </w:r>
      <w:r>
        <w:rPr>
          <w:spacing w:val="33"/>
        </w:rPr>
        <w:t xml:space="preserve"> </w:t>
      </w:r>
      <w:r>
        <w:rPr>
          <w:rFonts w:ascii="Times New Roman" w:eastAsia="Times New Roman" w:hAnsi="Times New Roman" w:cs="Times New Roman"/>
          <w:spacing w:val="-12"/>
        </w:rPr>
        <w:t xml:space="preserve">2017 </w:t>
      </w:r>
      <w:r>
        <w:rPr>
          <w:spacing w:val="-12"/>
        </w:rPr>
        <w:t>年</w:t>
      </w:r>
      <w:r>
        <w:rPr>
          <w:spacing w:val="-34"/>
        </w:rPr>
        <w:t xml:space="preserve"> </w:t>
      </w:r>
      <w:r>
        <w:rPr>
          <w:rFonts w:ascii="Times New Roman" w:eastAsia="Times New Roman" w:hAnsi="Times New Roman" w:cs="Times New Roman"/>
          <w:spacing w:val="-12"/>
        </w:rPr>
        <w:t>10</w:t>
      </w:r>
      <w:r>
        <w:rPr>
          <w:rFonts w:ascii="Times New Roman" w:eastAsia="Times New Roman" w:hAnsi="Times New Roman" w:cs="Times New Roman"/>
          <w:spacing w:val="18"/>
        </w:rPr>
        <w:t xml:space="preserve"> </w:t>
      </w:r>
      <w:r>
        <w:rPr>
          <w:spacing w:val="-12"/>
        </w:rPr>
        <w:t>月</w:t>
      </w:r>
      <w:r>
        <w:rPr>
          <w:spacing w:val="-57"/>
        </w:rPr>
        <w:t xml:space="preserve"> </w:t>
      </w:r>
      <w:r>
        <w:rPr>
          <w:rFonts w:ascii="Times New Roman" w:eastAsia="Times New Roman" w:hAnsi="Times New Roman" w:cs="Times New Roman"/>
          <w:spacing w:val="-12"/>
        </w:rPr>
        <w:t xml:space="preserve">27  </w:t>
      </w:r>
      <w:r>
        <w:rPr>
          <w:spacing w:val="-12"/>
        </w:rPr>
        <w:t>日</w:t>
      </w:r>
    </w:p>
    <w:p>
      <w:pPr>
        <w:pStyle w:val="BodyText"/>
        <w:spacing w:before="223" w:line="219" w:lineRule="auto"/>
        <w:ind w:left="592"/>
      </w:pPr>
      <w:r>
        <w:rPr>
          <w:spacing w:val="-10"/>
        </w:rPr>
        <w:t>经营范围：</w:t>
      </w:r>
      <w:r>
        <w:rPr>
          <w:spacing w:val="30"/>
        </w:rPr>
        <w:t xml:space="preserve"> </w:t>
      </w:r>
      <w:r>
        <w:rPr>
          <w:spacing w:val="-10"/>
        </w:rPr>
        <w:t>光电显示玻璃研发、制造、销售；</w:t>
      </w:r>
      <w:r>
        <w:rPr>
          <w:spacing w:val="61"/>
        </w:rPr>
        <w:t xml:space="preserve"> </w:t>
      </w:r>
      <w:r>
        <w:rPr>
          <w:rFonts w:ascii="Times New Roman" w:eastAsia="Times New Roman" w:hAnsi="Times New Roman" w:cs="Times New Roman"/>
          <w:spacing w:val="-10"/>
        </w:rPr>
        <w:t xml:space="preserve">LCD </w:t>
      </w:r>
      <w:r>
        <w:rPr>
          <w:spacing w:val="-10"/>
        </w:rPr>
        <w:t>及</w:t>
      </w:r>
      <w:r>
        <w:rPr>
          <w:spacing w:val="-49"/>
        </w:rPr>
        <w:t xml:space="preserve"> </w:t>
      </w:r>
      <w:r>
        <w:rPr>
          <w:rFonts w:ascii="Times New Roman" w:eastAsia="Times New Roman" w:hAnsi="Times New Roman" w:cs="Times New Roman"/>
          <w:spacing w:val="-10"/>
        </w:rPr>
        <w:t>OL</w:t>
      </w:r>
      <w:r>
        <w:rPr>
          <w:rFonts w:ascii="Times New Roman" w:eastAsia="Times New Roman" w:hAnsi="Times New Roman" w:cs="Times New Roman"/>
          <w:spacing w:val="-11"/>
        </w:rPr>
        <w:t xml:space="preserve">ED </w:t>
      </w:r>
      <w:r>
        <w:rPr>
          <w:spacing w:val="-11"/>
        </w:rPr>
        <w:t>模组整机设计、</w:t>
      </w:r>
    </w:p>
    <w:p>
      <w:pPr>
        <w:pStyle w:val="BodyText"/>
        <w:spacing w:before="168" w:line="346" w:lineRule="auto"/>
        <w:ind w:left="109" w:firstLine="1"/>
      </w:pPr>
      <w:r>
        <w:rPr>
          <w:spacing w:val="-7"/>
        </w:rPr>
        <w:t>制造、销售；可绕式有机显示器研发、制造及销售；太阳能（光伏、光热）</w:t>
      </w:r>
      <w:r>
        <w:rPr>
          <w:spacing w:val="-20"/>
        </w:rPr>
        <w:t xml:space="preserve"> </w:t>
      </w:r>
      <w:r>
        <w:rPr>
          <w:spacing w:val="-7"/>
        </w:rPr>
        <w:t xml:space="preserve">玻璃的  </w:t>
      </w:r>
      <w:r>
        <w:rPr>
          <w:spacing w:val="-2"/>
        </w:rPr>
        <w:t>研发、生产和销售； 高效太阳能电池及模组的制造和销售；智慧能源（多能互补、</w:t>
      </w:r>
      <w:r>
        <w:rPr>
          <w:spacing w:val="10"/>
        </w:rPr>
        <w:t xml:space="preserve"> </w:t>
      </w:r>
      <w:r>
        <w:rPr>
          <w:spacing w:val="-2"/>
        </w:rPr>
        <w:t>储能）项目的开发和利用； 石英砂、氧化铝、重碱、芒硝、焦锑酸钠、重油销售；</w:t>
      </w:r>
      <w:r>
        <w:rPr>
          <w:spacing w:val="10"/>
        </w:rPr>
        <w:t xml:space="preserve"> </w:t>
      </w:r>
      <w:r>
        <w:rPr>
          <w:spacing w:val="-1"/>
        </w:rPr>
        <w:t>实业投资； 自营进出口贸易。（依法须经批准的项目，经相关部门批准后方可开</w:t>
      </w:r>
    </w:p>
    <w:p>
      <w:pPr>
        <w:pStyle w:val="BodyText"/>
        <w:spacing w:line="220" w:lineRule="auto"/>
        <w:ind w:left="112"/>
      </w:pPr>
      <w:r>
        <w:rPr>
          <w:spacing w:val="-2"/>
        </w:rPr>
        <w:t>展经营活动）</w:t>
      </w:r>
    </w:p>
    <w:p>
      <w:pPr>
        <w:pStyle w:val="BodyText"/>
        <w:spacing w:before="222" w:line="220" w:lineRule="auto"/>
        <w:ind w:left="587"/>
      </w:pPr>
      <w:r>
        <w:rPr>
          <w:rFonts w:ascii="Times New Roman" w:eastAsia="Times New Roman" w:hAnsi="Times New Roman" w:cs="Times New Roman"/>
          <w:b/>
          <w:bCs/>
          <w:spacing w:val="-10"/>
        </w:rPr>
        <w:t>2</w:t>
      </w:r>
      <w:r>
        <w:rPr>
          <w:rFonts w:ascii="Times New Roman" w:eastAsia="Times New Roman" w:hAnsi="Times New Roman" w:cs="Times New Roman"/>
          <w:b/>
          <w:bCs/>
          <w:spacing w:val="-24"/>
        </w:rPr>
        <w:t xml:space="preserve"> </w:t>
      </w:r>
      <w:r>
        <w:rPr>
          <w:b/>
          <w:bCs/>
          <w:spacing w:val="-10"/>
        </w:rPr>
        <w:t>．公司股东及持股比例、</w:t>
      </w:r>
      <w:r>
        <w:rPr>
          <w:spacing w:val="-10"/>
        </w:rPr>
        <w:t xml:space="preserve"> </w:t>
      </w:r>
      <w:r>
        <w:rPr>
          <w:b/>
          <w:bCs/>
          <w:spacing w:val="-10"/>
        </w:rPr>
        <w:t>股权变更情况</w:t>
      </w:r>
    </w:p>
    <w:p>
      <w:pPr>
        <w:pStyle w:val="BodyText"/>
        <w:spacing w:before="228" w:line="221" w:lineRule="auto"/>
        <w:ind w:left="597"/>
      </w:pPr>
      <w:r>
        <w:rPr>
          <w:spacing w:val="-4"/>
        </w:rPr>
        <w:t>（</w:t>
      </w:r>
      <w:r>
        <w:rPr>
          <w:rFonts w:ascii="Times New Roman" w:eastAsia="Times New Roman" w:hAnsi="Times New Roman" w:cs="Times New Roman"/>
          <w:spacing w:val="-4"/>
        </w:rPr>
        <w:t>1</w:t>
      </w:r>
      <w:r>
        <w:rPr>
          <w:spacing w:val="-4"/>
        </w:rPr>
        <w:t>）初始设立</w:t>
      </w:r>
    </w:p>
    <w:p>
      <w:pPr>
        <w:pStyle w:val="BodyText"/>
        <w:spacing w:before="222" w:line="451" w:lineRule="exact"/>
        <w:ind w:left="591"/>
      </w:pPr>
      <w:r>
        <w:rPr>
          <w:spacing w:val="-2"/>
          <w:position w:val="15"/>
        </w:rPr>
        <w:t>凤阳硅谷成立于</w:t>
      </w:r>
      <w:r>
        <w:rPr>
          <w:spacing w:val="-49"/>
          <w:position w:val="15"/>
        </w:rPr>
        <w:t xml:space="preserve"> </w:t>
      </w:r>
      <w:r>
        <w:rPr>
          <w:rFonts w:ascii="Times New Roman" w:eastAsia="Times New Roman" w:hAnsi="Times New Roman" w:cs="Times New Roman"/>
          <w:spacing w:val="-2"/>
          <w:position w:val="15"/>
        </w:rPr>
        <w:t xml:space="preserve">2017 </w:t>
      </w:r>
      <w:r>
        <w:rPr>
          <w:spacing w:val="-2"/>
          <w:position w:val="15"/>
        </w:rPr>
        <w:t>年</w:t>
      </w:r>
      <w:r>
        <w:rPr>
          <w:spacing w:val="-34"/>
          <w:position w:val="15"/>
        </w:rPr>
        <w:t xml:space="preserve"> </w:t>
      </w:r>
      <w:r>
        <w:rPr>
          <w:rFonts w:ascii="Times New Roman" w:eastAsia="Times New Roman" w:hAnsi="Times New Roman" w:cs="Times New Roman"/>
          <w:spacing w:val="-2"/>
          <w:position w:val="15"/>
        </w:rPr>
        <w:t xml:space="preserve">10 </w:t>
      </w:r>
      <w:r>
        <w:rPr>
          <w:spacing w:val="-2"/>
          <w:position w:val="15"/>
        </w:rPr>
        <w:t>月，注册资本为</w:t>
      </w:r>
      <w:r>
        <w:rPr>
          <w:spacing w:val="-34"/>
          <w:position w:val="15"/>
        </w:rPr>
        <w:t xml:space="preserve"> </w:t>
      </w:r>
      <w:r>
        <w:rPr>
          <w:rFonts w:ascii="Times New Roman" w:eastAsia="Times New Roman" w:hAnsi="Times New Roman" w:cs="Times New Roman"/>
          <w:spacing w:val="-2"/>
          <w:position w:val="15"/>
        </w:rPr>
        <w:t xml:space="preserve">10,000.00 </w:t>
      </w:r>
      <w:r>
        <w:rPr>
          <w:spacing w:val="-2"/>
          <w:position w:val="15"/>
        </w:rPr>
        <w:t>万元，全部由常州市亚</w:t>
      </w:r>
    </w:p>
    <w:p>
      <w:pPr>
        <w:pStyle w:val="BodyText"/>
        <w:spacing w:before="1" w:line="218" w:lineRule="auto"/>
        <w:ind w:left="112"/>
      </w:pPr>
      <w:r>
        <w:rPr>
          <w:spacing w:val="-1"/>
        </w:rPr>
        <w:t>玛顿科技有限公司认缴出资。设立时，凤阳硅谷股权结构如下表所示：</w:t>
      </w:r>
    </w:p>
    <w:p>
      <w:pPr>
        <w:pStyle w:val="BodyText"/>
        <w:spacing w:before="149"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5"/>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3683"/>
        <w:gridCol w:w="2075"/>
        <w:gridCol w:w="2074"/>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64" w:type="dxa"/>
            <w:tcBorders>
              <w:left w:val="nil"/>
            </w:tcBorders>
            <w:vAlign w:val="top"/>
          </w:tcPr>
          <w:p>
            <w:pPr>
              <w:spacing w:before="101" w:line="222" w:lineRule="auto"/>
              <w:ind w:left="237"/>
              <w:rPr>
                <w:rFonts w:ascii="SimSun" w:eastAsia="SimSun" w:hAnsi="SimSun" w:cs="SimSun"/>
                <w:sz w:val="21"/>
                <w:szCs w:val="21"/>
              </w:rPr>
            </w:pPr>
            <w:r>
              <w:rPr>
                <w:rFonts w:ascii="SimSun" w:eastAsia="SimSun" w:hAnsi="SimSun" w:cs="SimSun"/>
                <w:b/>
                <w:bCs/>
                <w:spacing w:val="-4"/>
                <w:sz w:val="21"/>
                <w:szCs w:val="21"/>
              </w:rPr>
              <w:t>序号</w:t>
            </w:r>
          </w:p>
        </w:tc>
        <w:tc>
          <w:tcPr>
            <w:tcW w:w="3683" w:type="dxa"/>
            <w:vAlign w:val="top"/>
          </w:tcPr>
          <w:p>
            <w:pPr>
              <w:spacing w:before="101" w:line="221" w:lineRule="auto"/>
              <w:ind w:left="1422"/>
              <w:rPr>
                <w:rFonts w:ascii="SimSun" w:eastAsia="SimSun" w:hAnsi="SimSun" w:cs="SimSun"/>
                <w:sz w:val="21"/>
                <w:szCs w:val="21"/>
              </w:rPr>
            </w:pPr>
            <w:r>
              <w:rPr>
                <w:rFonts w:ascii="SimSun" w:eastAsia="SimSun" w:hAnsi="SimSun" w:cs="SimSun"/>
                <w:b/>
                <w:bCs/>
                <w:spacing w:val="-3"/>
                <w:sz w:val="21"/>
                <w:szCs w:val="21"/>
              </w:rPr>
              <w:t>股东名称</w:t>
            </w:r>
          </w:p>
        </w:tc>
        <w:tc>
          <w:tcPr>
            <w:tcW w:w="2075" w:type="dxa"/>
            <w:vAlign w:val="top"/>
          </w:tcPr>
          <w:p>
            <w:pPr>
              <w:spacing w:before="101" w:line="221" w:lineRule="auto"/>
              <w:ind w:left="515"/>
              <w:rPr>
                <w:rFonts w:ascii="SimSun" w:eastAsia="SimSun" w:hAnsi="SimSun" w:cs="SimSun"/>
                <w:sz w:val="21"/>
                <w:szCs w:val="21"/>
              </w:rPr>
            </w:pPr>
            <w:r>
              <w:rPr>
                <w:rFonts w:ascii="SimSun" w:eastAsia="SimSun" w:hAnsi="SimSun" w:cs="SimSun"/>
                <w:b/>
                <w:bCs/>
                <w:spacing w:val="-3"/>
                <w:sz w:val="21"/>
                <w:szCs w:val="21"/>
              </w:rPr>
              <w:t>认缴出资额</w:t>
            </w:r>
          </w:p>
        </w:tc>
        <w:tc>
          <w:tcPr>
            <w:tcW w:w="2074" w:type="dxa"/>
            <w:tcBorders>
              <w:right w:val="nil"/>
            </w:tcBorders>
            <w:vAlign w:val="top"/>
          </w:tcPr>
          <w:p>
            <w:pPr>
              <w:spacing w:before="101" w:line="221" w:lineRule="auto"/>
              <w:ind w:left="622"/>
              <w:rPr>
                <w:rFonts w:ascii="SimSun" w:eastAsia="SimSun" w:hAnsi="SimSun" w:cs="SimSun"/>
                <w:sz w:val="21"/>
                <w:szCs w:val="21"/>
              </w:rPr>
            </w:pPr>
            <w:r>
              <w:rPr>
                <w:rFonts w:ascii="SimSun" w:eastAsia="SimSun" w:hAnsi="SimSun" w:cs="SimSun"/>
                <w:b/>
                <w:bCs/>
                <w:spacing w:val="-4"/>
                <w:sz w:val="21"/>
                <w:szCs w:val="21"/>
              </w:rPr>
              <w:t>持股比例</w:t>
            </w:r>
          </w:p>
        </w:tc>
      </w:tr>
      <w:tr>
        <w:tblPrEx>
          <w:tblW w:w="8696" w:type="dxa"/>
          <w:tblInd w:w="0" w:type="dxa"/>
          <w:tblLayout w:type="fixed"/>
        </w:tblPrEx>
        <w:trPr>
          <w:trHeight w:val="382"/>
        </w:trPr>
        <w:tc>
          <w:tcPr>
            <w:tcW w:w="864" w:type="dxa"/>
            <w:tcBorders>
              <w:left w:val="nil"/>
            </w:tcBorders>
            <w:vAlign w:val="top"/>
          </w:tcPr>
          <w:p>
            <w:pPr>
              <w:spacing w:before="113"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83" w:type="dxa"/>
            <w:vAlign w:val="top"/>
          </w:tcPr>
          <w:p>
            <w:pPr>
              <w:spacing w:before="79" w:line="220" w:lineRule="auto"/>
              <w:ind w:left="116"/>
              <w:rPr>
                <w:rFonts w:ascii="SimSun" w:eastAsia="SimSun" w:hAnsi="SimSun" w:cs="SimSun"/>
                <w:sz w:val="21"/>
                <w:szCs w:val="21"/>
              </w:rPr>
            </w:pPr>
            <w:r>
              <w:rPr>
                <w:rFonts w:ascii="SimSun" w:eastAsia="SimSun" w:hAnsi="SimSun" w:cs="SimSun"/>
                <w:spacing w:val="-1"/>
                <w:sz w:val="21"/>
                <w:szCs w:val="21"/>
              </w:rPr>
              <w:t>常州市亚玛顿科技有限公司</w:t>
            </w:r>
          </w:p>
        </w:tc>
        <w:tc>
          <w:tcPr>
            <w:tcW w:w="2075" w:type="dxa"/>
            <w:vAlign w:val="top"/>
          </w:tcPr>
          <w:p>
            <w:pPr>
              <w:spacing w:before="109" w:line="201" w:lineRule="auto"/>
              <w:ind w:left="115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10,000.00</w:t>
            </w:r>
          </w:p>
        </w:tc>
        <w:tc>
          <w:tcPr>
            <w:tcW w:w="2074" w:type="dxa"/>
            <w:tcBorders>
              <w:right w:val="nil"/>
            </w:tcBorders>
            <w:vAlign w:val="top"/>
          </w:tcPr>
          <w:p>
            <w:pPr>
              <w:spacing w:before="113" w:line="187" w:lineRule="auto"/>
              <w:ind w:left="12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100.00%</w:t>
            </w:r>
          </w:p>
        </w:tc>
      </w:tr>
      <w:tr>
        <w:tblPrEx>
          <w:tblW w:w="8696" w:type="dxa"/>
          <w:tblInd w:w="0" w:type="dxa"/>
          <w:tblLayout w:type="fixed"/>
        </w:tblPrEx>
        <w:trPr>
          <w:trHeight w:val="406"/>
        </w:trPr>
        <w:tc>
          <w:tcPr>
            <w:tcW w:w="4547" w:type="dxa"/>
            <w:gridSpan w:val="2"/>
            <w:tcBorders>
              <w:left w:val="nil"/>
            </w:tcBorders>
            <w:vAlign w:val="top"/>
          </w:tcPr>
          <w:p>
            <w:pPr>
              <w:spacing w:before="81" w:line="222" w:lineRule="auto"/>
              <w:ind w:left="2078"/>
              <w:rPr>
                <w:rFonts w:ascii="SimSun" w:eastAsia="SimSun" w:hAnsi="SimSun" w:cs="SimSun"/>
                <w:sz w:val="21"/>
                <w:szCs w:val="21"/>
              </w:rPr>
            </w:pPr>
            <w:r>
              <w:rPr>
                <w:rFonts w:ascii="SimSun" w:eastAsia="SimSun" w:hAnsi="SimSun" w:cs="SimSun"/>
                <w:b/>
                <w:bCs/>
                <w:spacing w:val="-4"/>
                <w:sz w:val="21"/>
                <w:szCs w:val="21"/>
              </w:rPr>
              <w:t>合计</w:t>
            </w:r>
          </w:p>
        </w:tc>
        <w:tc>
          <w:tcPr>
            <w:tcW w:w="2075" w:type="dxa"/>
            <w:vAlign w:val="top"/>
          </w:tcPr>
          <w:p>
            <w:pPr>
              <w:spacing w:before="119" w:line="196" w:lineRule="auto"/>
              <w:ind w:left="114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10,000.00</w:t>
            </w:r>
          </w:p>
        </w:tc>
        <w:tc>
          <w:tcPr>
            <w:tcW w:w="2074" w:type="dxa"/>
            <w:tcBorders>
              <w:right w:val="nil"/>
            </w:tcBorders>
            <w:vAlign w:val="top"/>
          </w:tcPr>
          <w:p>
            <w:pPr>
              <w:spacing w:before="119" w:line="227" w:lineRule="auto"/>
              <w:ind w:left="119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sectPr>
          <w:headerReference w:type="default" r:id="rId39"/>
          <w:footerReference w:type="default" r:id="rId40"/>
          <w:pgSz w:w="11905" w:h="16839"/>
          <w:pgMar w:top="1336" w:right="1498" w:bottom="1579" w:left="1598" w:header="1154" w:footer="1314" w:gutter="0"/>
          <w:pgNumType w:start="19"/>
          <w:cols w:space="708"/>
        </w:sectPr>
      </w:pPr>
      <w:r>
        <w:rPr>
          <w:spacing w:val="-2"/>
        </w:rPr>
        <w:t>（</w:t>
      </w:r>
      <w:r>
        <w:rPr>
          <w:rFonts w:ascii="Times New Roman" w:eastAsia="Times New Roman" w:hAnsi="Times New Roman" w:cs="Times New Roman"/>
          <w:spacing w:val="-2"/>
        </w:rPr>
        <w:t>2</w:t>
      </w:r>
      <w:r>
        <w:rPr>
          <w:spacing w:val="-2"/>
        </w:rPr>
        <w:t>）第一次股权转让</w:t>
      </w:r>
    </w:p>
    <w:p>
      <w:pPr>
        <w:pStyle w:val="BodyText"/>
        <w:spacing w:before="228" w:line="346" w:lineRule="auto"/>
        <w:ind w:left="110" w:right="196" w:firstLine="476"/>
      </w:pPr>
      <w:r>
        <w:rPr>
          <w:rFonts w:ascii="Times New Roman" w:eastAsia="Times New Roman" w:hAnsi="Times New Roman" w:cs="Times New Roman"/>
          <w:spacing w:val="-2"/>
        </w:rPr>
        <w:t>2020</w:t>
      </w:r>
      <w:r>
        <w:rPr>
          <w:rFonts w:ascii="Times New Roman" w:eastAsia="Times New Roman" w:hAnsi="Times New Roman" w:cs="Times New Roman"/>
          <w:spacing w:val="30"/>
        </w:rPr>
        <w:t xml:space="preserve"> </w:t>
      </w:r>
      <w:r>
        <w:rPr>
          <w:spacing w:val="-2"/>
        </w:rPr>
        <w:t>年</w:t>
      </w:r>
      <w:r>
        <w:rPr>
          <w:spacing w:val="-42"/>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22"/>
          <w:w w:val="101"/>
        </w:rPr>
        <w:t xml:space="preserve"> </w:t>
      </w:r>
      <w:r>
        <w:rPr>
          <w:spacing w:val="-2"/>
        </w:rPr>
        <w:t>月，常州市亚玛顿科技有限公司将其持有的</w:t>
      </w:r>
      <w:r>
        <w:rPr>
          <w:spacing w:val="-37"/>
        </w:rPr>
        <w:t xml:space="preserve"> </w:t>
      </w:r>
      <w:r>
        <w:rPr>
          <w:rFonts w:ascii="Times New Roman" w:eastAsia="Times New Roman" w:hAnsi="Times New Roman" w:cs="Times New Roman"/>
          <w:spacing w:val="-2"/>
        </w:rPr>
        <w:t>85%</w:t>
      </w:r>
      <w:r>
        <w:rPr>
          <w:spacing w:val="-2"/>
        </w:rPr>
        <w:t>股权按照账面净资</w:t>
      </w:r>
      <w:r>
        <w:t xml:space="preserve"> </w:t>
      </w:r>
      <w:r>
        <w:rPr>
          <w:spacing w:val="-2"/>
        </w:rPr>
        <w:t xml:space="preserve">产折算对价 </w:t>
      </w:r>
      <w:r>
        <w:rPr>
          <w:rFonts w:ascii="Times New Roman" w:eastAsia="Times New Roman" w:hAnsi="Times New Roman" w:cs="Times New Roman"/>
          <w:spacing w:val="-2"/>
        </w:rPr>
        <w:t xml:space="preserve">5,015.00  </w:t>
      </w:r>
      <w:r>
        <w:rPr>
          <w:spacing w:val="-2"/>
        </w:rPr>
        <w:t>万元转让给</w:t>
      </w:r>
      <w:r>
        <w:rPr>
          <w:spacing w:val="-3"/>
        </w:rPr>
        <w:t xml:space="preserve">寿光灵达信息技术咨询有限公司， </w:t>
      </w:r>
      <w:r>
        <w:rPr>
          <w:rFonts w:ascii="Times New Roman" w:eastAsia="Times New Roman" w:hAnsi="Times New Roman" w:cs="Times New Roman"/>
          <w:spacing w:val="-3"/>
        </w:rPr>
        <w:t>15%</w:t>
      </w:r>
      <w:r>
        <w:rPr>
          <w:spacing w:val="-3"/>
        </w:rPr>
        <w:t>股权按照</w:t>
      </w:r>
      <w:r>
        <w:t xml:space="preserve"> </w:t>
      </w:r>
      <w:r>
        <w:rPr>
          <w:spacing w:val="-7"/>
        </w:rPr>
        <w:t>账面净资产折算对价</w:t>
      </w:r>
      <w:r>
        <w:rPr>
          <w:spacing w:val="-38"/>
        </w:rPr>
        <w:t xml:space="preserve"> </w:t>
      </w:r>
      <w:r>
        <w:rPr>
          <w:rFonts w:ascii="Times New Roman" w:eastAsia="Times New Roman" w:hAnsi="Times New Roman" w:cs="Times New Roman"/>
          <w:spacing w:val="-7"/>
        </w:rPr>
        <w:t>885.00</w:t>
      </w:r>
      <w:r>
        <w:rPr>
          <w:rFonts w:ascii="Times New Roman" w:eastAsia="Times New Roman" w:hAnsi="Times New Roman" w:cs="Times New Roman"/>
          <w:spacing w:val="14"/>
        </w:rPr>
        <w:t xml:space="preserve"> </w:t>
      </w:r>
      <w:r>
        <w:rPr>
          <w:spacing w:val="-7"/>
        </w:rPr>
        <w:t>万元转让给寿光达领企业管理咨询中心（有限合伙）。</w:t>
      </w:r>
    </w:p>
    <w:p>
      <w:pPr>
        <w:pStyle w:val="BodyText"/>
        <w:spacing w:before="1" w:line="218" w:lineRule="auto"/>
        <w:ind w:left="111"/>
      </w:pPr>
      <w:r>
        <w:rPr>
          <w:spacing w:val="-1"/>
        </w:rPr>
        <w:t>本次股权转让后，凤阳硅谷股权结构如下表所示：</w:t>
      </w:r>
    </w:p>
    <w:p>
      <w:pPr>
        <w:spacing w:line="218" w:lineRule="auto"/>
        <w:sectPr>
          <w:headerReference w:type="default" r:id="rId41"/>
          <w:footerReference w:type="default" r:id="rId42"/>
          <w:type w:val="nextPage"/>
          <w:pgSz w:w="11905" w:h="16839"/>
          <w:pgMar w:top="1336" w:right="1498" w:bottom="1579" w:left="1598" w:header="1154" w:footer="1314" w:gutter="0"/>
          <w:pgNumType w:start="20"/>
          <w:cols w:space="708"/>
          <w:titlePg w:val="0"/>
        </w:sectPr>
      </w:pPr>
    </w:p>
    <w:p>
      <w:pPr>
        <w:spacing w:line="303" w:lineRule="auto"/>
        <w:rPr>
          <w:rFonts w:ascii="Arial"/>
          <w:sz w:val="21"/>
        </w:rPr>
      </w:pPr>
    </w:p>
    <w:p>
      <w:pPr>
        <w:pStyle w:val="BodyText"/>
        <w:spacing w:before="68"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6"/>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4043"/>
        <w:gridCol w:w="1715"/>
        <w:gridCol w:w="2074"/>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64" w:type="dxa"/>
            <w:tcBorders>
              <w:left w:val="nil"/>
            </w:tcBorders>
            <w:vAlign w:val="top"/>
          </w:tcPr>
          <w:p>
            <w:pPr>
              <w:spacing w:before="101" w:line="222" w:lineRule="auto"/>
              <w:ind w:left="237"/>
              <w:rPr>
                <w:rFonts w:ascii="SimSun" w:eastAsia="SimSun" w:hAnsi="SimSun" w:cs="SimSun"/>
                <w:sz w:val="21"/>
                <w:szCs w:val="21"/>
              </w:rPr>
            </w:pPr>
            <w:r>
              <w:rPr>
                <w:rFonts w:ascii="SimSun" w:eastAsia="SimSun" w:hAnsi="SimSun" w:cs="SimSun"/>
                <w:b/>
                <w:bCs/>
                <w:spacing w:val="-4"/>
                <w:sz w:val="21"/>
                <w:szCs w:val="21"/>
              </w:rPr>
              <w:t>序号</w:t>
            </w:r>
          </w:p>
        </w:tc>
        <w:tc>
          <w:tcPr>
            <w:tcW w:w="4043" w:type="dxa"/>
            <w:vAlign w:val="top"/>
          </w:tcPr>
          <w:p>
            <w:pPr>
              <w:spacing w:before="101" w:line="221" w:lineRule="auto"/>
              <w:ind w:left="1605"/>
              <w:rPr>
                <w:rFonts w:ascii="SimSun" w:eastAsia="SimSun" w:hAnsi="SimSun" w:cs="SimSun"/>
                <w:sz w:val="21"/>
                <w:szCs w:val="21"/>
              </w:rPr>
            </w:pPr>
            <w:r>
              <w:rPr>
                <w:rFonts w:ascii="SimSun" w:eastAsia="SimSun" w:hAnsi="SimSun" w:cs="SimSun"/>
                <w:b/>
                <w:bCs/>
                <w:spacing w:val="-3"/>
                <w:sz w:val="21"/>
                <w:szCs w:val="21"/>
              </w:rPr>
              <w:t>股东名称</w:t>
            </w:r>
          </w:p>
        </w:tc>
        <w:tc>
          <w:tcPr>
            <w:tcW w:w="1715" w:type="dxa"/>
            <w:vAlign w:val="top"/>
          </w:tcPr>
          <w:p>
            <w:pPr>
              <w:spacing w:before="101" w:line="221" w:lineRule="auto"/>
              <w:ind w:left="337"/>
              <w:rPr>
                <w:rFonts w:ascii="SimSun" w:eastAsia="SimSun" w:hAnsi="SimSun" w:cs="SimSun"/>
                <w:sz w:val="21"/>
                <w:szCs w:val="21"/>
              </w:rPr>
            </w:pPr>
            <w:r>
              <w:rPr>
                <w:rFonts w:ascii="SimSun" w:eastAsia="SimSun" w:hAnsi="SimSun" w:cs="SimSun"/>
                <w:b/>
                <w:bCs/>
                <w:spacing w:val="-3"/>
                <w:sz w:val="21"/>
                <w:szCs w:val="21"/>
              </w:rPr>
              <w:t>认缴出资额</w:t>
            </w:r>
          </w:p>
        </w:tc>
        <w:tc>
          <w:tcPr>
            <w:tcW w:w="2074" w:type="dxa"/>
            <w:tcBorders>
              <w:right w:val="nil"/>
            </w:tcBorders>
            <w:vAlign w:val="top"/>
          </w:tcPr>
          <w:p>
            <w:pPr>
              <w:spacing w:before="101" w:line="221" w:lineRule="auto"/>
              <w:ind w:left="622"/>
              <w:rPr>
                <w:rFonts w:ascii="SimSun" w:eastAsia="SimSun" w:hAnsi="SimSun" w:cs="SimSun"/>
                <w:sz w:val="21"/>
                <w:szCs w:val="21"/>
              </w:rPr>
            </w:pPr>
            <w:r>
              <w:rPr>
                <w:rFonts w:ascii="SimSun" w:eastAsia="SimSun" w:hAnsi="SimSun" w:cs="SimSun"/>
                <w:b/>
                <w:bCs/>
                <w:spacing w:val="-4"/>
                <w:sz w:val="21"/>
                <w:szCs w:val="21"/>
              </w:rPr>
              <w:t>持股比例</w:t>
            </w:r>
          </w:p>
        </w:tc>
      </w:tr>
      <w:tr>
        <w:tblPrEx>
          <w:tblW w:w="8696" w:type="dxa"/>
          <w:tblInd w:w="0" w:type="dxa"/>
          <w:tblLayout w:type="fixed"/>
        </w:tblPrEx>
        <w:trPr>
          <w:trHeight w:val="382"/>
        </w:trPr>
        <w:tc>
          <w:tcPr>
            <w:tcW w:w="864" w:type="dxa"/>
            <w:tcBorders>
              <w:left w:val="nil"/>
            </w:tcBorders>
            <w:vAlign w:val="top"/>
          </w:tcPr>
          <w:p>
            <w:pPr>
              <w:spacing w:before="112"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043" w:type="dxa"/>
            <w:vAlign w:val="top"/>
          </w:tcPr>
          <w:p>
            <w:pPr>
              <w:spacing w:before="78" w:line="221" w:lineRule="auto"/>
              <w:ind w:left="117"/>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715" w:type="dxa"/>
            <w:vAlign w:val="top"/>
          </w:tcPr>
          <w:p>
            <w:pPr>
              <w:spacing w:before="109" w:line="201" w:lineRule="auto"/>
              <w:ind w:left="8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2074" w:type="dxa"/>
            <w:tcBorders>
              <w:right w:val="nil"/>
            </w:tcBorders>
            <w:vAlign w:val="top"/>
          </w:tcPr>
          <w:p>
            <w:pPr>
              <w:spacing w:before="112" w:line="187" w:lineRule="auto"/>
              <w:ind w:left="13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w:t>
            </w:r>
          </w:p>
        </w:tc>
      </w:tr>
      <w:tr>
        <w:tblPrEx>
          <w:tblW w:w="8696" w:type="dxa"/>
          <w:tblInd w:w="0" w:type="dxa"/>
          <w:tblLayout w:type="fixed"/>
        </w:tblPrEx>
        <w:trPr>
          <w:trHeight w:val="378"/>
        </w:trPr>
        <w:tc>
          <w:tcPr>
            <w:tcW w:w="864" w:type="dxa"/>
            <w:tcBorders>
              <w:left w:val="nil"/>
            </w:tcBorders>
            <w:vAlign w:val="top"/>
          </w:tcPr>
          <w:p>
            <w:pPr>
              <w:spacing w:before="114"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043" w:type="dxa"/>
            <w:vAlign w:val="top"/>
          </w:tcPr>
          <w:p>
            <w:pPr>
              <w:spacing w:before="80" w:line="221" w:lineRule="auto"/>
              <w:ind w:left="117"/>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715" w:type="dxa"/>
            <w:vAlign w:val="top"/>
          </w:tcPr>
          <w:p>
            <w:pPr>
              <w:spacing w:before="111" w:line="201" w:lineRule="auto"/>
              <w:ind w:left="8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1,500.00</w:t>
            </w:r>
          </w:p>
        </w:tc>
        <w:tc>
          <w:tcPr>
            <w:tcW w:w="2074" w:type="dxa"/>
            <w:tcBorders>
              <w:right w:val="nil"/>
            </w:tcBorders>
            <w:vAlign w:val="top"/>
          </w:tcPr>
          <w:p>
            <w:pPr>
              <w:spacing w:before="114" w:line="187" w:lineRule="auto"/>
              <w:ind w:left="134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15.00%</w:t>
            </w:r>
          </w:p>
        </w:tc>
      </w:tr>
      <w:tr>
        <w:tblPrEx>
          <w:tblW w:w="8696" w:type="dxa"/>
          <w:tblInd w:w="0" w:type="dxa"/>
          <w:tblLayout w:type="fixed"/>
        </w:tblPrEx>
        <w:trPr>
          <w:trHeight w:val="411"/>
        </w:trPr>
        <w:tc>
          <w:tcPr>
            <w:tcW w:w="4907" w:type="dxa"/>
            <w:gridSpan w:val="2"/>
            <w:tcBorders>
              <w:left w:val="nil"/>
            </w:tcBorders>
            <w:vAlign w:val="top"/>
          </w:tcPr>
          <w:p>
            <w:pPr>
              <w:spacing w:before="86" w:line="222" w:lineRule="auto"/>
              <w:ind w:left="2261"/>
              <w:rPr>
                <w:rFonts w:ascii="SimSun" w:eastAsia="SimSun" w:hAnsi="SimSun" w:cs="SimSun"/>
                <w:sz w:val="21"/>
                <w:szCs w:val="21"/>
              </w:rPr>
            </w:pPr>
            <w:r>
              <w:pict>
                <v:shape id="_x0000_s1025" style="width:245.15pt;height:0.5pt;margin-top:19.4pt;margin-left:-245.22pt;mso-position-horizontal-relative:right-margin-area;mso-position-vertical-relative:top-margin-area;position:absolute;z-index:251659264" coordorigin="0,0" coordsize="4902,10" path="m,9l4902,9l4902,l,l,9xe" filled="t" fillcolor="black" stroked="f"/>
              </w:pict>
            </w:r>
            <w:r>
              <w:rPr>
                <w:rFonts w:ascii="SimSun" w:eastAsia="SimSun" w:hAnsi="SimSun" w:cs="SimSun"/>
                <w:b/>
                <w:bCs/>
                <w:spacing w:val="-4"/>
                <w:sz w:val="21"/>
                <w:szCs w:val="21"/>
              </w:rPr>
              <w:t>合计</w:t>
            </w:r>
          </w:p>
        </w:tc>
        <w:tc>
          <w:tcPr>
            <w:tcW w:w="1715" w:type="dxa"/>
            <w:vAlign w:val="top"/>
          </w:tcPr>
          <w:p>
            <w:pPr>
              <w:spacing w:before="125" w:line="196" w:lineRule="auto"/>
              <w:ind w:left="780"/>
              <w:rPr>
                <w:rFonts w:ascii="Times New Roman" w:eastAsia="Times New Roman" w:hAnsi="Times New Roman" w:cs="Times New Roman"/>
                <w:sz w:val="21"/>
                <w:szCs w:val="21"/>
              </w:rPr>
            </w:pPr>
            <w:r>
              <w:pict>
                <v:shape id="_x0000_s1026" style="width:84.3pt;height:0.5pt;margin-top:19.4pt;margin-left:-84.4pt;mso-position-horizontal-relative:right-margin-area;mso-position-vertical-relative:top-margin-area;position:absolute;z-index:251661312" coordorigin="0,0" coordsize="1686,10" path="m,9l1685,9l1685,l,l,9xe" filled="t" fillcolor="black" stroked="f"/>
              </w:pict>
            </w:r>
            <w:r>
              <w:rPr>
                <w:rFonts w:ascii="Times New Roman" w:eastAsia="Times New Roman" w:hAnsi="Times New Roman" w:cs="Times New Roman"/>
                <w:b/>
                <w:bCs/>
                <w:spacing w:val="-2"/>
                <w:sz w:val="21"/>
                <w:szCs w:val="21"/>
              </w:rPr>
              <w:t>10,000.00</w:t>
            </w:r>
          </w:p>
        </w:tc>
        <w:tc>
          <w:tcPr>
            <w:tcW w:w="2074" w:type="dxa"/>
            <w:tcBorders>
              <w:right w:val="nil"/>
            </w:tcBorders>
            <w:vAlign w:val="top"/>
          </w:tcPr>
          <w:p>
            <w:pPr>
              <w:spacing w:before="124" w:line="227" w:lineRule="auto"/>
              <w:ind w:left="1192"/>
              <w:rPr>
                <w:rFonts w:ascii="Times New Roman" w:eastAsia="Times New Roman" w:hAnsi="Times New Roman" w:cs="Times New Roman"/>
                <w:sz w:val="21"/>
                <w:szCs w:val="21"/>
              </w:rPr>
            </w:pPr>
            <w:r>
              <w:pict>
                <v:shape id="_x0000_s1027" style="width:102.5pt;height:0.5pt;margin-top:19.4pt;margin-left:-102.49pt;mso-position-horizontal-relative:right-margin-area;mso-position-vertical-relative:top-margin-area;position:absolute;z-index:251660288" coordorigin="0,0" coordsize="2050,10" path="m,9l2050,9l2050,l,l,9xe" filled="t" fillcolor="black" stroked="f"/>
              </w:pict>
            </w:r>
            <w:r>
              <w:rPr>
                <w:rFonts w:ascii="Times New Roman" w:eastAsia="Times New Roman" w:hAnsi="Times New Roman" w:cs="Times New Roman"/>
                <w:b/>
                <w:bCs/>
                <w:spacing w:val="-2"/>
                <w:sz w:val="21"/>
                <w:szCs w:val="21"/>
              </w:rPr>
              <w:t>100.00%</w:t>
            </w:r>
          </w:p>
        </w:tc>
      </w:tr>
    </w:tbl>
    <w:p>
      <w:pPr>
        <w:pStyle w:val="BodyText"/>
        <w:spacing w:before="162" w:line="220" w:lineRule="auto"/>
        <w:ind w:left="597"/>
      </w:pPr>
      <w:r>
        <w:rPr>
          <w:spacing w:val="-2"/>
        </w:rPr>
        <w:t>（</w:t>
      </w:r>
      <w:r>
        <w:rPr>
          <w:rFonts w:ascii="Times New Roman" w:eastAsia="Times New Roman" w:hAnsi="Times New Roman" w:cs="Times New Roman"/>
          <w:spacing w:val="-2"/>
        </w:rPr>
        <w:t>3</w:t>
      </w:r>
      <w:r>
        <w:rPr>
          <w:spacing w:val="-2"/>
        </w:rPr>
        <w:t>）第一次增资</w:t>
      </w:r>
    </w:p>
    <w:p>
      <w:pPr>
        <w:pStyle w:val="BodyText"/>
        <w:spacing w:before="225" w:line="346" w:lineRule="auto"/>
        <w:ind w:left="108" w:right="197" w:firstLine="478"/>
        <w:jc w:val="both"/>
      </w:pPr>
      <w:r>
        <w:rPr>
          <w:rFonts w:ascii="Times New Roman" w:eastAsia="Times New Roman" w:hAnsi="Times New Roman" w:cs="Times New Roman"/>
          <w:spacing w:val="-2"/>
        </w:rPr>
        <w:t>2020</w:t>
      </w:r>
      <w:r>
        <w:rPr>
          <w:rFonts w:ascii="Times New Roman" w:eastAsia="Times New Roman" w:hAnsi="Times New Roman" w:cs="Times New Roman"/>
          <w:spacing w:val="34"/>
        </w:rPr>
        <w:t xml:space="preserve"> </w:t>
      </w:r>
      <w:r>
        <w:rPr>
          <w:spacing w:val="-2"/>
        </w:rPr>
        <w:t>年</w:t>
      </w:r>
      <w:r>
        <w:rPr>
          <w:spacing w:val="-39"/>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3"/>
          <w:w w:val="101"/>
        </w:rPr>
        <w:t xml:space="preserve"> </w:t>
      </w:r>
      <w:r>
        <w:rPr>
          <w:spacing w:val="-2"/>
        </w:rPr>
        <w:t>月，凤阳硅谷增加注册资本</w:t>
      </w:r>
      <w:r>
        <w:rPr>
          <w:spacing w:val="-47"/>
        </w:rPr>
        <w:t xml:space="preserve"> </w:t>
      </w:r>
      <w:r>
        <w:rPr>
          <w:rFonts w:ascii="Times New Roman" w:eastAsia="Times New Roman" w:hAnsi="Times New Roman" w:cs="Times New Roman"/>
          <w:spacing w:val="-2"/>
        </w:rPr>
        <w:t>2,777.77</w:t>
      </w:r>
      <w:r>
        <w:rPr>
          <w:rFonts w:ascii="Times New Roman" w:eastAsia="Times New Roman" w:hAnsi="Times New Roman" w:cs="Times New Roman"/>
          <w:spacing w:val="28"/>
        </w:rPr>
        <w:t xml:space="preserve"> </w:t>
      </w:r>
      <w:r>
        <w:rPr>
          <w:spacing w:val="-2"/>
        </w:rPr>
        <w:t>万元，其中，中国石化集团资</w:t>
      </w:r>
      <w:r>
        <w:t xml:space="preserve"> </w:t>
      </w:r>
      <w:r>
        <w:t xml:space="preserve">本有限公司认缴 </w:t>
      </w:r>
      <w:r>
        <w:rPr>
          <w:rFonts w:ascii="Times New Roman" w:eastAsia="Times New Roman" w:hAnsi="Times New Roman" w:cs="Times New Roman"/>
        </w:rPr>
        <w:t xml:space="preserve">1,111.11  </w:t>
      </w:r>
      <w:r>
        <w:t>万元</w:t>
      </w:r>
      <w:r>
        <w:rPr>
          <w:spacing w:val="-1"/>
        </w:rPr>
        <w:t>，黄山高新毅达新安江专精特新创业投资基金（有</w:t>
      </w:r>
      <w:r>
        <w:t xml:space="preserve"> </w:t>
      </w:r>
      <w:r>
        <w:rPr>
          <w:spacing w:val="-11"/>
        </w:rPr>
        <w:t>限合伙） 认缴</w:t>
      </w:r>
      <w:r>
        <w:rPr>
          <w:spacing w:val="-24"/>
        </w:rPr>
        <w:t xml:space="preserve"> </w:t>
      </w:r>
      <w:r>
        <w:rPr>
          <w:rFonts w:ascii="Times New Roman" w:eastAsia="Times New Roman" w:hAnsi="Times New Roman" w:cs="Times New Roman"/>
          <w:spacing w:val="-11"/>
        </w:rPr>
        <w:t>1,</w:t>
      </w:r>
      <w:r>
        <w:rPr>
          <w:rFonts w:ascii="Times New Roman" w:eastAsia="Times New Roman" w:hAnsi="Times New Roman" w:cs="Times New Roman"/>
          <w:spacing w:val="-29"/>
        </w:rPr>
        <w:t xml:space="preserve"> </w:t>
      </w:r>
      <w:r>
        <w:rPr>
          <w:rFonts w:ascii="Times New Roman" w:eastAsia="Times New Roman" w:hAnsi="Times New Roman" w:cs="Times New Roman"/>
          <w:spacing w:val="-11"/>
        </w:rPr>
        <w:t>111.11</w:t>
      </w:r>
      <w:r>
        <w:rPr>
          <w:rFonts w:ascii="Times New Roman" w:eastAsia="Times New Roman" w:hAnsi="Times New Roman" w:cs="Times New Roman"/>
          <w:spacing w:val="13"/>
        </w:rPr>
        <w:t xml:space="preserve"> </w:t>
      </w:r>
      <w:r>
        <w:rPr>
          <w:spacing w:val="-11"/>
        </w:rPr>
        <w:t>万元，扬中高投毅达创业投资基金合伙企业（有限合伙） 认</w:t>
      </w:r>
      <w:r>
        <w:t xml:space="preserve"> </w:t>
      </w:r>
      <w:r>
        <w:rPr>
          <w:spacing w:val="-1"/>
        </w:rPr>
        <w:t>缴</w:t>
      </w:r>
      <w:r>
        <w:rPr>
          <w:spacing w:val="-21"/>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37"/>
        </w:rPr>
        <w:t xml:space="preserve"> </w:t>
      </w:r>
      <w:r>
        <w:rPr>
          <w:spacing w:val="-1"/>
        </w:rPr>
        <w:t>万元，宿迁高投毅达产才融合发展创业投资合伙企业（有限合伙）认缴</w:t>
      </w:r>
    </w:p>
    <w:p>
      <w:pPr>
        <w:pStyle w:val="BodyText"/>
        <w:spacing w:before="1" w:line="218" w:lineRule="auto"/>
        <w:ind w:left="105"/>
      </w:pPr>
      <w:r>
        <w:rPr>
          <w:rFonts w:ascii="Times New Roman" w:eastAsia="Times New Roman" w:hAnsi="Times New Roman" w:cs="Times New Roman"/>
        </w:rPr>
        <w:t xml:space="preserve">222.22 </w:t>
      </w:r>
      <w:r>
        <w:t>万元。本次增资后，凤阳硅谷股权结构</w:t>
      </w:r>
      <w:r>
        <w:rPr>
          <w:spacing w:val="-1"/>
        </w:rPr>
        <w:t>如下表所示：</w:t>
      </w:r>
    </w:p>
    <w:p>
      <w:pPr>
        <w:pStyle w:val="BodyText"/>
        <w:spacing w:before="152"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6"/>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426"/>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864" w:type="dxa"/>
            <w:tcBorders>
              <w:left w:val="nil"/>
            </w:tcBorders>
            <w:vAlign w:val="top"/>
          </w:tcPr>
          <w:p>
            <w:pPr>
              <w:spacing w:before="183" w:line="222" w:lineRule="auto"/>
              <w:ind w:left="237"/>
              <w:rPr>
                <w:rFonts w:ascii="SimSun" w:eastAsia="SimSun" w:hAnsi="SimSun" w:cs="SimSun"/>
                <w:sz w:val="21"/>
                <w:szCs w:val="21"/>
              </w:rPr>
            </w:pPr>
            <w:r>
              <w:rPr>
                <w:rFonts w:ascii="SimSun" w:eastAsia="SimSun" w:hAnsi="SimSun" w:cs="SimSun"/>
                <w:b/>
                <w:bCs/>
                <w:spacing w:val="-4"/>
                <w:sz w:val="21"/>
                <w:szCs w:val="21"/>
              </w:rPr>
              <w:t>序号</w:t>
            </w:r>
          </w:p>
        </w:tc>
        <w:tc>
          <w:tcPr>
            <w:tcW w:w="5426" w:type="dxa"/>
            <w:vAlign w:val="top"/>
          </w:tcPr>
          <w:p>
            <w:pPr>
              <w:spacing w:before="182" w:line="221" w:lineRule="auto"/>
              <w:ind w:left="2292"/>
              <w:rPr>
                <w:rFonts w:ascii="SimSun" w:eastAsia="SimSun" w:hAnsi="SimSun" w:cs="SimSun"/>
                <w:sz w:val="21"/>
                <w:szCs w:val="21"/>
              </w:rPr>
            </w:pPr>
            <w:r>
              <w:rPr>
                <w:rFonts w:ascii="SimSun" w:eastAsia="SimSun" w:hAnsi="SimSun" w:cs="SimSun"/>
                <w:b/>
                <w:bCs/>
                <w:spacing w:val="-3"/>
                <w:sz w:val="21"/>
                <w:szCs w:val="21"/>
              </w:rPr>
              <w:t>股东名称</w:t>
            </w:r>
          </w:p>
        </w:tc>
        <w:tc>
          <w:tcPr>
            <w:tcW w:w="1244" w:type="dxa"/>
            <w:vAlign w:val="top"/>
          </w:tcPr>
          <w:p>
            <w:pPr>
              <w:spacing w:before="49" w:line="225" w:lineRule="auto"/>
              <w:ind w:left="524" w:right="194" w:hanging="317"/>
              <w:rPr>
                <w:rFonts w:ascii="SimSun" w:eastAsia="SimSun" w:hAnsi="SimSun" w:cs="SimSun"/>
                <w:sz w:val="21"/>
                <w:szCs w:val="21"/>
              </w:rPr>
            </w:pPr>
            <w:r>
              <w:rPr>
                <w:rFonts w:ascii="SimSun" w:eastAsia="SimSun" w:hAnsi="SimSun" w:cs="SimSun"/>
                <w:b/>
                <w:bCs/>
                <w:spacing w:val="-4"/>
                <w:sz w:val="21"/>
                <w:szCs w:val="21"/>
              </w:rPr>
              <w:t>认缴出资</w:t>
            </w:r>
            <w:r>
              <w:rPr>
                <w:rFonts w:ascii="SimSun" w:eastAsia="SimSun" w:hAnsi="SimSun" w:cs="SimSun"/>
                <w:spacing w:val="2"/>
                <w:sz w:val="21"/>
                <w:szCs w:val="21"/>
              </w:rPr>
              <w:t xml:space="preserve"> </w:t>
            </w:r>
            <w:r>
              <w:rPr>
                <w:rFonts w:ascii="SimSun" w:eastAsia="SimSun" w:hAnsi="SimSun" w:cs="SimSun"/>
                <w:b/>
                <w:bCs/>
                <w:spacing w:val="-3"/>
                <w:sz w:val="21"/>
                <w:szCs w:val="21"/>
              </w:rPr>
              <w:t>额</w:t>
            </w:r>
          </w:p>
        </w:tc>
        <w:tc>
          <w:tcPr>
            <w:tcW w:w="1162" w:type="dxa"/>
            <w:tcBorders>
              <w:right w:val="nil"/>
            </w:tcBorders>
            <w:vAlign w:val="top"/>
          </w:tcPr>
          <w:p>
            <w:pPr>
              <w:spacing w:before="182" w:line="221" w:lineRule="auto"/>
              <w:ind w:left="166"/>
              <w:rPr>
                <w:rFonts w:ascii="SimSun" w:eastAsia="SimSun" w:hAnsi="SimSun" w:cs="SimSun"/>
                <w:sz w:val="21"/>
                <w:szCs w:val="21"/>
              </w:rPr>
            </w:pPr>
            <w:r>
              <w:rPr>
                <w:rFonts w:ascii="SimSun" w:eastAsia="SimSun" w:hAnsi="SimSun" w:cs="SimSun"/>
                <w:b/>
                <w:bCs/>
                <w:spacing w:val="-4"/>
                <w:sz w:val="21"/>
                <w:szCs w:val="21"/>
              </w:rPr>
              <w:t>持股比例</w:t>
            </w:r>
          </w:p>
        </w:tc>
      </w:tr>
      <w:tr>
        <w:tblPrEx>
          <w:tblW w:w="8696" w:type="dxa"/>
          <w:tblInd w:w="0" w:type="dxa"/>
          <w:tblLayout w:type="fixed"/>
        </w:tblPrEx>
        <w:trPr>
          <w:trHeight w:val="383"/>
        </w:trPr>
        <w:tc>
          <w:tcPr>
            <w:tcW w:w="864" w:type="dxa"/>
            <w:tcBorders>
              <w:left w:val="nil"/>
            </w:tcBorders>
            <w:vAlign w:val="top"/>
          </w:tcPr>
          <w:p>
            <w:pPr>
              <w:spacing w:before="116"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26"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44" w:type="dxa"/>
            <w:vAlign w:val="top"/>
          </w:tcPr>
          <w:p>
            <w:pPr>
              <w:spacing w:before="113"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13" w:line="230" w:lineRule="auto"/>
              <w:ind w:left="4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66.52%</w:t>
            </w:r>
          </w:p>
        </w:tc>
      </w:tr>
      <w:tr>
        <w:tblPrEx>
          <w:tblW w:w="8696" w:type="dxa"/>
          <w:tblInd w:w="0" w:type="dxa"/>
          <w:tblLayout w:type="fixed"/>
        </w:tblPrEx>
        <w:trPr>
          <w:trHeight w:val="383"/>
        </w:trPr>
        <w:tc>
          <w:tcPr>
            <w:tcW w:w="864" w:type="dxa"/>
            <w:tcBorders>
              <w:left w:val="nil"/>
            </w:tcBorders>
            <w:vAlign w:val="top"/>
          </w:tcPr>
          <w:p>
            <w:pPr>
              <w:spacing w:before="112"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26"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44" w:type="dxa"/>
            <w:vAlign w:val="top"/>
          </w:tcPr>
          <w:p>
            <w:pPr>
              <w:spacing w:before="109"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1,500.00</w:t>
            </w:r>
          </w:p>
        </w:tc>
        <w:tc>
          <w:tcPr>
            <w:tcW w:w="1162" w:type="dxa"/>
            <w:tcBorders>
              <w:right w:val="nil"/>
            </w:tcBorders>
            <w:vAlign w:val="top"/>
          </w:tcPr>
          <w:p>
            <w:pPr>
              <w:spacing w:before="112"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11.74%</w:t>
            </w:r>
          </w:p>
        </w:tc>
      </w:tr>
      <w:tr>
        <w:tblPrEx>
          <w:tblW w:w="8696" w:type="dxa"/>
          <w:tblInd w:w="0" w:type="dxa"/>
          <w:tblLayout w:type="fixed"/>
        </w:tblPrEx>
        <w:trPr>
          <w:trHeight w:val="383"/>
        </w:trPr>
        <w:tc>
          <w:tcPr>
            <w:tcW w:w="864" w:type="dxa"/>
            <w:tcBorders>
              <w:left w:val="nil"/>
            </w:tcBorders>
            <w:vAlign w:val="top"/>
          </w:tcPr>
          <w:p>
            <w:pPr>
              <w:spacing w:before="113"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26"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0"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0" w:line="230"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8.70%</w:t>
            </w:r>
          </w:p>
        </w:tc>
      </w:tr>
      <w:tr>
        <w:tblPrEx>
          <w:tblW w:w="8696" w:type="dxa"/>
          <w:tblInd w:w="0" w:type="dxa"/>
          <w:tblLayout w:type="fixed"/>
        </w:tblPrEx>
        <w:trPr>
          <w:trHeight w:val="547"/>
        </w:trPr>
        <w:tc>
          <w:tcPr>
            <w:tcW w:w="864" w:type="dxa"/>
            <w:tcBorders>
              <w:left w:val="nil"/>
            </w:tcBorders>
            <w:vAlign w:val="top"/>
          </w:tcPr>
          <w:p>
            <w:pPr>
              <w:spacing w:before="200"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26" w:type="dxa"/>
            <w:vAlign w:val="top"/>
          </w:tcPr>
          <w:p>
            <w:pPr>
              <w:spacing w:before="27" w:line="224" w:lineRule="auto"/>
              <w:ind w:left="112" w:right="484"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7"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97" w:line="230"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8.70%</w:t>
            </w:r>
          </w:p>
        </w:tc>
      </w:tr>
      <w:tr>
        <w:tblPrEx>
          <w:tblW w:w="8696" w:type="dxa"/>
          <w:tblInd w:w="0" w:type="dxa"/>
          <w:tblLayout w:type="fixed"/>
        </w:tblPrEx>
        <w:trPr>
          <w:trHeight w:val="383"/>
        </w:trPr>
        <w:tc>
          <w:tcPr>
            <w:tcW w:w="864" w:type="dxa"/>
            <w:tcBorders>
              <w:left w:val="nil"/>
            </w:tcBorders>
            <w:vAlign w:val="top"/>
          </w:tcPr>
          <w:p>
            <w:pPr>
              <w:spacing w:before="122"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26" w:type="dxa"/>
            <w:vAlign w:val="top"/>
          </w:tcPr>
          <w:p>
            <w:pPr>
              <w:spacing w:before="85"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9"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6" w:line="230" w:lineRule="auto"/>
              <w:ind w:left="5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w:t>
            </w:r>
          </w:p>
        </w:tc>
      </w:tr>
      <w:tr>
        <w:tblPrEx>
          <w:tblW w:w="8696" w:type="dxa"/>
          <w:tblInd w:w="0" w:type="dxa"/>
          <w:tblLayout w:type="fixed"/>
        </w:tblPrEx>
        <w:trPr>
          <w:trHeight w:val="551"/>
        </w:trPr>
        <w:tc>
          <w:tcPr>
            <w:tcW w:w="864" w:type="dxa"/>
            <w:tcBorders>
              <w:left w:val="nil"/>
            </w:tcBorders>
            <w:vAlign w:val="top"/>
          </w:tcPr>
          <w:p>
            <w:pPr>
              <w:spacing w:before="201"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26" w:type="dxa"/>
            <w:vAlign w:val="top"/>
          </w:tcPr>
          <w:p>
            <w:pPr>
              <w:spacing w:before="29" w:line="225" w:lineRule="auto"/>
              <w:ind w:left="112" w:right="277"/>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201"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8" w:line="230"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1.73%</w:t>
            </w:r>
          </w:p>
        </w:tc>
      </w:tr>
      <w:tr>
        <w:tblPrEx>
          <w:tblW w:w="8696" w:type="dxa"/>
          <w:tblInd w:w="0" w:type="dxa"/>
          <w:tblLayout w:type="fixed"/>
        </w:tblPrEx>
        <w:trPr>
          <w:trHeight w:val="407"/>
        </w:trPr>
        <w:tc>
          <w:tcPr>
            <w:tcW w:w="6290" w:type="dxa"/>
            <w:gridSpan w:val="2"/>
            <w:tcBorders>
              <w:left w:val="nil"/>
            </w:tcBorders>
            <w:vAlign w:val="top"/>
          </w:tcPr>
          <w:p>
            <w:pPr>
              <w:spacing w:before="82" w:line="222" w:lineRule="auto"/>
              <w:ind w:left="2953"/>
              <w:rPr>
                <w:rFonts w:ascii="SimSun" w:eastAsia="SimSun" w:hAnsi="SimSun" w:cs="SimSun"/>
                <w:sz w:val="21"/>
                <w:szCs w:val="21"/>
              </w:rPr>
            </w:pPr>
            <w:r>
              <w:rPr>
                <w:rFonts w:ascii="SimSun" w:eastAsia="SimSun" w:hAnsi="SimSun" w:cs="SimSun"/>
                <w:b/>
                <w:bCs/>
                <w:spacing w:val="-4"/>
                <w:sz w:val="21"/>
                <w:szCs w:val="21"/>
              </w:rPr>
              <w:t>合计</w:t>
            </w:r>
          </w:p>
        </w:tc>
        <w:tc>
          <w:tcPr>
            <w:tcW w:w="1244" w:type="dxa"/>
            <w:vAlign w:val="top"/>
          </w:tcPr>
          <w:p>
            <w:pPr>
              <w:spacing w:before="120" w:line="196" w:lineRule="auto"/>
              <w:ind w:left="30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12,777.77</w:t>
            </w:r>
          </w:p>
        </w:tc>
        <w:tc>
          <w:tcPr>
            <w:tcW w:w="1162" w:type="dxa"/>
            <w:tcBorders>
              <w:right w:val="nil"/>
            </w:tcBorders>
            <w:vAlign w:val="top"/>
          </w:tcPr>
          <w:p>
            <w:pPr>
              <w:spacing w:before="120" w:line="227" w:lineRule="auto"/>
              <w:ind w:left="28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4" w:line="220" w:lineRule="auto"/>
        <w:ind w:left="597"/>
      </w:pPr>
      <w:r>
        <w:rPr>
          <w:spacing w:val="-3"/>
        </w:rPr>
        <w:t>（</w:t>
      </w:r>
      <w:r>
        <w:rPr>
          <w:rFonts w:ascii="Times New Roman" w:eastAsia="Times New Roman" w:hAnsi="Times New Roman" w:cs="Times New Roman"/>
          <w:spacing w:val="-3"/>
        </w:rPr>
        <w:t>4</w:t>
      </w:r>
      <w:r>
        <w:rPr>
          <w:spacing w:val="-3"/>
        </w:rPr>
        <w:t>）第二次股权转让及第二次增资</w:t>
      </w:r>
    </w:p>
    <w:p>
      <w:pPr>
        <w:pStyle w:val="BodyText"/>
        <w:spacing w:before="229" w:line="345" w:lineRule="auto"/>
        <w:ind w:left="111" w:right="192" w:firstLine="475"/>
        <w:sectPr>
          <w:headerReference w:type="default" r:id="rId43"/>
          <w:footerReference w:type="default" r:id="rId44"/>
          <w:pgSz w:w="11905" w:h="16839"/>
          <w:pgMar w:top="1336" w:right="1497" w:bottom="1579" w:left="1598" w:header="1154" w:footer="1314" w:gutter="0"/>
          <w:pgNumType w:start="21"/>
          <w:cols w:space="708"/>
        </w:sectPr>
      </w:pPr>
      <w:r>
        <w:rPr>
          <w:rFonts w:ascii="Times New Roman" w:eastAsia="Times New Roman" w:hAnsi="Times New Roman" w:cs="Times New Roman"/>
          <w:spacing w:val="-9"/>
        </w:rPr>
        <w:t>2021</w:t>
      </w:r>
      <w:r>
        <w:rPr>
          <w:rFonts w:ascii="Times New Roman" w:eastAsia="Times New Roman" w:hAnsi="Times New Roman" w:cs="Times New Roman"/>
          <w:spacing w:val="27"/>
        </w:rPr>
        <w:t xml:space="preserve"> </w:t>
      </w:r>
      <w:r>
        <w:rPr>
          <w:spacing w:val="-9"/>
        </w:rPr>
        <w:t>年</w:t>
      </w:r>
      <w:r>
        <w:rPr>
          <w:spacing w:val="-33"/>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32"/>
        </w:rPr>
        <w:t xml:space="preserve"> </w:t>
      </w:r>
      <w:r>
        <w:rPr>
          <w:spacing w:val="-9"/>
        </w:rPr>
        <w:t>月，</w:t>
      </w:r>
      <w:r>
        <w:rPr>
          <w:spacing w:val="-30"/>
        </w:rPr>
        <w:t xml:space="preserve"> </w:t>
      </w:r>
      <w:r>
        <w:rPr>
          <w:spacing w:val="-9"/>
        </w:rPr>
        <w:t>经公司股东会决议同意，</w:t>
      </w:r>
      <w:r>
        <w:rPr>
          <w:spacing w:val="62"/>
        </w:rPr>
        <w:t xml:space="preserve"> </w:t>
      </w:r>
      <w:r>
        <w:rPr>
          <w:spacing w:val="-9"/>
        </w:rPr>
        <w:t>寿光达领企业管理咨询中心（</w:t>
      </w:r>
      <w:r>
        <w:rPr>
          <w:spacing w:val="-10"/>
        </w:rPr>
        <w:t>有限合</w:t>
      </w:r>
      <w:r>
        <w:t xml:space="preserve"> </w:t>
      </w:r>
      <w:r>
        <w:rPr>
          <w:spacing w:val="-1"/>
        </w:rPr>
        <w:t>伙）将其持有的</w:t>
      </w:r>
      <w:r>
        <w:rPr>
          <w:spacing w:val="-38"/>
        </w:rPr>
        <w:t xml:space="preserve"> </w:t>
      </w:r>
      <w:r>
        <w:rPr>
          <w:rFonts w:ascii="Times New Roman" w:eastAsia="Times New Roman" w:hAnsi="Times New Roman" w:cs="Times New Roman"/>
          <w:spacing w:val="-1"/>
        </w:rPr>
        <w:t>2.7778%</w:t>
      </w:r>
      <w:r>
        <w:rPr>
          <w:spacing w:val="-1"/>
        </w:rPr>
        <w:t>股权合计</w:t>
      </w:r>
      <w:r>
        <w:rPr>
          <w:spacing w:val="-32"/>
        </w:rPr>
        <w:t xml:space="preserve"> </w:t>
      </w:r>
      <w:r>
        <w:rPr>
          <w:rFonts w:ascii="Times New Roman" w:eastAsia="Times New Roman" w:hAnsi="Times New Roman" w:cs="Times New Roman"/>
          <w:spacing w:val="-1"/>
        </w:rPr>
        <w:t>354.94</w:t>
      </w:r>
      <w:r>
        <w:rPr>
          <w:rFonts w:ascii="Times New Roman" w:eastAsia="Times New Roman" w:hAnsi="Times New Roman" w:cs="Times New Roman"/>
          <w:spacing w:val="32"/>
          <w:w w:val="101"/>
        </w:rPr>
        <w:t xml:space="preserve"> </w:t>
      </w:r>
      <w:r>
        <w:rPr>
          <w:spacing w:val="-1"/>
        </w:rPr>
        <w:t>万元以人</w:t>
      </w:r>
      <w:r>
        <w:rPr>
          <w:spacing w:val="-2"/>
        </w:rPr>
        <w:t>民币</w:t>
      </w:r>
      <w:r>
        <w:rPr>
          <w:spacing w:val="-32"/>
        </w:rPr>
        <w:t xml:space="preserve"> </w:t>
      </w:r>
      <w:r>
        <w:rPr>
          <w:rFonts w:ascii="Times New Roman" w:eastAsia="Times New Roman" w:hAnsi="Times New Roman" w:cs="Times New Roman"/>
          <w:spacing w:val="-2"/>
        </w:rPr>
        <w:t>5,000.00</w:t>
      </w:r>
      <w:r>
        <w:rPr>
          <w:rFonts w:ascii="Times New Roman" w:eastAsia="Times New Roman" w:hAnsi="Times New Roman" w:cs="Times New Roman"/>
          <w:spacing w:val="33"/>
          <w:w w:val="101"/>
        </w:rPr>
        <w:t xml:space="preserve"> </w:t>
      </w:r>
      <w:r>
        <w:rPr>
          <w:spacing w:val="-2"/>
        </w:rPr>
        <w:t>万元的价格转让</w:t>
      </w:r>
    </w:p>
    <w:p>
      <w:pPr>
        <w:pStyle w:val="BodyText"/>
        <w:spacing w:before="1" w:line="218" w:lineRule="auto"/>
        <w:ind w:left="111"/>
      </w:pPr>
      <w:r>
        <w:rPr>
          <w:spacing w:val="-8"/>
        </w:rPr>
        <w:t>给常州华辉创业投资合伙企业（有限合伙</w:t>
      </w:r>
      <w:r>
        <w:rPr>
          <w:spacing w:val="-22"/>
        </w:rPr>
        <w:t>）</w:t>
      </w:r>
      <w:r>
        <w:rPr>
          <w:spacing w:val="-29"/>
        </w:rPr>
        <w:t xml:space="preserve"> </w:t>
      </w:r>
      <w:r>
        <w:rPr>
          <w:spacing w:val="-22"/>
        </w:rPr>
        <w:t>；</w:t>
      </w:r>
      <w:r>
        <w:rPr>
          <w:spacing w:val="-8"/>
        </w:rPr>
        <w:t>同时，增加注册资本</w:t>
      </w:r>
      <w:r>
        <w:rPr>
          <w:spacing w:val="-53"/>
        </w:rPr>
        <w:t xml:space="preserve"> </w:t>
      </w:r>
      <w:r>
        <w:rPr>
          <w:rFonts w:ascii="Times New Roman" w:eastAsia="Times New Roman" w:hAnsi="Times New Roman" w:cs="Times New Roman"/>
          <w:spacing w:val="-8"/>
        </w:rPr>
        <w:t>709.8761</w:t>
      </w:r>
      <w:r>
        <w:rPr>
          <w:rFonts w:ascii="Times New Roman" w:eastAsia="Times New Roman" w:hAnsi="Times New Roman" w:cs="Times New Roman"/>
          <w:spacing w:val="13"/>
        </w:rPr>
        <w:t xml:space="preserve"> </w:t>
      </w:r>
      <w:r>
        <w:rPr>
          <w:spacing w:val="-8"/>
        </w:rPr>
        <w:t>万元，</w:t>
      </w:r>
    </w:p>
    <w:p>
      <w:pPr>
        <w:pStyle w:val="BodyText"/>
        <w:spacing w:before="167" w:line="345" w:lineRule="auto"/>
        <w:ind w:left="111" w:hanging="1"/>
      </w:pPr>
      <w:r>
        <w:rPr>
          <w:spacing w:val="-7"/>
        </w:rPr>
        <w:t>全部由常州华辉创业投资合伙企业（有限合伙）认缴。</w:t>
      </w:r>
      <w:r>
        <w:rPr>
          <w:spacing w:val="48"/>
        </w:rPr>
        <w:t xml:space="preserve"> </w:t>
      </w:r>
      <w:r>
        <w:rPr>
          <w:rFonts w:ascii="Times New Roman" w:eastAsia="Times New Roman" w:hAnsi="Times New Roman" w:cs="Times New Roman"/>
          <w:spacing w:val="-7"/>
        </w:rPr>
        <w:t>2021</w:t>
      </w:r>
      <w:r>
        <w:rPr>
          <w:rFonts w:ascii="Times New Roman" w:eastAsia="Times New Roman" w:hAnsi="Times New Roman" w:cs="Times New Roman"/>
          <w:spacing w:val="18"/>
        </w:rPr>
        <w:t xml:space="preserve"> </w:t>
      </w:r>
      <w:r>
        <w:rPr>
          <w:spacing w:val="-7"/>
        </w:rPr>
        <w:t>年</w:t>
      </w:r>
      <w:r>
        <w:rPr>
          <w:spacing w:val="-43"/>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3"/>
        </w:rPr>
        <w:t xml:space="preserve"> </w:t>
      </w:r>
      <w:r>
        <w:rPr>
          <w:spacing w:val="-7"/>
        </w:rPr>
        <w:t>月</w:t>
      </w:r>
      <w:r>
        <w:rPr>
          <w:spacing w:val="-43"/>
        </w:rPr>
        <w:t xml:space="preserve"> </w:t>
      </w:r>
      <w:r>
        <w:rPr>
          <w:rFonts w:ascii="Times New Roman" w:eastAsia="Times New Roman" w:hAnsi="Times New Roman" w:cs="Times New Roman"/>
          <w:spacing w:val="-7"/>
        </w:rPr>
        <w:t xml:space="preserve">2  </w:t>
      </w:r>
      <w:r>
        <w:rPr>
          <w:spacing w:val="-7"/>
        </w:rPr>
        <w:t xml:space="preserve">日，凤阳硅  </w:t>
      </w:r>
      <w:r>
        <w:rPr>
          <w:spacing w:val="1"/>
        </w:rPr>
        <w:t>谷在凤阳县市场监督管理局办理完成了本次股权转让及增资的工商变更登记手续。</w:t>
      </w:r>
    </w:p>
    <w:p>
      <w:pPr>
        <w:pStyle w:val="BodyText"/>
        <w:spacing w:before="1" w:line="218" w:lineRule="auto"/>
        <w:ind w:left="111"/>
      </w:pPr>
      <w:r>
        <w:rPr>
          <w:spacing w:val="-1"/>
        </w:rPr>
        <w:t>本次股权转让及增资完成后，凤阳硅谷的股权结构如下表所示：</w:t>
      </w:r>
    </w:p>
    <w:p>
      <w:pPr>
        <w:pStyle w:val="BodyText"/>
        <w:spacing w:before="153"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220" w:lineRule="auto"/>
        <w:rPr>
          <w:sz w:val="21"/>
          <w:szCs w:val="21"/>
        </w:rPr>
        <w:sectPr>
          <w:headerReference w:type="default" r:id="rId45"/>
          <w:footerReference w:type="default" r:id="rId46"/>
          <w:type w:val="nextPage"/>
          <w:pgSz w:w="11905" w:h="16839"/>
          <w:pgMar w:top="1336" w:right="1497" w:bottom="1579" w:left="1598" w:header="1154" w:footer="1314" w:gutter="0"/>
          <w:pgNumType w:start="22"/>
          <w:cols w:space="708"/>
          <w:titlePg w:val="0"/>
        </w:sectPr>
      </w:pPr>
    </w:p>
    <w:p>
      <w:pPr>
        <w:spacing w:before="32"/>
      </w:pPr>
    </w:p>
    <w:tbl>
      <w:tblPr>
        <w:tblStyle w:val="TableNormal7"/>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378"/>
        <w:gridCol w:w="1297"/>
        <w:gridCol w:w="1157"/>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64" w:type="dxa"/>
            <w:tcBorders>
              <w:left w:val="nil"/>
            </w:tcBorders>
            <w:vAlign w:val="top"/>
          </w:tcPr>
          <w:p>
            <w:pPr>
              <w:spacing w:before="106" w:line="222" w:lineRule="auto"/>
              <w:ind w:left="237"/>
              <w:rPr>
                <w:rFonts w:ascii="SimSun" w:eastAsia="SimSun" w:hAnsi="SimSun" w:cs="SimSun"/>
                <w:sz w:val="21"/>
                <w:szCs w:val="21"/>
              </w:rPr>
            </w:pPr>
            <w:r>
              <w:rPr>
                <w:rFonts w:ascii="SimSun" w:eastAsia="SimSun" w:hAnsi="SimSun" w:cs="SimSun"/>
                <w:b/>
                <w:bCs/>
                <w:spacing w:val="-4"/>
                <w:sz w:val="21"/>
                <w:szCs w:val="21"/>
              </w:rPr>
              <w:t>序号</w:t>
            </w:r>
          </w:p>
        </w:tc>
        <w:tc>
          <w:tcPr>
            <w:tcW w:w="5378" w:type="dxa"/>
            <w:vAlign w:val="top"/>
          </w:tcPr>
          <w:p>
            <w:pPr>
              <w:spacing w:before="105" w:line="221" w:lineRule="auto"/>
              <w:ind w:left="2268"/>
              <w:rPr>
                <w:rFonts w:ascii="SimSun" w:eastAsia="SimSun" w:hAnsi="SimSun" w:cs="SimSun"/>
                <w:sz w:val="21"/>
                <w:szCs w:val="21"/>
              </w:rPr>
            </w:pPr>
            <w:r>
              <w:rPr>
                <w:rFonts w:ascii="SimSun" w:eastAsia="SimSun" w:hAnsi="SimSun" w:cs="SimSun"/>
                <w:b/>
                <w:bCs/>
                <w:spacing w:val="-3"/>
                <w:sz w:val="21"/>
                <w:szCs w:val="21"/>
              </w:rPr>
              <w:t>股东名称</w:t>
            </w:r>
          </w:p>
        </w:tc>
        <w:tc>
          <w:tcPr>
            <w:tcW w:w="1297" w:type="dxa"/>
            <w:vAlign w:val="top"/>
          </w:tcPr>
          <w:p>
            <w:pPr>
              <w:spacing w:before="105" w:line="221" w:lineRule="auto"/>
              <w:ind w:left="126"/>
              <w:rPr>
                <w:rFonts w:ascii="SimSun" w:eastAsia="SimSun" w:hAnsi="SimSun" w:cs="SimSun"/>
                <w:sz w:val="21"/>
                <w:szCs w:val="21"/>
              </w:rPr>
            </w:pPr>
            <w:r>
              <w:rPr>
                <w:rFonts w:ascii="SimSun" w:eastAsia="SimSun" w:hAnsi="SimSun" w:cs="SimSun"/>
                <w:b/>
                <w:bCs/>
                <w:spacing w:val="-3"/>
                <w:sz w:val="21"/>
                <w:szCs w:val="21"/>
              </w:rPr>
              <w:t>认缴出资额</w:t>
            </w:r>
          </w:p>
        </w:tc>
        <w:tc>
          <w:tcPr>
            <w:tcW w:w="1157" w:type="dxa"/>
            <w:tcBorders>
              <w:right w:val="nil"/>
            </w:tcBorders>
            <w:vAlign w:val="top"/>
          </w:tcPr>
          <w:p>
            <w:pPr>
              <w:spacing w:before="105" w:line="221" w:lineRule="auto"/>
              <w:ind w:left="166"/>
              <w:rPr>
                <w:rFonts w:ascii="SimSun" w:eastAsia="SimSun" w:hAnsi="SimSun" w:cs="SimSun"/>
                <w:sz w:val="21"/>
                <w:szCs w:val="21"/>
              </w:rPr>
            </w:pPr>
            <w:r>
              <w:rPr>
                <w:rFonts w:ascii="SimSun" w:eastAsia="SimSun" w:hAnsi="SimSun" w:cs="SimSun"/>
                <w:b/>
                <w:bCs/>
                <w:spacing w:val="-4"/>
                <w:sz w:val="21"/>
                <w:szCs w:val="21"/>
              </w:rPr>
              <w:t>持股比例</w:t>
            </w:r>
          </w:p>
        </w:tc>
      </w:tr>
      <w:tr>
        <w:tblPrEx>
          <w:tblW w:w="8696" w:type="dxa"/>
          <w:tblInd w:w="0" w:type="dxa"/>
          <w:tblLayout w:type="fixed"/>
        </w:tblPrEx>
        <w:trPr>
          <w:trHeight w:val="384"/>
        </w:trPr>
        <w:tc>
          <w:tcPr>
            <w:tcW w:w="864" w:type="dxa"/>
            <w:tcBorders>
              <w:left w:val="nil"/>
            </w:tcBorders>
            <w:vAlign w:val="top"/>
          </w:tcPr>
          <w:p>
            <w:pPr>
              <w:spacing w:before="117"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378"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97" w:type="dxa"/>
            <w:vAlign w:val="top"/>
          </w:tcPr>
          <w:p>
            <w:pPr>
              <w:spacing w:before="114" w:line="201"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57" w:type="dxa"/>
            <w:tcBorders>
              <w:right w:val="nil"/>
            </w:tcBorders>
            <w:vAlign w:val="top"/>
          </w:tcPr>
          <w:p>
            <w:pPr>
              <w:spacing w:before="114" w:line="230"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63.02%</w:t>
            </w:r>
          </w:p>
        </w:tc>
      </w:tr>
      <w:tr>
        <w:tblPrEx>
          <w:tblW w:w="8696" w:type="dxa"/>
          <w:tblInd w:w="0" w:type="dxa"/>
          <w:tblLayout w:type="fixed"/>
        </w:tblPrEx>
        <w:trPr>
          <w:trHeight w:val="383"/>
        </w:trPr>
        <w:tc>
          <w:tcPr>
            <w:tcW w:w="864" w:type="dxa"/>
            <w:tcBorders>
              <w:left w:val="nil"/>
            </w:tcBorders>
            <w:vAlign w:val="top"/>
          </w:tcPr>
          <w:p>
            <w:pPr>
              <w:spacing w:before="112"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378"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97" w:type="dxa"/>
            <w:vAlign w:val="top"/>
          </w:tcPr>
          <w:p>
            <w:pPr>
              <w:spacing w:before="112"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6"/>
                <w:sz w:val="21"/>
                <w:szCs w:val="21"/>
              </w:rPr>
              <w:t>145.06</w:t>
            </w:r>
          </w:p>
        </w:tc>
        <w:tc>
          <w:tcPr>
            <w:tcW w:w="1157" w:type="dxa"/>
            <w:tcBorders>
              <w:right w:val="nil"/>
            </w:tcBorders>
            <w:vAlign w:val="top"/>
          </w:tcPr>
          <w:p>
            <w:pPr>
              <w:spacing w:before="109" w:line="230"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8.49%</w:t>
            </w:r>
          </w:p>
        </w:tc>
      </w:tr>
      <w:tr>
        <w:tblPrEx>
          <w:tblW w:w="8696" w:type="dxa"/>
          <w:tblInd w:w="0" w:type="dxa"/>
          <w:tblLayout w:type="fixed"/>
        </w:tblPrEx>
        <w:trPr>
          <w:trHeight w:val="384"/>
        </w:trPr>
        <w:tc>
          <w:tcPr>
            <w:tcW w:w="864" w:type="dxa"/>
            <w:tcBorders>
              <w:left w:val="nil"/>
            </w:tcBorders>
            <w:vAlign w:val="top"/>
          </w:tcPr>
          <w:p>
            <w:pPr>
              <w:spacing w:before="113"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378"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97" w:type="dxa"/>
            <w:vAlign w:val="top"/>
          </w:tcPr>
          <w:p>
            <w:pPr>
              <w:spacing w:before="110" w:line="201"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57" w:type="dxa"/>
            <w:tcBorders>
              <w:right w:val="nil"/>
            </w:tcBorders>
            <w:vAlign w:val="top"/>
          </w:tcPr>
          <w:p>
            <w:pPr>
              <w:spacing w:before="113"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8.24%</w:t>
            </w:r>
          </w:p>
        </w:tc>
      </w:tr>
      <w:tr>
        <w:tblPrEx>
          <w:tblW w:w="8696" w:type="dxa"/>
          <w:tblInd w:w="0" w:type="dxa"/>
          <w:tblLayout w:type="fixed"/>
        </w:tblPrEx>
        <w:trPr>
          <w:trHeight w:val="546"/>
        </w:trPr>
        <w:tc>
          <w:tcPr>
            <w:tcW w:w="864" w:type="dxa"/>
            <w:tcBorders>
              <w:left w:val="nil"/>
            </w:tcBorders>
            <w:vAlign w:val="top"/>
          </w:tcPr>
          <w:p>
            <w:pPr>
              <w:spacing w:before="194"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378" w:type="dxa"/>
            <w:vAlign w:val="top"/>
          </w:tcPr>
          <w:p>
            <w:pPr>
              <w:spacing w:before="26" w:line="224" w:lineRule="auto"/>
              <w:ind w:left="112" w:right="436"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97" w:type="dxa"/>
            <w:vAlign w:val="top"/>
          </w:tcPr>
          <w:p>
            <w:pPr>
              <w:spacing w:before="191" w:line="201"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57" w:type="dxa"/>
            <w:tcBorders>
              <w:right w:val="nil"/>
            </w:tcBorders>
            <w:vAlign w:val="top"/>
          </w:tcPr>
          <w:p>
            <w:pPr>
              <w:spacing w:before="194"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8.24%</w:t>
            </w:r>
          </w:p>
        </w:tc>
      </w:tr>
      <w:tr>
        <w:tblPrEx>
          <w:tblW w:w="8696" w:type="dxa"/>
          <w:tblInd w:w="0" w:type="dxa"/>
          <w:tblLayout w:type="fixed"/>
        </w:tblPrEx>
        <w:trPr>
          <w:trHeight w:val="384"/>
        </w:trPr>
        <w:tc>
          <w:tcPr>
            <w:tcW w:w="864" w:type="dxa"/>
            <w:tcBorders>
              <w:left w:val="nil"/>
            </w:tcBorders>
            <w:vAlign w:val="top"/>
          </w:tcPr>
          <w:p>
            <w:pPr>
              <w:spacing w:before="122"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378" w:type="dxa"/>
            <w:vAlign w:val="top"/>
          </w:tcPr>
          <w:p>
            <w:pPr>
              <w:spacing w:before="80"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97" w:type="dxa"/>
            <w:vAlign w:val="top"/>
          </w:tcPr>
          <w:p>
            <w:pPr>
              <w:spacing w:before="119" w:line="187" w:lineRule="auto"/>
              <w:ind w:left="6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57" w:type="dxa"/>
            <w:tcBorders>
              <w:right w:val="nil"/>
            </w:tcBorders>
            <w:vAlign w:val="top"/>
          </w:tcPr>
          <w:p>
            <w:pPr>
              <w:spacing w:before="119"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2.47%</w:t>
            </w:r>
          </w:p>
        </w:tc>
      </w:tr>
      <w:tr>
        <w:tblPrEx>
          <w:tblW w:w="8696" w:type="dxa"/>
          <w:tblInd w:w="0" w:type="dxa"/>
          <w:tblLayout w:type="fixed"/>
        </w:tblPrEx>
        <w:trPr>
          <w:trHeight w:val="551"/>
        </w:trPr>
        <w:tc>
          <w:tcPr>
            <w:tcW w:w="864" w:type="dxa"/>
            <w:tcBorders>
              <w:left w:val="nil"/>
            </w:tcBorders>
            <w:vAlign w:val="top"/>
          </w:tcPr>
          <w:p>
            <w:pPr>
              <w:spacing w:before="200"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378" w:type="dxa"/>
            <w:vAlign w:val="top"/>
          </w:tcPr>
          <w:p>
            <w:pPr>
              <w:spacing w:before="26" w:line="226" w:lineRule="auto"/>
              <w:ind w:left="112" w:right="229"/>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97" w:type="dxa"/>
            <w:vAlign w:val="top"/>
          </w:tcPr>
          <w:p>
            <w:pPr>
              <w:spacing w:before="200" w:line="187" w:lineRule="auto"/>
              <w:ind w:left="6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57" w:type="dxa"/>
            <w:tcBorders>
              <w:right w:val="nil"/>
            </w:tcBorders>
            <w:vAlign w:val="top"/>
          </w:tcPr>
          <w:p>
            <w:pPr>
              <w:spacing w:before="200"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1.65%</w:t>
            </w:r>
          </w:p>
        </w:tc>
      </w:tr>
      <w:tr>
        <w:tblPrEx>
          <w:tblW w:w="8696" w:type="dxa"/>
          <w:tblInd w:w="0" w:type="dxa"/>
          <w:tblLayout w:type="fixed"/>
        </w:tblPrEx>
        <w:trPr>
          <w:trHeight w:val="383"/>
        </w:trPr>
        <w:tc>
          <w:tcPr>
            <w:tcW w:w="864" w:type="dxa"/>
            <w:tcBorders>
              <w:left w:val="nil"/>
            </w:tcBorders>
            <w:vAlign w:val="top"/>
          </w:tcPr>
          <w:p>
            <w:pPr>
              <w:spacing w:before="118" w:line="184"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5378" w:type="dxa"/>
            <w:vAlign w:val="top"/>
          </w:tcPr>
          <w:p>
            <w:pPr>
              <w:spacing w:before="81" w:line="220" w:lineRule="auto"/>
              <w:ind w:left="116"/>
              <w:rPr>
                <w:rFonts w:ascii="SimSun" w:eastAsia="SimSun" w:hAnsi="SimSun" w:cs="SimSun"/>
                <w:sz w:val="21"/>
                <w:szCs w:val="21"/>
              </w:rPr>
            </w:pPr>
            <w:r>
              <w:rPr>
                <w:rFonts w:ascii="SimSun" w:eastAsia="SimSun" w:hAnsi="SimSun" w:cs="SimSun"/>
                <w:spacing w:val="-1"/>
                <w:sz w:val="21"/>
                <w:szCs w:val="21"/>
              </w:rPr>
              <w:t>常州华辉创业投资合伙企业（有限合伙）</w:t>
            </w:r>
          </w:p>
        </w:tc>
        <w:tc>
          <w:tcPr>
            <w:tcW w:w="1297" w:type="dxa"/>
            <w:vAlign w:val="top"/>
          </w:tcPr>
          <w:p>
            <w:pPr>
              <w:spacing w:before="11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1,064.82</w:t>
            </w:r>
          </w:p>
        </w:tc>
        <w:tc>
          <w:tcPr>
            <w:tcW w:w="1157" w:type="dxa"/>
            <w:tcBorders>
              <w:right w:val="nil"/>
            </w:tcBorders>
            <w:vAlign w:val="top"/>
          </w:tcPr>
          <w:p>
            <w:pPr>
              <w:spacing w:before="115"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7.89%</w:t>
            </w:r>
          </w:p>
        </w:tc>
      </w:tr>
      <w:tr>
        <w:tblPrEx>
          <w:tblW w:w="8696" w:type="dxa"/>
          <w:tblInd w:w="0" w:type="dxa"/>
          <w:tblLayout w:type="fixed"/>
        </w:tblPrEx>
        <w:trPr>
          <w:trHeight w:val="407"/>
        </w:trPr>
        <w:tc>
          <w:tcPr>
            <w:tcW w:w="6242" w:type="dxa"/>
            <w:gridSpan w:val="2"/>
            <w:tcBorders>
              <w:left w:val="nil"/>
            </w:tcBorders>
            <w:vAlign w:val="top"/>
          </w:tcPr>
          <w:p>
            <w:pPr>
              <w:spacing w:before="82" w:line="222" w:lineRule="auto"/>
              <w:ind w:left="2929"/>
              <w:rPr>
                <w:rFonts w:ascii="SimSun" w:eastAsia="SimSun" w:hAnsi="SimSun" w:cs="SimSun"/>
                <w:sz w:val="21"/>
                <w:szCs w:val="21"/>
              </w:rPr>
            </w:pPr>
            <w:r>
              <w:rPr>
                <w:rFonts w:ascii="SimSun" w:eastAsia="SimSun" w:hAnsi="SimSun" w:cs="SimSun"/>
                <w:b/>
                <w:bCs/>
                <w:spacing w:val="-4"/>
                <w:sz w:val="21"/>
                <w:szCs w:val="21"/>
              </w:rPr>
              <w:t>合计</w:t>
            </w:r>
          </w:p>
        </w:tc>
        <w:tc>
          <w:tcPr>
            <w:tcW w:w="1297" w:type="dxa"/>
            <w:vAlign w:val="top"/>
          </w:tcPr>
          <w:p>
            <w:pPr>
              <w:spacing w:before="120" w:line="196" w:lineRule="auto"/>
              <w:ind w:left="36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13,487.65</w:t>
            </w:r>
          </w:p>
        </w:tc>
        <w:tc>
          <w:tcPr>
            <w:tcW w:w="1157" w:type="dxa"/>
            <w:tcBorders>
              <w:right w:val="nil"/>
            </w:tcBorders>
            <w:vAlign w:val="top"/>
          </w:tcPr>
          <w:p>
            <w:pPr>
              <w:spacing w:before="120" w:line="227" w:lineRule="auto"/>
              <w:ind w:left="275"/>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pPr>
      <w:r>
        <w:rPr>
          <w:spacing w:val="-5"/>
        </w:rPr>
        <w:t>（</w:t>
      </w:r>
      <w:r>
        <w:rPr>
          <w:rFonts w:ascii="Times New Roman" w:eastAsia="Times New Roman" w:hAnsi="Times New Roman" w:cs="Times New Roman"/>
          <w:spacing w:val="-5"/>
        </w:rPr>
        <w:t>5</w:t>
      </w:r>
      <w:r>
        <w:rPr>
          <w:spacing w:val="-5"/>
        </w:rPr>
        <w:t>）债转股</w:t>
      </w:r>
    </w:p>
    <w:p>
      <w:pPr>
        <w:pStyle w:val="BodyText"/>
        <w:spacing w:before="224" w:line="347" w:lineRule="auto"/>
        <w:ind w:left="139" w:right="86" w:firstLine="447"/>
      </w:pPr>
      <w:r>
        <w:rPr>
          <w:rFonts w:ascii="Times New Roman" w:eastAsia="Times New Roman" w:hAnsi="Times New Roman" w:cs="Times New Roman"/>
          <w:spacing w:val="-10"/>
        </w:rPr>
        <w:t xml:space="preserve">2021 </w:t>
      </w:r>
      <w:r>
        <w:rPr>
          <w:spacing w:val="-10"/>
        </w:rPr>
        <w:t>年</w:t>
      </w:r>
      <w:r>
        <w:rPr>
          <w:spacing w:val="-31"/>
        </w:rPr>
        <w:t xml:space="preserve"> </w:t>
      </w:r>
      <w:r>
        <w:rPr>
          <w:rFonts w:ascii="Times New Roman" w:eastAsia="Times New Roman" w:hAnsi="Times New Roman" w:cs="Times New Roman"/>
          <w:spacing w:val="-10"/>
        </w:rPr>
        <w:t>12</w:t>
      </w:r>
      <w:r>
        <w:rPr>
          <w:rFonts w:ascii="Times New Roman" w:eastAsia="Times New Roman" w:hAnsi="Times New Roman" w:cs="Times New Roman"/>
          <w:spacing w:val="13"/>
        </w:rPr>
        <w:t xml:space="preserve"> </w:t>
      </w:r>
      <w:r>
        <w:rPr>
          <w:spacing w:val="-10"/>
        </w:rPr>
        <w:t>月，</w:t>
      </w:r>
      <w:r>
        <w:rPr>
          <w:spacing w:val="-30"/>
        </w:rPr>
        <w:t xml:space="preserve"> </w:t>
      </w:r>
      <w:r>
        <w:rPr>
          <w:spacing w:val="-10"/>
        </w:rPr>
        <w:t>经公司股东会决议同意，</w:t>
      </w:r>
      <w:r>
        <w:rPr>
          <w:spacing w:val="-58"/>
        </w:rPr>
        <w:t xml:space="preserve"> </w:t>
      </w:r>
      <w:r>
        <w:rPr>
          <w:spacing w:val="-10"/>
        </w:rPr>
        <w:t>凤阳硅谷增加注册资本</w:t>
      </w:r>
      <w:r>
        <w:rPr>
          <w:spacing w:val="-57"/>
        </w:rPr>
        <w:t xml:space="preserve"> </w:t>
      </w:r>
      <w:r>
        <w:rPr>
          <w:rFonts w:ascii="Times New Roman" w:eastAsia="Times New Roman" w:hAnsi="Times New Roman" w:cs="Times New Roman"/>
          <w:spacing w:val="-10"/>
        </w:rPr>
        <w:t>465.09</w:t>
      </w:r>
      <w:r>
        <w:rPr>
          <w:rFonts w:ascii="Times New Roman" w:eastAsia="Times New Roman" w:hAnsi="Times New Roman" w:cs="Times New Roman"/>
          <w:spacing w:val="13"/>
        </w:rPr>
        <w:t xml:space="preserve"> </w:t>
      </w:r>
      <w:r>
        <w:rPr>
          <w:spacing w:val="-10"/>
        </w:rPr>
        <w:t>万元，</w:t>
      </w:r>
      <w:r>
        <w:t xml:space="preserve"> </w:t>
      </w:r>
      <w:r>
        <w:rPr>
          <w:spacing w:val="-6"/>
        </w:rPr>
        <w:t>由寿光达领企业管理咨询中心（有限合伙）</w:t>
      </w:r>
      <w:r>
        <w:rPr>
          <w:spacing w:val="44"/>
        </w:rPr>
        <w:t xml:space="preserve"> </w:t>
      </w:r>
      <w:r>
        <w:rPr>
          <w:spacing w:val="-6"/>
        </w:rPr>
        <w:t>以其对凤阳</w:t>
      </w:r>
      <w:r>
        <w:rPr>
          <w:spacing w:val="-7"/>
        </w:rPr>
        <w:t>硅谷的</w:t>
      </w:r>
      <w:r>
        <w:rPr>
          <w:spacing w:val="-33"/>
        </w:rPr>
        <w:t xml:space="preserve"> </w:t>
      </w:r>
      <w:r>
        <w:rPr>
          <w:rFonts w:ascii="Times New Roman" w:eastAsia="Times New Roman" w:hAnsi="Times New Roman" w:cs="Times New Roman"/>
          <w:spacing w:val="-7"/>
        </w:rPr>
        <w:t>10,000.00</w:t>
      </w:r>
      <w:r>
        <w:rPr>
          <w:rFonts w:ascii="Times New Roman" w:eastAsia="Times New Roman" w:hAnsi="Times New Roman" w:cs="Times New Roman"/>
          <w:spacing w:val="14"/>
        </w:rPr>
        <w:t xml:space="preserve"> </w:t>
      </w:r>
      <w:r>
        <w:rPr>
          <w:spacing w:val="-7"/>
        </w:rPr>
        <w:t>万元债权</w:t>
      </w:r>
    </w:p>
    <w:p>
      <w:pPr>
        <w:pStyle w:val="BodyText"/>
        <w:spacing w:before="1" w:line="218" w:lineRule="auto"/>
        <w:ind w:left="110"/>
      </w:pPr>
      <w:r>
        <w:rPr>
          <w:spacing w:val="-1"/>
        </w:rPr>
        <w:t>认购。本次债转股完成后，凤阳硅谷的股权结构如下表所示：</w:t>
      </w:r>
    </w:p>
    <w:p>
      <w:pPr>
        <w:pStyle w:val="BodyText"/>
        <w:spacing w:before="239" w:line="220" w:lineRule="auto"/>
        <w:ind w:right="25"/>
        <w:jc w:val="right"/>
        <w:rPr>
          <w:sz w:val="21"/>
          <w:szCs w:val="21"/>
        </w:rPr>
      </w:pPr>
      <w:r>
        <w:rPr>
          <w:spacing w:val="-14"/>
          <w:sz w:val="21"/>
          <w:szCs w:val="21"/>
        </w:rPr>
        <w:t>金额单位：</w:t>
      </w:r>
      <w:r>
        <w:rPr>
          <w:spacing w:val="30"/>
          <w:sz w:val="21"/>
          <w:szCs w:val="21"/>
        </w:rPr>
        <w:t xml:space="preserve"> </w:t>
      </w:r>
      <w:r>
        <w:rPr>
          <w:spacing w:val="-14"/>
          <w:sz w:val="21"/>
          <w:szCs w:val="21"/>
        </w:rPr>
        <w:t>人民币万元</w:t>
      </w:r>
    </w:p>
    <w:tbl>
      <w:tblPr>
        <w:tblStyle w:val="TableNormal7"/>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426"/>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864" w:type="dxa"/>
            <w:tcBorders>
              <w:left w:val="nil"/>
            </w:tcBorders>
            <w:vAlign w:val="top"/>
          </w:tcPr>
          <w:p>
            <w:pPr>
              <w:spacing w:before="187" w:line="222" w:lineRule="auto"/>
              <w:ind w:left="237"/>
              <w:rPr>
                <w:rFonts w:ascii="SimSun" w:eastAsia="SimSun" w:hAnsi="SimSun" w:cs="SimSun"/>
                <w:sz w:val="21"/>
                <w:szCs w:val="21"/>
              </w:rPr>
            </w:pPr>
            <w:r>
              <w:rPr>
                <w:rFonts w:ascii="SimSun" w:eastAsia="SimSun" w:hAnsi="SimSun" w:cs="SimSun"/>
                <w:b/>
                <w:bCs/>
                <w:spacing w:val="-4"/>
                <w:sz w:val="21"/>
                <w:szCs w:val="21"/>
              </w:rPr>
              <w:t>序号</w:t>
            </w:r>
          </w:p>
        </w:tc>
        <w:tc>
          <w:tcPr>
            <w:tcW w:w="5426" w:type="dxa"/>
            <w:vAlign w:val="top"/>
          </w:tcPr>
          <w:p>
            <w:pPr>
              <w:spacing w:before="187" w:line="221" w:lineRule="auto"/>
              <w:ind w:left="2292"/>
              <w:rPr>
                <w:rFonts w:ascii="SimSun" w:eastAsia="SimSun" w:hAnsi="SimSun" w:cs="SimSun"/>
                <w:sz w:val="21"/>
                <w:szCs w:val="21"/>
              </w:rPr>
            </w:pPr>
            <w:r>
              <w:rPr>
                <w:rFonts w:ascii="SimSun" w:eastAsia="SimSun" w:hAnsi="SimSun" w:cs="SimSun"/>
                <w:b/>
                <w:bCs/>
                <w:spacing w:val="-3"/>
                <w:sz w:val="21"/>
                <w:szCs w:val="21"/>
              </w:rPr>
              <w:t>股东名称</w:t>
            </w:r>
          </w:p>
        </w:tc>
        <w:tc>
          <w:tcPr>
            <w:tcW w:w="1244" w:type="dxa"/>
            <w:vAlign w:val="top"/>
          </w:tcPr>
          <w:p>
            <w:pPr>
              <w:spacing w:before="48" w:line="227" w:lineRule="auto"/>
              <w:ind w:left="524" w:right="194" w:hanging="317"/>
              <w:rPr>
                <w:rFonts w:ascii="SimSun" w:eastAsia="SimSun" w:hAnsi="SimSun" w:cs="SimSun"/>
                <w:sz w:val="21"/>
                <w:szCs w:val="21"/>
              </w:rPr>
            </w:pPr>
            <w:r>
              <w:rPr>
                <w:rFonts w:ascii="SimSun" w:eastAsia="SimSun" w:hAnsi="SimSun" w:cs="SimSun"/>
                <w:b/>
                <w:bCs/>
                <w:spacing w:val="-4"/>
                <w:sz w:val="21"/>
                <w:szCs w:val="21"/>
              </w:rPr>
              <w:t>认缴出资</w:t>
            </w:r>
            <w:r>
              <w:rPr>
                <w:rFonts w:ascii="SimSun" w:eastAsia="SimSun" w:hAnsi="SimSun" w:cs="SimSun"/>
                <w:spacing w:val="2"/>
                <w:sz w:val="21"/>
                <w:szCs w:val="21"/>
              </w:rPr>
              <w:t xml:space="preserve"> </w:t>
            </w:r>
            <w:r>
              <w:rPr>
                <w:rFonts w:ascii="SimSun" w:eastAsia="SimSun" w:hAnsi="SimSun" w:cs="SimSun"/>
                <w:b/>
                <w:bCs/>
                <w:spacing w:val="-3"/>
                <w:sz w:val="21"/>
                <w:szCs w:val="21"/>
              </w:rPr>
              <w:t>额</w:t>
            </w:r>
          </w:p>
        </w:tc>
        <w:tc>
          <w:tcPr>
            <w:tcW w:w="1162" w:type="dxa"/>
            <w:tcBorders>
              <w:right w:val="nil"/>
            </w:tcBorders>
            <w:vAlign w:val="top"/>
          </w:tcPr>
          <w:p>
            <w:pPr>
              <w:spacing w:before="187" w:line="221" w:lineRule="auto"/>
              <w:ind w:left="166"/>
              <w:rPr>
                <w:rFonts w:ascii="SimSun" w:eastAsia="SimSun" w:hAnsi="SimSun" w:cs="SimSun"/>
                <w:sz w:val="21"/>
                <w:szCs w:val="21"/>
              </w:rPr>
            </w:pPr>
            <w:r>
              <w:rPr>
                <w:rFonts w:ascii="SimSun" w:eastAsia="SimSun" w:hAnsi="SimSun" w:cs="SimSun"/>
                <w:b/>
                <w:bCs/>
                <w:spacing w:val="-4"/>
                <w:sz w:val="21"/>
                <w:szCs w:val="21"/>
              </w:rPr>
              <w:t>持股比例</w:t>
            </w:r>
          </w:p>
        </w:tc>
      </w:tr>
      <w:tr>
        <w:tblPrEx>
          <w:tblW w:w="8696" w:type="dxa"/>
          <w:tblInd w:w="0" w:type="dxa"/>
          <w:tblLayout w:type="fixed"/>
        </w:tblPrEx>
        <w:trPr>
          <w:trHeight w:val="379"/>
        </w:trPr>
        <w:tc>
          <w:tcPr>
            <w:tcW w:w="864" w:type="dxa"/>
            <w:tcBorders>
              <w:left w:val="nil"/>
            </w:tcBorders>
            <w:vAlign w:val="top"/>
          </w:tcPr>
          <w:p>
            <w:pPr>
              <w:spacing w:before="112"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26"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44" w:type="dxa"/>
            <w:vAlign w:val="top"/>
          </w:tcPr>
          <w:p>
            <w:pPr>
              <w:spacing w:before="108"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12"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60.9199%</w:t>
            </w:r>
          </w:p>
        </w:tc>
      </w:tr>
      <w:tr>
        <w:tblPrEx>
          <w:tblW w:w="8696" w:type="dxa"/>
          <w:tblInd w:w="0" w:type="dxa"/>
          <w:tblLayout w:type="fixed"/>
        </w:tblPrEx>
        <w:trPr>
          <w:trHeight w:val="384"/>
        </w:trPr>
        <w:tc>
          <w:tcPr>
            <w:tcW w:w="864" w:type="dxa"/>
            <w:tcBorders>
              <w:left w:val="nil"/>
            </w:tcBorders>
            <w:vAlign w:val="top"/>
          </w:tcPr>
          <w:p>
            <w:pPr>
              <w:spacing w:before="117"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26" w:type="dxa"/>
            <w:vAlign w:val="top"/>
          </w:tcPr>
          <w:p>
            <w:pPr>
              <w:spacing w:before="83"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44" w:type="dxa"/>
            <w:vAlign w:val="top"/>
          </w:tcPr>
          <w:p>
            <w:pPr>
              <w:spacing w:before="117"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162" w:type="dxa"/>
            <w:tcBorders>
              <w:right w:val="nil"/>
            </w:tcBorders>
            <w:vAlign w:val="top"/>
          </w:tcPr>
          <w:p>
            <w:pPr>
              <w:spacing w:before="114" w:line="230" w:lineRule="auto"/>
              <w:ind w:left="2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11.5400%</w:t>
            </w:r>
          </w:p>
        </w:tc>
      </w:tr>
      <w:tr>
        <w:tblPrEx>
          <w:tblW w:w="8696" w:type="dxa"/>
          <w:tblInd w:w="0" w:type="dxa"/>
          <w:tblLayout w:type="fixed"/>
        </w:tblPrEx>
        <w:trPr>
          <w:trHeight w:val="383"/>
        </w:trPr>
        <w:tc>
          <w:tcPr>
            <w:tcW w:w="864" w:type="dxa"/>
            <w:tcBorders>
              <w:left w:val="nil"/>
            </w:tcBorders>
            <w:vAlign w:val="top"/>
          </w:tcPr>
          <w:p>
            <w:pPr>
              <w:spacing w:before="117"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26" w:type="dxa"/>
            <w:vAlign w:val="top"/>
          </w:tcPr>
          <w:p>
            <w:pPr>
              <w:spacing w:before="78"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3"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7"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7.9634%</w:t>
            </w:r>
          </w:p>
        </w:tc>
      </w:tr>
      <w:tr>
        <w:tblPrEx>
          <w:tblW w:w="8696" w:type="dxa"/>
          <w:tblInd w:w="0" w:type="dxa"/>
          <w:tblLayout w:type="fixed"/>
        </w:tblPrEx>
        <w:trPr>
          <w:trHeight w:val="551"/>
        </w:trPr>
        <w:tc>
          <w:tcPr>
            <w:tcW w:w="864" w:type="dxa"/>
            <w:tcBorders>
              <w:left w:val="nil"/>
            </w:tcBorders>
            <w:vAlign w:val="top"/>
          </w:tcPr>
          <w:p>
            <w:pPr>
              <w:spacing w:before="199"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26" w:type="dxa"/>
            <w:vAlign w:val="top"/>
          </w:tcPr>
          <w:p>
            <w:pPr>
              <w:spacing w:before="26" w:line="226" w:lineRule="auto"/>
              <w:ind w:left="112" w:right="484"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6"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99"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7.9634%</w:t>
            </w:r>
          </w:p>
        </w:tc>
      </w:tr>
      <w:tr>
        <w:tblPrEx>
          <w:tblW w:w="8696" w:type="dxa"/>
          <w:tblInd w:w="0" w:type="dxa"/>
          <w:tblLayout w:type="fixed"/>
        </w:tblPrEx>
        <w:trPr>
          <w:trHeight w:val="384"/>
        </w:trPr>
        <w:tc>
          <w:tcPr>
            <w:tcW w:w="864" w:type="dxa"/>
            <w:tcBorders>
              <w:left w:val="nil"/>
            </w:tcBorders>
            <w:vAlign w:val="top"/>
          </w:tcPr>
          <w:p>
            <w:pPr>
              <w:spacing w:before="116"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26" w:type="dxa"/>
            <w:vAlign w:val="top"/>
          </w:tcPr>
          <w:p>
            <w:pPr>
              <w:spacing w:before="79"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3"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3" w:line="187" w:lineRule="auto"/>
              <w:ind w:left="304"/>
              <w:rPr>
                <w:rFonts w:ascii="Times New Roman" w:eastAsia="Times New Roman" w:hAnsi="Times New Roman" w:cs="Times New Roman"/>
                <w:sz w:val="21"/>
                <w:szCs w:val="21"/>
              </w:rPr>
            </w:pPr>
            <w:r>
              <w:rPr>
                <w:rFonts w:ascii="Times New Roman" w:eastAsia="Times New Roman" w:hAnsi="Times New Roman" w:cs="Times New Roman"/>
                <w:sz w:val="21"/>
                <w:szCs w:val="21"/>
              </w:rPr>
              <w:t>2.3890%</w:t>
            </w:r>
          </w:p>
        </w:tc>
      </w:tr>
      <w:tr>
        <w:tblPrEx>
          <w:tblW w:w="8696" w:type="dxa"/>
          <w:tblInd w:w="0" w:type="dxa"/>
          <w:tblLayout w:type="fixed"/>
        </w:tblPrEx>
        <w:trPr>
          <w:trHeight w:val="546"/>
        </w:trPr>
        <w:tc>
          <w:tcPr>
            <w:tcW w:w="864" w:type="dxa"/>
            <w:tcBorders>
              <w:left w:val="nil"/>
            </w:tcBorders>
            <w:vAlign w:val="top"/>
          </w:tcPr>
          <w:p>
            <w:pPr>
              <w:spacing w:before="195"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26" w:type="dxa"/>
            <w:vAlign w:val="top"/>
          </w:tcPr>
          <w:p>
            <w:pPr>
              <w:spacing w:before="28" w:line="223" w:lineRule="auto"/>
              <w:ind w:left="112" w:right="277"/>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195"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5"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1.5927%</w:t>
            </w:r>
          </w:p>
        </w:tc>
      </w:tr>
      <w:tr>
        <w:tblPrEx>
          <w:tblW w:w="8696" w:type="dxa"/>
          <w:tblInd w:w="0" w:type="dxa"/>
          <w:tblLayout w:type="fixed"/>
        </w:tblPrEx>
        <w:trPr>
          <w:trHeight w:val="383"/>
        </w:trPr>
        <w:tc>
          <w:tcPr>
            <w:tcW w:w="864" w:type="dxa"/>
            <w:tcBorders>
              <w:left w:val="nil"/>
            </w:tcBorders>
            <w:vAlign w:val="top"/>
          </w:tcPr>
          <w:p>
            <w:pPr>
              <w:spacing w:before="118" w:line="184"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5426" w:type="dxa"/>
            <w:vAlign w:val="top"/>
          </w:tcPr>
          <w:p>
            <w:pPr>
              <w:spacing w:before="81" w:line="220" w:lineRule="auto"/>
              <w:ind w:left="116"/>
              <w:rPr>
                <w:rFonts w:ascii="SimSun" w:eastAsia="SimSun" w:hAnsi="SimSun" w:cs="SimSun"/>
                <w:sz w:val="21"/>
                <w:szCs w:val="21"/>
              </w:rPr>
            </w:pPr>
            <w:r>
              <w:rPr>
                <w:rFonts w:ascii="SimSun" w:eastAsia="SimSun" w:hAnsi="SimSun" w:cs="SimSun"/>
                <w:spacing w:val="-1"/>
                <w:sz w:val="21"/>
                <w:szCs w:val="21"/>
              </w:rPr>
              <w:t>常州华辉创业投资合伙企业（有限合伙）</w:t>
            </w:r>
          </w:p>
        </w:tc>
        <w:tc>
          <w:tcPr>
            <w:tcW w:w="1244" w:type="dxa"/>
            <w:vAlign w:val="top"/>
          </w:tcPr>
          <w:p>
            <w:pPr>
              <w:spacing w:before="115"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1,064.82</w:t>
            </w:r>
          </w:p>
        </w:tc>
        <w:tc>
          <w:tcPr>
            <w:tcW w:w="1162" w:type="dxa"/>
            <w:tcBorders>
              <w:right w:val="nil"/>
            </w:tcBorders>
            <w:vAlign w:val="top"/>
          </w:tcPr>
          <w:p>
            <w:pPr>
              <w:spacing w:before="115"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7.6316%</w:t>
            </w:r>
          </w:p>
        </w:tc>
      </w:tr>
    </w:tbl>
    <w:p>
      <w:pPr>
        <w:sectPr>
          <w:headerReference w:type="default" r:id="rId47"/>
          <w:footerReference w:type="default" r:id="rId48"/>
          <w:pgSz w:w="11905" w:h="16839"/>
          <w:pgMar w:top="1637" w:right="1608" w:bottom="1579" w:left="1598" w:header="1154" w:footer="1314" w:gutter="0"/>
          <w:pgNumType w:start="23"/>
          <w:cols w:space="708"/>
        </w:sectPr>
      </w:pPr>
    </w:p>
    <w:tbl>
      <w:tblPr>
        <w:tblStyle w:val="TableNormal8"/>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90"/>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6290" w:type="dxa"/>
            <w:tcBorders>
              <w:left w:val="nil"/>
            </w:tcBorders>
            <w:vAlign w:val="top"/>
          </w:tcPr>
          <w:p>
            <w:pPr>
              <w:spacing w:before="82" w:line="222" w:lineRule="auto"/>
              <w:ind w:left="2953"/>
              <w:rPr>
                <w:rFonts w:ascii="SimSun" w:eastAsia="SimSun" w:hAnsi="SimSun" w:cs="SimSun"/>
                <w:sz w:val="21"/>
                <w:szCs w:val="21"/>
              </w:rPr>
            </w:pPr>
            <w:r>
              <w:rPr>
                <w:rFonts w:ascii="SimSun" w:eastAsia="SimSun" w:hAnsi="SimSun" w:cs="SimSun"/>
                <w:b/>
                <w:bCs/>
                <w:spacing w:val="-4"/>
                <w:sz w:val="21"/>
                <w:szCs w:val="21"/>
              </w:rPr>
              <w:t>合计</w:t>
            </w:r>
          </w:p>
        </w:tc>
        <w:tc>
          <w:tcPr>
            <w:tcW w:w="1244" w:type="dxa"/>
            <w:vAlign w:val="top"/>
          </w:tcPr>
          <w:p>
            <w:pPr>
              <w:spacing w:before="120" w:line="196" w:lineRule="auto"/>
              <w:ind w:left="30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13,952.74</w:t>
            </w:r>
          </w:p>
        </w:tc>
        <w:tc>
          <w:tcPr>
            <w:tcW w:w="1162" w:type="dxa"/>
            <w:tcBorders>
              <w:right w:val="nil"/>
            </w:tcBorders>
            <w:vAlign w:val="top"/>
          </w:tcPr>
          <w:p>
            <w:pPr>
              <w:spacing w:before="120" w:line="227" w:lineRule="auto"/>
              <w:ind w:left="28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pPr>
      <w:r>
        <w:rPr>
          <w:spacing w:val="-2"/>
        </w:rPr>
        <w:t>（</w:t>
      </w:r>
      <w:r>
        <w:rPr>
          <w:rFonts w:ascii="Times New Roman" w:eastAsia="Times New Roman" w:hAnsi="Times New Roman" w:cs="Times New Roman"/>
          <w:spacing w:val="-2"/>
        </w:rPr>
        <w:t>6</w:t>
      </w:r>
      <w:r>
        <w:rPr>
          <w:spacing w:val="-2"/>
        </w:rPr>
        <w:t>）第一次定向减资</w:t>
      </w:r>
    </w:p>
    <w:p>
      <w:pPr>
        <w:pStyle w:val="BodyText"/>
        <w:spacing w:before="154" w:line="360" w:lineRule="auto"/>
        <w:ind w:left="113" w:right="93" w:firstLine="473"/>
      </w:pPr>
      <w:r>
        <w:rPr>
          <w:rFonts w:ascii="Times New Roman" w:eastAsia="Times New Roman" w:hAnsi="Times New Roman" w:cs="Times New Roman"/>
          <w:spacing w:val="-11"/>
        </w:rPr>
        <w:t>2022</w:t>
      </w:r>
      <w:r>
        <w:rPr>
          <w:rFonts w:ascii="Times New Roman" w:eastAsia="Times New Roman" w:hAnsi="Times New Roman" w:cs="Times New Roman"/>
          <w:spacing w:val="32"/>
        </w:rPr>
        <w:t xml:space="preserve"> </w:t>
      </w:r>
      <w:r>
        <w:rPr>
          <w:spacing w:val="-11"/>
        </w:rPr>
        <w:t xml:space="preserve">年 </w:t>
      </w:r>
      <w:r>
        <w:rPr>
          <w:rFonts w:ascii="Times New Roman" w:eastAsia="Times New Roman" w:hAnsi="Times New Roman" w:cs="Times New Roman"/>
          <w:spacing w:val="-11"/>
        </w:rPr>
        <w:t>12</w:t>
      </w:r>
      <w:r>
        <w:rPr>
          <w:rFonts w:ascii="Times New Roman" w:eastAsia="Times New Roman" w:hAnsi="Times New Roman" w:cs="Times New Roman"/>
          <w:spacing w:val="23"/>
        </w:rPr>
        <w:t xml:space="preserve"> </w:t>
      </w:r>
      <w:r>
        <w:rPr>
          <w:spacing w:val="-11"/>
        </w:rPr>
        <w:t xml:space="preserve">月 </w:t>
      </w:r>
      <w:r>
        <w:rPr>
          <w:rFonts w:ascii="Times New Roman" w:eastAsia="Times New Roman" w:hAnsi="Times New Roman" w:cs="Times New Roman"/>
          <w:spacing w:val="-11"/>
        </w:rPr>
        <w:t xml:space="preserve">16  </w:t>
      </w:r>
      <w:r>
        <w:rPr>
          <w:spacing w:val="-11"/>
        </w:rPr>
        <w:t>日，经公司股东会决议同意，</w:t>
      </w:r>
      <w:r>
        <w:rPr>
          <w:spacing w:val="73"/>
        </w:rPr>
        <w:t xml:space="preserve"> </w:t>
      </w:r>
      <w:r>
        <w:rPr>
          <w:spacing w:val="-11"/>
        </w:rPr>
        <w:t>公司实施非同比例定向减资，</w:t>
      </w:r>
      <w:r>
        <w:t xml:space="preserve"> </w:t>
      </w:r>
      <w:r>
        <w:rPr>
          <w:spacing w:val="-5"/>
        </w:rPr>
        <w:t>以</w:t>
      </w:r>
      <w:r>
        <w:rPr>
          <w:spacing w:val="-33"/>
        </w:rPr>
        <w:t xml:space="preserve"> </w:t>
      </w:r>
      <w:r>
        <w:rPr>
          <w:rFonts w:ascii="Times New Roman" w:eastAsia="Times New Roman" w:hAnsi="Times New Roman" w:cs="Times New Roman"/>
          <w:spacing w:val="-5"/>
        </w:rPr>
        <w:t xml:space="preserve">176,931,507.00 </w:t>
      </w:r>
      <w:r>
        <w:rPr>
          <w:spacing w:val="-5"/>
        </w:rPr>
        <w:t>元人民币的价格回购常州华辉创业投</w:t>
      </w:r>
      <w:r>
        <w:rPr>
          <w:spacing w:val="-6"/>
        </w:rPr>
        <w:t>资合伙企业（有限合伙） 所</w:t>
      </w:r>
      <w:r>
        <w:t xml:space="preserve"> </w:t>
      </w:r>
      <w:r>
        <w:rPr>
          <w:spacing w:val="-6"/>
        </w:rPr>
        <w:t>持有公司</w:t>
      </w:r>
      <w:r>
        <w:rPr>
          <w:spacing w:val="-53"/>
        </w:rPr>
        <w:t xml:space="preserve"> </w:t>
      </w:r>
      <w:r>
        <w:rPr>
          <w:rFonts w:ascii="Times New Roman" w:eastAsia="Times New Roman" w:hAnsi="Times New Roman" w:cs="Times New Roman"/>
          <w:spacing w:val="-6"/>
        </w:rPr>
        <w:t>7.6316%</w:t>
      </w:r>
      <w:r>
        <w:rPr>
          <w:spacing w:val="-6"/>
        </w:rPr>
        <w:t>股权合计</w:t>
      </w:r>
      <w:r>
        <w:rPr>
          <w:spacing w:val="-34"/>
        </w:rPr>
        <w:t xml:space="preserve"> </w:t>
      </w:r>
      <w:r>
        <w:rPr>
          <w:rFonts w:ascii="Times New Roman" w:eastAsia="Times New Roman" w:hAnsi="Times New Roman" w:cs="Times New Roman"/>
          <w:spacing w:val="-6"/>
        </w:rPr>
        <w:t>1,064.82</w:t>
      </w:r>
      <w:r>
        <w:rPr>
          <w:rFonts w:ascii="Times New Roman" w:eastAsia="Times New Roman" w:hAnsi="Times New Roman" w:cs="Times New Roman"/>
          <w:spacing w:val="14"/>
        </w:rPr>
        <w:t xml:space="preserve"> </w:t>
      </w:r>
      <w:r>
        <w:rPr>
          <w:spacing w:val="-6"/>
        </w:rPr>
        <w:t>万元注册资本。</w:t>
      </w:r>
      <w:r>
        <w:rPr>
          <w:spacing w:val="-7"/>
        </w:rPr>
        <w:t>本次减资完成后， 公司注册资</w:t>
      </w:r>
    </w:p>
    <w:p>
      <w:pPr>
        <w:pStyle w:val="BodyText"/>
        <w:spacing w:line="221" w:lineRule="auto"/>
        <w:ind w:left="111"/>
      </w:pPr>
      <w:r>
        <w:rPr>
          <w:spacing w:val="-2"/>
        </w:rPr>
        <w:t>本由</w:t>
      </w:r>
      <w:r>
        <w:rPr>
          <w:spacing w:val="-34"/>
        </w:rPr>
        <w:t xml:space="preserve"> </w:t>
      </w:r>
      <w:r>
        <w:rPr>
          <w:rFonts w:ascii="Times New Roman" w:eastAsia="Times New Roman" w:hAnsi="Times New Roman" w:cs="Times New Roman"/>
          <w:spacing w:val="-2"/>
        </w:rPr>
        <w:t xml:space="preserve">13,952.74 </w:t>
      </w:r>
      <w:r>
        <w:rPr>
          <w:spacing w:val="-2"/>
        </w:rPr>
        <w:t>万元变更为</w:t>
      </w:r>
      <w:r>
        <w:rPr>
          <w:spacing w:val="-34"/>
        </w:rPr>
        <w:t xml:space="preserve"> </w:t>
      </w:r>
      <w:r>
        <w:rPr>
          <w:rFonts w:ascii="Times New Roman" w:eastAsia="Times New Roman" w:hAnsi="Times New Roman" w:cs="Times New Roman"/>
          <w:spacing w:val="-2"/>
        </w:rPr>
        <w:t>12,8</w:t>
      </w:r>
      <w:r>
        <w:rPr>
          <w:rFonts w:ascii="Times New Roman" w:eastAsia="Times New Roman" w:hAnsi="Times New Roman" w:cs="Times New Roman"/>
          <w:spacing w:val="-3"/>
        </w:rPr>
        <w:t xml:space="preserve">87.92 </w:t>
      </w:r>
      <w:r>
        <w:rPr>
          <w:spacing w:val="-3"/>
        </w:rPr>
        <w:t>万元，凤阳硅谷的股权结构如下表所示：</w:t>
      </w:r>
    </w:p>
    <w:p>
      <w:pPr>
        <w:spacing w:line="221" w:lineRule="auto"/>
        <w:sectPr>
          <w:headerReference w:type="default" r:id="rId49"/>
          <w:footerReference w:type="default" r:id="rId50"/>
          <w:type w:val="nextPage"/>
          <w:pgSz w:w="11905" w:h="16839"/>
          <w:pgMar w:top="1637" w:right="1608" w:bottom="1579" w:left="1598" w:header="1154" w:footer="1314" w:gutter="0"/>
          <w:pgNumType w:start="24"/>
          <w:cols w:space="708"/>
          <w:titlePg w:val="0"/>
        </w:sectPr>
      </w:pPr>
    </w:p>
    <w:p>
      <w:pPr>
        <w:spacing w:before="32"/>
      </w:pPr>
    </w:p>
    <w:tbl>
      <w:tblPr>
        <w:tblStyle w:val="TableNormal9"/>
        <w:tblW w:w="8796"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7"/>
        <w:gridCol w:w="5430"/>
        <w:gridCol w:w="1244"/>
        <w:gridCol w:w="1075"/>
      </w:tblGrid>
      <w:tr>
        <w:tblPrEx>
          <w:tblW w:w="8796"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1047" w:type="dxa"/>
            <w:tcBorders>
              <w:left w:val="nil"/>
            </w:tcBorders>
            <w:vAlign w:val="top"/>
          </w:tcPr>
          <w:p>
            <w:pPr>
              <w:spacing w:before="187" w:line="222" w:lineRule="auto"/>
              <w:ind w:left="324"/>
              <w:rPr>
                <w:rFonts w:ascii="SimSun" w:eastAsia="SimSun" w:hAnsi="SimSun" w:cs="SimSun"/>
                <w:sz w:val="21"/>
                <w:szCs w:val="21"/>
              </w:rPr>
            </w:pPr>
            <w:r>
              <w:rPr>
                <w:rFonts w:ascii="SimSun" w:eastAsia="SimSun" w:hAnsi="SimSun" w:cs="SimSun"/>
                <w:b/>
                <w:bCs/>
                <w:spacing w:val="-4"/>
                <w:sz w:val="21"/>
                <w:szCs w:val="21"/>
              </w:rPr>
              <w:t>序号</w:t>
            </w:r>
          </w:p>
        </w:tc>
        <w:tc>
          <w:tcPr>
            <w:tcW w:w="5430" w:type="dxa"/>
            <w:vAlign w:val="top"/>
          </w:tcPr>
          <w:p>
            <w:pPr>
              <w:spacing w:before="187" w:line="221" w:lineRule="auto"/>
              <w:ind w:left="2296"/>
              <w:rPr>
                <w:rFonts w:ascii="SimSun" w:eastAsia="SimSun" w:hAnsi="SimSun" w:cs="SimSun"/>
                <w:sz w:val="21"/>
                <w:szCs w:val="21"/>
              </w:rPr>
            </w:pPr>
            <w:r>
              <w:rPr>
                <w:rFonts w:ascii="SimSun" w:eastAsia="SimSun" w:hAnsi="SimSun" w:cs="SimSun"/>
                <w:b/>
                <w:bCs/>
                <w:spacing w:val="-3"/>
                <w:sz w:val="21"/>
                <w:szCs w:val="21"/>
              </w:rPr>
              <w:t>股东名称</w:t>
            </w:r>
          </w:p>
        </w:tc>
        <w:tc>
          <w:tcPr>
            <w:tcW w:w="1244" w:type="dxa"/>
            <w:vAlign w:val="top"/>
          </w:tcPr>
          <w:p>
            <w:pPr>
              <w:spacing w:before="54" w:line="225" w:lineRule="auto"/>
              <w:ind w:left="519" w:right="198" w:hanging="316"/>
              <w:rPr>
                <w:rFonts w:ascii="SimSun" w:eastAsia="SimSun" w:hAnsi="SimSun" w:cs="SimSun"/>
                <w:sz w:val="21"/>
                <w:szCs w:val="21"/>
              </w:rPr>
            </w:pPr>
            <w:r>
              <w:rPr>
                <w:rFonts w:ascii="SimSun" w:eastAsia="SimSun" w:hAnsi="SimSun" w:cs="SimSun"/>
                <w:b/>
                <w:bCs/>
                <w:spacing w:val="-4"/>
                <w:sz w:val="21"/>
                <w:szCs w:val="21"/>
              </w:rPr>
              <w:t>认缴出资</w:t>
            </w:r>
            <w:r>
              <w:rPr>
                <w:rFonts w:ascii="SimSun" w:eastAsia="SimSun" w:hAnsi="SimSun" w:cs="SimSun"/>
                <w:spacing w:val="2"/>
                <w:sz w:val="21"/>
                <w:szCs w:val="21"/>
              </w:rPr>
              <w:t xml:space="preserve"> </w:t>
            </w:r>
            <w:r>
              <w:rPr>
                <w:rFonts w:ascii="SimSun" w:eastAsia="SimSun" w:hAnsi="SimSun" w:cs="SimSun"/>
                <w:b/>
                <w:bCs/>
                <w:spacing w:val="-3"/>
                <w:sz w:val="21"/>
                <w:szCs w:val="21"/>
              </w:rPr>
              <w:t>额</w:t>
            </w:r>
          </w:p>
        </w:tc>
        <w:tc>
          <w:tcPr>
            <w:tcW w:w="1075" w:type="dxa"/>
            <w:tcBorders>
              <w:right w:val="nil"/>
            </w:tcBorders>
            <w:vAlign w:val="top"/>
          </w:tcPr>
          <w:p>
            <w:pPr>
              <w:spacing w:before="187" w:line="221" w:lineRule="auto"/>
              <w:ind w:left="123"/>
              <w:rPr>
                <w:rFonts w:ascii="SimSun" w:eastAsia="SimSun" w:hAnsi="SimSun" w:cs="SimSun"/>
                <w:sz w:val="21"/>
                <w:szCs w:val="21"/>
              </w:rPr>
            </w:pPr>
            <w:r>
              <w:rPr>
                <w:rFonts w:ascii="SimSun" w:eastAsia="SimSun" w:hAnsi="SimSun" w:cs="SimSun"/>
                <w:b/>
                <w:bCs/>
                <w:spacing w:val="-4"/>
                <w:sz w:val="21"/>
                <w:szCs w:val="21"/>
              </w:rPr>
              <w:t>持股比例</w:t>
            </w:r>
          </w:p>
        </w:tc>
      </w:tr>
      <w:tr>
        <w:tblPrEx>
          <w:tblW w:w="8796" w:type="dxa"/>
          <w:tblInd w:w="67" w:type="dxa"/>
          <w:tblLayout w:type="fixed"/>
        </w:tblPrEx>
        <w:trPr>
          <w:trHeight w:val="383"/>
        </w:trPr>
        <w:tc>
          <w:tcPr>
            <w:tcW w:w="1047" w:type="dxa"/>
            <w:tcBorders>
              <w:left w:val="nil"/>
            </w:tcBorders>
            <w:vAlign w:val="top"/>
          </w:tcPr>
          <w:p>
            <w:pPr>
              <w:spacing w:before="111" w:line="187" w:lineRule="auto"/>
              <w:ind w:left="50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30"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244" w:type="dxa"/>
            <w:vAlign w:val="top"/>
          </w:tcPr>
          <w:p>
            <w:pPr>
              <w:spacing w:before="108"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075" w:type="dxa"/>
            <w:tcBorders>
              <w:right w:val="nil"/>
            </w:tcBorders>
            <w:vAlign w:val="top"/>
          </w:tcPr>
          <w:p>
            <w:pPr>
              <w:spacing w:before="108" w:line="230"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65.9532%</w:t>
            </w:r>
          </w:p>
        </w:tc>
      </w:tr>
      <w:tr>
        <w:tblPrEx>
          <w:tblW w:w="8796" w:type="dxa"/>
          <w:tblInd w:w="67" w:type="dxa"/>
          <w:tblLayout w:type="fixed"/>
        </w:tblPrEx>
        <w:trPr>
          <w:trHeight w:val="383"/>
        </w:trPr>
        <w:tc>
          <w:tcPr>
            <w:tcW w:w="1047" w:type="dxa"/>
            <w:tcBorders>
              <w:left w:val="nil"/>
            </w:tcBorders>
            <w:vAlign w:val="top"/>
          </w:tcPr>
          <w:p>
            <w:pPr>
              <w:spacing w:before="112" w:line="187" w:lineRule="auto"/>
              <w:ind w:left="48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30"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244" w:type="dxa"/>
            <w:vAlign w:val="top"/>
          </w:tcPr>
          <w:p>
            <w:pPr>
              <w:spacing w:before="112"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075" w:type="dxa"/>
            <w:tcBorders>
              <w:right w:val="nil"/>
            </w:tcBorders>
            <w:vAlign w:val="top"/>
          </w:tcPr>
          <w:p>
            <w:pPr>
              <w:spacing w:before="109" w:line="230"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12.4935%</w:t>
            </w:r>
          </w:p>
        </w:tc>
      </w:tr>
      <w:tr>
        <w:tblPrEx>
          <w:tblW w:w="8796" w:type="dxa"/>
          <w:tblInd w:w="67" w:type="dxa"/>
          <w:tblLayout w:type="fixed"/>
        </w:tblPrEx>
        <w:trPr>
          <w:trHeight w:val="383"/>
        </w:trPr>
        <w:tc>
          <w:tcPr>
            <w:tcW w:w="1047" w:type="dxa"/>
            <w:tcBorders>
              <w:left w:val="nil"/>
            </w:tcBorders>
            <w:vAlign w:val="top"/>
          </w:tcPr>
          <w:p>
            <w:pPr>
              <w:spacing w:before="113" w:line="187" w:lineRule="auto"/>
              <w:ind w:left="48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30"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0"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075" w:type="dxa"/>
            <w:tcBorders>
              <w:right w:val="nil"/>
            </w:tcBorders>
            <w:vAlign w:val="top"/>
          </w:tcPr>
          <w:p>
            <w:pPr>
              <w:spacing w:before="110" w:line="230"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8.6213%</w:t>
            </w:r>
          </w:p>
        </w:tc>
      </w:tr>
      <w:tr>
        <w:tblPrEx>
          <w:tblW w:w="8796" w:type="dxa"/>
          <w:tblInd w:w="67" w:type="dxa"/>
          <w:tblLayout w:type="fixed"/>
        </w:tblPrEx>
        <w:trPr>
          <w:trHeight w:val="547"/>
        </w:trPr>
        <w:tc>
          <w:tcPr>
            <w:tcW w:w="1047" w:type="dxa"/>
            <w:tcBorders>
              <w:left w:val="nil"/>
            </w:tcBorders>
            <w:vAlign w:val="top"/>
          </w:tcPr>
          <w:p>
            <w:pPr>
              <w:spacing w:before="19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30" w:type="dxa"/>
            <w:vAlign w:val="top"/>
          </w:tcPr>
          <w:p>
            <w:pPr>
              <w:spacing w:before="27" w:line="224" w:lineRule="auto"/>
              <w:ind w:left="111" w:right="488"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2"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075" w:type="dxa"/>
            <w:tcBorders>
              <w:right w:val="nil"/>
            </w:tcBorders>
            <w:vAlign w:val="top"/>
          </w:tcPr>
          <w:p>
            <w:pPr>
              <w:spacing w:before="192" w:line="230"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8.6213%</w:t>
            </w:r>
          </w:p>
        </w:tc>
      </w:tr>
      <w:tr>
        <w:tblPrEx>
          <w:tblW w:w="8796" w:type="dxa"/>
          <w:tblInd w:w="67" w:type="dxa"/>
          <w:tblLayout w:type="fixed"/>
        </w:tblPrEx>
        <w:trPr>
          <w:trHeight w:val="383"/>
        </w:trPr>
        <w:tc>
          <w:tcPr>
            <w:tcW w:w="1047" w:type="dxa"/>
            <w:tcBorders>
              <w:left w:val="nil"/>
            </w:tcBorders>
            <w:vAlign w:val="top"/>
          </w:tcPr>
          <w:p>
            <w:pPr>
              <w:spacing w:before="117" w:line="184" w:lineRule="auto"/>
              <w:ind w:left="48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30" w:type="dxa"/>
            <w:vAlign w:val="top"/>
          </w:tcPr>
          <w:p>
            <w:pPr>
              <w:spacing w:before="80" w:line="221" w:lineRule="auto"/>
              <w:ind w:left="110"/>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4"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075" w:type="dxa"/>
            <w:tcBorders>
              <w:right w:val="nil"/>
            </w:tcBorders>
            <w:vAlign w:val="top"/>
          </w:tcPr>
          <w:p>
            <w:pPr>
              <w:spacing w:before="111" w:line="230"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2.5864%</w:t>
            </w:r>
          </w:p>
        </w:tc>
      </w:tr>
      <w:tr>
        <w:tblPrEx>
          <w:tblW w:w="8796" w:type="dxa"/>
          <w:tblInd w:w="67" w:type="dxa"/>
          <w:tblLayout w:type="fixed"/>
        </w:tblPrEx>
        <w:trPr>
          <w:trHeight w:val="546"/>
        </w:trPr>
        <w:tc>
          <w:tcPr>
            <w:tcW w:w="1047" w:type="dxa"/>
            <w:tcBorders>
              <w:left w:val="nil"/>
            </w:tcBorders>
            <w:vAlign w:val="top"/>
          </w:tcPr>
          <w:p>
            <w:pPr>
              <w:spacing w:before="20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30" w:type="dxa"/>
            <w:vAlign w:val="top"/>
          </w:tcPr>
          <w:p>
            <w:pPr>
              <w:spacing w:before="28" w:line="223" w:lineRule="auto"/>
              <w:ind w:left="112" w:right="282"/>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201"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075" w:type="dxa"/>
            <w:tcBorders>
              <w:right w:val="nil"/>
            </w:tcBorders>
            <w:vAlign w:val="top"/>
          </w:tcPr>
          <w:p>
            <w:pPr>
              <w:spacing w:before="198" w:line="230" w:lineRule="auto"/>
              <w:ind w:left="23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1.7243%</w:t>
            </w:r>
          </w:p>
        </w:tc>
      </w:tr>
      <w:tr>
        <w:tblPrEx>
          <w:tblW w:w="8796" w:type="dxa"/>
          <w:tblInd w:w="67" w:type="dxa"/>
          <w:tblLayout w:type="fixed"/>
        </w:tblPrEx>
        <w:trPr>
          <w:trHeight w:val="412"/>
        </w:trPr>
        <w:tc>
          <w:tcPr>
            <w:tcW w:w="6477" w:type="dxa"/>
            <w:gridSpan w:val="2"/>
            <w:tcBorders>
              <w:left w:val="nil"/>
            </w:tcBorders>
            <w:vAlign w:val="top"/>
          </w:tcPr>
          <w:p>
            <w:pPr>
              <w:spacing w:before="87" w:line="222" w:lineRule="auto"/>
              <w:ind w:left="3039"/>
              <w:rPr>
                <w:rFonts w:ascii="SimSun" w:eastAsia="SimSun" w:hAnsi="SimSun" w:cs="SimSun"/>
                <w:sz w:val="21"/>
                <w:szCs w:val="21"/>
              </w:rPr>
            </w:pPr>
            <w:r>
              <w:rPr>
                <w:rFonts w:ascii="SimSun" w:eastAsia="SimSun" w:hAnsi="SimSun" w:cs="SimSun"/>
                <w:b/>
                <w:bCs/>
                <w:spacing w:val="-4"/>
                <w:sz w:val="21"/>
                <w:szCs w:val="21"/>
              </w:rPr>
              <w:t>合计</w:t>
            </w:r>
          </w:p>
        </w:tc>
        <w:tc>
          <w:tcPr>
            <w:tcW w:w="1244" w:type="dxa"/>
            <w:vAlign w:val="top"/>
          </w:tcPr>
          <w:p>
            <w:pPr>
              <w:spacing w:before="125" w:line="196" w:lineRule="auto"/>
              <w:ind w:left="31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12,887.92</w:t>
            </w:r>
          </w:p>
        </w:tc>
        <w:tc>
          <w:tcPr>
            <w:tcW w:w="1075" w:type="dxa"/>
            <w:tcBorders>
              <w:right w:val="nil"/>
            </w:tcBorders>
            <w:vAlign w:val="top"/>
          </w:tcPr>
          <w:p>
            <w:pPr>
              <w:spacing w:before="125" w:line="227" w:lineRule="auto"/>
              <w:ind w:left="19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712"/>
      </w:pPr>
      <w:r>
        <w:rPr>
          <w:spacing w:val="-2"/>
        </w:rPr>
        <w:t>（</w:t>
      </w:r>
      <w:r>
        <w:rPr>
          <w:rFonts w:ascii="Times New Roman" w:eastAsia="Times New Roman" w:hAnsi="Times New Roman" w:cs="Times New Roman"/>
          <w:spacing w:val="-2"/>
        </w:rPr>
        <w:t>7</w:t>
      </w:r>
      <w:r>
        <w:rPr>
          <w:spacing w:val="-2"/>
        </w:rPr>
        <w:t>）第二次定向减资</w:t>
      </w:r>
    </w:p>
    <w:p>
      <w:pPr>
        <w:pStyle w:val="BodyText"/>
        <w:spacing w:before="153" w:line="359" w:lineRule="auto"/>
        <w:ind w:left="225" w:right="2" w:firstLine="476"/>
      </w:pPr>
      <w:r>
        <w:rPr>
          <w:rFonts w:ascii="Times New Roman" w:eastAsia="Times New Roman" w:hAnsi="Times New Roman" w:cs="Times New Roman"/>
          <w:spacing w:val="-13"/>
        </w:rPr>
        <w:t xml:space="preserve">2023 </w:t>
      </w:r>
      <w:r>
        <w:rPr>
          <w:spacing w:val="-13"/>
        </w:rPr>
        <w:t>年</w:t>
      </w:r>
      <w:r>
        <w:rPr>
          <w:spacing w:val="-52"/>
        </w:rPr>
        <w:t xml:space="preserve"> </w:t>
      </w:r>
      <w:r>
        <w:rPr>
          <w:rFonts w:ascii="Times New Roman" w:eastAsia="Times New Roman" w:hAnsi="Times New Roman" w:cs="Times New Roman"/>
          <w:spacing w:val="-13"/>
        </w:rPr>
        <w:t>6</w:t>
      </w:r>
      <w:r>
        <w:rPr>
          <w:rFonts w:ascii="Times New Roman" w:eastAsia="Times New Roman" w:hAnsi="Times New Roman" w:cs="Times New Roman"/>
          <w:spacing w:val="18"/>
        </w:rPr>
        <w:t xml:space="preserve"> </w:t>
      </w:r>
      <w:r>
        <w:rPr>
          <w:spacing w:val="-13"/>
        </w:rPr>
        <w:t>月</w:t>
      </w:r>
      <w:r>
        <w:rPr>
          <w:spacing w:val="-58"/>
        </w:rPr>
        <w:t xml:space="preserve"> </w:t>
      </w:r>
      <w:r>
        <w:rPr>
          <w:rFonts w:ascii="Times New Roman" w:eastAsia="Times New Roman" w:hAnsi="Times New Roman" w:cs="Times New Roman"/>
          <w:spacing w:val="-13"/>
        </w:rPr>
        <w:t xml:space="preserve">29  </w:t>
      </w:r>
      <w:r>
        <w:rPr>
          <w:spacing w:val="-13"/>
        </w:rPr>
        <w:t>日，经公司股东会决议同意，</w:t>
      </w:r>
      <w:r>
        <w:rPr>
          <w:spacing w:val="49"/>
        </w:rPr>
        <w:t xml:space="preserve"> </w:t>
      </w:r>
      <w:r>
        <w:rPr>
          <w:spacing w:val="-13"/>
        </w:rPr>
        <w:t>公司实施非同比例定</w:t>
      </w:r>
      <w:r>
        <w:rPr>
          <w:spacing w:val="-14"/>
        </w:rPr>
        <w:t>向减资，</w:t>
      </w:r>
      <w:r>
        <w:rPr>
          <w:spacing w:val="65"/>
        </w:rPr>
        <w:t xml:space="preserve"> </w:t>
      </w:r>
      <w:r>
        <w:rPr>
          <w:spacing w:val="-14"/>
        </w:rPr>
        <w:t xml:space="preserve">以  </w:t>
      </w:r>
      <w:r>
        <w:rPr>
          <w:rFonts w:ascii="Times New Roman" w:eastAsia="Times New Roman" w:hAnsi="Times New Roman" w:cs="Times New Roman"/>
          <w:spacing w:val="-1"/>
        </w:rPr>
        <w:t xml:space="preserve">127,582,825.00 </w:t>
      </w:r>
      <w:r>
        <w:rPr>
          <w:spacing w:val="-1"/>
        </w:rPr>
        <w:t>元人民币的价格回购中石化集团资本有限公司所持有的公司</w:t>
      </w:r>
      <w:r>
        <w:rPr>
          <w:spacing w:val="-34"/>
        </w:rPr>
        <w:t xml:space="preserve"> </w:t>
      </w:r>
      <w:r>
        <w:rPr>
          <w:rFonts w:ascii="Times New Roman" w:eastAsia="Times New Roman" w:hAnsi="Times New Roman" w:cs="Times New Roman"/>
          <w:spacing w:val="-1"/>
        </w:rPr>
        <w:t>8.6213%</w:t>
      </w:r>
      <w:r>
        <w:rPr>
          <w:rFonts w:ascii="Times New Roman" w:eastAsia="Times New Roman" w:hAnsi="Times New Roman" w:cs="Times New Roman"/>
        </w:rPr>
        <w:t xml:space="preserve"> </w:t>
      </w:r>
      <w:r>
        <w:rPr>
          <w:spacing w:val="9"/>
        </w:rPr>
        <w:t>股权合计</w:t>
      </w:r>
      <w:r>
        <w:rPr>
          <w:spacing w:val="49"/>
        </w:rPr>
        <w:t xml:space="preserve"> </w:t>
      </w:r>
      <w:r>
        <w:rPr>
          <w:rFonts w:ascii="Times New Roman" w:eastAsia="Times New Roman" w:hAnsi="Times New Roman" w:cs="Times New Roman"/>
          <w:spacing w:val="9"/>
        </w:rPr>
        <w:t xml:space="preserve">1,111.11  </w:t>
      </w:r>
      <w:r>
        <w:rPr>
          <w:spacing w:val="9"/>
        </w:rPr>
        <w:t>万元人民币注册资本。本次减资完成后，</w:t>
      </w:r>
      <w:r>
        <w:rPr>
          <w:spacing w:val="-70"/>
        </w:rPr>
        <w:t xml:space="preserve"> </w:t>
      </w:r>
      <w:r>
        <w:rPr>
          <w:spacing w:val="9"/>
        </w:rPr>
        <w:t>公司注册资本由</w:t>
      </w:r>
    </w:p>
    <w:p>
      <w:pPr>
        <w:pStyle w:val="BodyText"/>
        <w:spacing w:line="221" w:lineRule="auto"/>
        <w:ind w:left="244"/>
      </w:pPr>
      <w:r>
        <w:rPr>
          <w:rFonts w:ascii="Times New Roman" w:eastAsia="Times New Roman" w:hAnsi="Times New Roman" w:cs="Times New Roman"/>
          <w:spacing w:val="-3"/>
        </w:rPr>
        <w:t>12,887.92</w:t>
      </w:r>
      <w:r>
        <w:rPr>
          <w:rFonts w:ascii="Times New Roman" w:eastAsia="Times New Roman" w:hAnsi="Times New Roman" w:cs="Times New Roman"/>
          <w:spacing w:val="13"/>
        </w:rPr>
        <w:t xml:space="preserve"> </w:t>
      </w:r>
      <w:r>
        <w:rPr>
          <w:spacing w:val="-3"/>
        </w:rPr>
        <w:t>万元变更为</w:t>
      </w:r>
      <w:r>
        <w:rPr>
          <w:spacing w:val="-34"/>
        </w:rPr>
        <w:t xml:space="preserve"> </w:t>
      </w:r>
      <w:r>
        <w:rPr>
          <w:rFonts w:ascii="Times New Roman" w:eastAsia="Times New Roman" w:hAnsi="Times New Roman" w:cs="Times New Roman"/>
          <w:spacing w:val="-3"/>
        </w:rPr>
        <w:t xml:space="preserve">11,776.81 </w:t>
      </w:r>
      <w:r>
        <w:rPr>
          <w:spacing w:val="-3"/>
        </w:rPr>
        <w:t>万元，凤</w:t>
      </w:r>
      <w:r>
        <w:rPr>
          <w:spacing w:val="-4"/>
        </w:rPr>
        <w:t>阳硅谷的股权结构如下：</w:t>
      </w:r>
    </w:p>
    <w:p>
      <w:pPr>
        <w:spacing w:line="143" w:lineRule="exact"/>
      </w:pPr>
    </w:p>
    <w:tbl>
      <w:tblPr>
        <w:tblStyle w:val="TableNormal9"/>
        <w:tblW w:w="89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8"/>
        <w:gridCol w:w="5507"/>
        <w:gridCol w:w="1249"/>
        <w:gridCol w:w="1162"/>
      </w:tblGrid>
      <w:tr>
        <w:tblPrEx>
          <w:tblW w:w="89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1008" w:type="dxa"/>
            <w:tcBorders>
              <w:left w:val="nil"/>
            </w:tcBorders>
            <w:vAlign w:val="top"/>
          </w:tcPr>
          <w:p>
            <w:pPr>
              <w:spacing w:before="187" w:line="222" w:lineRule="auto"/>
              <w:ind w:left="309"/>
              <w:rPr>
                <w:rFonts w:ascii="SimSun" w:eastAsia="SimSun" w:hAnsi="SimSun" w:cs="SimSun"/>
                <w:sz w:val="21"/>
                <w:szCs w:val="21"/>
              </w:rPr>
            </w:pPr>
            <w:r>
              <w:rPr>
                <w:rFonts w:ascii="SimSun" w:eastAsia="SimSun" w:hAnsi="SimSun" w:cs="SimSun"/>
                <w:b/>
                <w:bCs/>
                <w:spacing w:val="-4"/>
                <w:sz w:val="21"/>
                <w:szCs w:val="21"/>
              </w:rPr>
              <w:t>序号</w:t>
            </w:r>
          </w:p>
        </w:tc>
        <w:tc>
          <w:tcPr>
            <w:tcW w:w="5507" w:type="dxa"/>
            <w:vAlign w:val="top"/>
          </w:tcPr>
          <w:p>
            <w:pPr>
              <w:spacing w:before="187" w:line="221" w:lineRule="auto"/>
              <w:ind w:left="2340"/>
              <w:rPr>
                <w:rFonts w:ascii="SimSun" w:eastAsia="SimSun" w:hAnsi="SimSun" w:cs="SimSun"/>
                <w:sz w:val="21"/>
                <w:szCs w:val="21"/>
              </w:rPr>
            </w:pPr>
            <w:r>
              <w:rPr>
                <w:rFonts w:ascii="SimSun" w:eastAsia="SimSun" w:hAnsi="SimSun" w:cs="SimSun"/>
                <w:b/>
                <w:bCs/>
                <w:spacing w:val="-3"/>
                <w:sz w:val="21"/>
                <w:szCs w:val="21"/>
              </w:rPr>
              <w:t>股东名称</w:t>
            </w:r>
          </w:p>
        </w:tc>
        <w:tc>
          <w:tcPr>
            <w:tcW w:w="1249" w:type="dxa"/>
            <w:vAlign w:val="top"/>
          </w:tcPr>
          <w:p>
            <w:pPr>
              <w:spacing w:before="53" w:line="225" w:lineRule="auto"/>
              <w:ind w:left="524" w:right="198" w:hanging="316"/>
              <w:rPr>
                <w:rFonts w:ascii="SimSun" w:eastAsia="SimSun" w:hAnsi="SimSun" w:cs="SimSun"/>
                <w:sz w:val="21"/>
                <w:szCs w:val="21"/>
              </w:rPr>
            </w:pPr>
            <w:r>
              <w:rPr>
                <w:rFonts w:ascii="SimSun" w:eastAsia="SimSun" w:hAnsi="SimSun" w:cs="SimSun"/>
                <w:b/>
                <w:bCs/>
                <w:spacing w:val="-4"/>
                <w:sz w:val="21"/>
                <w:szCs w:val="21"/>
              </w:rPr>
              <w:t>认缴出资</w:t>
            </w:r>
            <w:r>
              <w:rPr>
                <w:rFonts w:ascii="SimSun" w:eastAsia="SimSun" w:hAnsi="SimSun" w:cs="SimSun"/>
                <w:spacing w:val="2"/>
                <w:sz w:val="21"/>
                <w:szCs w:val="21"/>
              </w:rPr>
              <w:t xml:space="preserve"> </w:t>
            </w:r>
            <w:r>
              <w:rPr>
                <w:rFonts w:ascii="SimSun" w:eastAsia="SimSun" w:hAnsi="SimSun" w:cs="SimSun"/>
                <w:b/>
                <w:bCs/>
                <w:spacing w:val="-3"/>
                <w:sz w:val="21"/>
                <w:szCs w:val="21"/>
              </w:rPr>
              <w:t>额</w:t>
            </w:r>
          </w:p>
        </w:tc>
        <w:tc>
          <w:tcPr>
            <w:tcW w:w="1162" w:type="dxa"/>
            <w:tcBorders>
              <w:right w:val="nil"/>
            </w:tcBorders>
            <w:vAlign w:val="top"/>
          </w:tcPr>
          <w:p>
            <w:pPr>
              <w:spacing w:before="187" w:line="221" w:lineRule="auto"/>
              <w:ind w:left="162"/>
              <w:rPr>
                <w:rFonts w:ascii="SimSun" w:eastAsia="SimSun" w:hAnsi="SimSun" w:cs="SimSun"/>
                <w:sz w:val="21"/>
                <w:szCs w:val="21"/>
              </w:rPr>
            </w:pPr>
            <w:r>
              <w:rPr>
                <w:rFonts w:ascii="SimSun" w:eastAsia="SimSun" w:hAnsi="SimSun" w:cs="SimSun"/>
                <w:b/>
                <w:bCs/>
                <w:spacing w:val="-4"/>
                <w:sz w:val="21"/>
                <w:szCs w:val="21"/>
              </w:rPr>
              <w:t>持股比例</w:t>
            </w:r>
          </w:p>
        </w:tc>
      </w:tr>
      <w:tr>
        <w:tblPrEx>
          <w:tblW w:w="8926" w:type="dxa"/>
          <w:tblInd w:w="0" w:type="dxa"/>
          <w:tblLayout w:type="fixed"/>
        </w:tblPrEx>
        <w:trPr>
          <w:trHeight w:val="383"/>
        </w:trPr>
        <w:tc>
          <w:tcPr>
            <w:tcW w:w="1008" w:type="dxa"/>
            <w:tcBorders>
              <w:left w:val="nil"/>
            </w:tcBorders>
            <w:vAlign w:val="top"/>
          </w:tcPr>
          <w:p>
            <w:pPr>
              <w:spacing w:before="112" w:line="187" w:lineRule="auto"/>
              <w:ind w:left="48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507" w:type="dxa"/>
            <w:vAlign w:val="top"/>
          </w:tcPr>
          <w:p>
            <w:pPr>
              <w:spacing w:before="77" w:line="221" w:lineRule="auto"/>
              <w:ind w:left="118"/>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249" w:type="dxa"/>
            <w:vAlign w:val="top"/>
          </w:tcPr>
          <w:p>
            <w:pPr>
              <w:spacing w:before="108" w:line="201" w:lineRule="auto"/>
              <w:ind w:left="4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08" w:line="230"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72.</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4"/>
                <w:sz w:val="21"/>
                <w:szCs w:val="21"/>
              </w:rPr>
              <w:t>1758%</w:t>
            </w:r>
          </w:p>
        </w:tc>
      </w:tr>
      <w:tr>
        <w:tblPrEx>
          <w:tblW w:w="8926" w:type="dxa"/>
          <w:tblInd w:w="0" w:type="dxa"/>
          <w:tblLayout w:type="fixed"/>
        </w:tblPrEx>
        <w:trPr>
          <w:trHeight w:val="383"/>
        </w:trPr>
        <w:tc>
          <w:tcPr>
            <w:tcW w:w="1008" w:type="dxa"/>
            <w:tcBorders>
              <w:left w:val="nil"/>
            </w:tcBorders>
            <w:vAlign w:val="top"/>
          </w:tcPr>
          <w:p>
            <w:pPr>
              <w:spacing w:before="113" w:line="187" w:lineRule="auto"/>
              <w:ind w:left="46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507" w:type="dxa"/>
            <w:vAlign w:val="top"/>
          </w:tcPr>
          <w:p>
            <w:pPr>
              <w:spacing w:before="79" w:line="221" w:lineRule="auto"/>
              <w:ind w:left="118"/>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249" w:type="dxa"/>
            <w:vAlign w:val="top"/>
          </w:tcPr>
          <w:p>
            <w:pPr>
              <w:spacing w:before="113"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162" w:type="dxa"/>
            <w:tcBorders>
              <w:right w:val="nil"/>
            </w:tcBorders>
            <w:vAlign w:val="top"/>
          </w:tcPr>
          <w:p>
            <w:pPr>
              <w:spacing w:before="110" w:line="230" w:lineRule="auto"/>
              <w:ind w:left="21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13.6722%</w:t>
            </w:r>
          </w:p>
        </w:tc>
      </w:tr>
      <w:tr>
        <w:tblPrEx>
          <w:tblW w:w="8926" w:type="dxa"/>
          <w:tblInd w:w="0" w:type="dxa"/>
          <w:tblLayout w:type="fixed"/>
        </w:tblPrEx>
        <w:trPr>
          <w:trHeight w:val="383"/>
        </w:trPr>
        <w:tc>
          <w:tcPr>
            <w:tcW w:w="1008" w:type="dxa"/>
            <w:tcBorders>
              <w:left w:val="nil"/>
            </w:tcBorders>
            <w:vAlign w:val="top"/>
          </w:tcPr>
          <w:p>
            <w:pPr>
              <w:spacing w:before="114" w:line="187" w:lineRule="auto"/>
              <w:ind w:left="46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507" w:type="dxa"/>
            <w:vAlign w:val="top"/>
          </w:tcPr>
          <w:p>
            <w:pPr>
              <w:spacing w:before="80" w:line="220" w:lineRule="auto"/>
              <w:ind w:left="115"/>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黄山高新毅达新安江专精特新创业投资基金（有限合伙）</w:t>
            </w:r>
          </w:p>
        </w:tc>
        <w:tc>
          <w:tcPr>
            <w:tcW w:w="1249" w:type="dxa"/>
            <w:vAlign w:val="top"/>
          </w:tcPr>
          <w:p>
            <w:pPr>
              <w:spacing w:before="110" w:line="201"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0" w:line="230" w:lineRule="auto"/>
              <w:ind w:left="3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9.4347%</w:t>
            </w:r>
          </w:p>
        </w:tc>
      </w:tr>
      <w:tr>
        <w:tblPrEx>
          <w:tblW w:w="8926" w:type="dxa"/>
          <w:tblInd w:w="0" w:type="dxa"/>
          <w:tblLayout w:type="fixed"/>
        </w:tblPrEx>
        <w:trPr>
          <w:trHeight w:val="378"/>
        </w:trPr>
        <w:tc>
          <w:tcPr>
            <w:tcW w:w="1008" w:type="dxa"/>
            <w:tcBorders>
              <w:left w:val="nil"/>
            </w:tcBorders>
            <w:vAlign w:val="top"/>
          </w:tcPr>
          <w:p>
            <w:pPr>
              <w:spacing w:before="115" w:line="187" w:lineRule="auto"/>
              <w:ind w:left="46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507" w:type="dxa"/>
            <w:vAlign w:val="top"/>
          </w:tcPr>
          <w:p>
            <w:pPr>
              <w:spacing w:before="80" w:line="221" w:lineRule="auto"/>
              <w:ind w:left="115"/>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9" w:type="dxa"/>
            <w:vAlign w:val="top"/>
          </w:tcPr>
          <w:p>
            <w:pPr>
              <w:spacing w:before="114" w:line="187" w:lineRule="auto"/>
              <w:ind w:left="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1" w:line="230"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2.8304%</w:t>
            </w:r>
          </w:p>
        </w:tc>
      </w:tr>
      <w:tr>
        <w:tblPrEx>
          <w:tblW w:w="8926" w:type="dxa"/>
          <w:tblInd w:w="0" w:type="dxa"/>
          <w:tblLayout w:type="fixed"/>
        </w:tblPrEx>
        <w:trPr>
          <w:trHeight w:val="551"/>
        </w:trPr>
        <w:tc>
          <w:tcPr>
            <w:tcW w:w="1008" w:type="dxa"/>
            <w:tcBorders>
              <w:left w:val="nil"/>
            </w:tcBorders>
            <w:vAlign w:val="top"/>
          </w:tcPr>
          <w:p>
            <w:pPr>
              <w:spacing w:before="205" w:line="184" w:lineRule="auto"/>
              <w:ind w:left="47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507" w:type="dxa"/>
            <w:vAlign w:val="top"/>
          </w:tcPr>
          <w:p>
            <w:pPr>
              <w:spacing w:before="33" w:line="223" w:lineRule="auto"/>
              <w:ind w:left="117" w:right="353"/>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9" w:type="dxa"/>
            <w:vAlign w:val="top"/>
          </w:tcPr>
          <w:p>
            <w:pPr>
              <w:spacing w:before="202" w:line="187" w:lineRule="auto"/>
              <w:ind w:left="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9" w:line="230"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1.8869%</w:t>
            </w:r>
          </w:p>
        </w:tc>
      </w:tr>
      <w:tr>
        <w:tblPrEx>
          <w:tblW w:w="8926" w:type="dxa"/>
          <w:tblInd w:w="0" w:type="dxa"/>
          <w:tblLayout w:type="fixed"/>
        </w:tblPrEx>
        <w:trPr>
          <w:trHeight w:val="408"/>
        </w:trPr>
        <w:tc>
          <w:tcPr>
            <w:tcW w:w="6515" w:type="dxa"/>
            <w:gridSpan w:val="2"/>
            <w:tcBorders>
              <w:left w:val="nil"/>
            </w:tcBorders>
            <w:vAlign w:val="top"/>
          </w:tcPr>
          <w:p>
            <w:pPr>
              <w:spacing w:before="83" w:line="222" w:lineRule="auto"/>
              <w:ind w:left="3063"/>
              <w:rPr>
                <w:rFonts w:ascii="SimSun" w:eastAsia="SimSun" w:hAnsi="SimSun" w:cs="SimSun"/>
                <w:sz w:val="21"/>
                <w:szCs w:val="21"/>
              </w:rPr>
            </w:pPr>
            <w:r>
              <w:rPr>
                <w:rFonts w:ascii="SimSun" w:eastAsia="SimSun" w:hAnsi="SimSun" w:cs="SimSun"/>
                <w:b/>
                <w:bCs/>
                <w:spacing w:val="-4"/>
                <w:sz w:val="21"/>
                <w:szCs w:val="21"/>
              </w:rPr>
              <w:t>合计</w:t>
            </w:r>
          </w:p>
        </w:tc>
        <w:tc>
          <w:tcPr>
            <w:tcW w:w="1249" w:type="dxa"/>
            <w:vAlign w:val="top"/>
          </w:tcPr>
          <w:p>
            <w:pPr>
              <w:spacing w:before="122" w:line="196" w:lineRule="auto"/>
              <w:ind w:left="315"/>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11,776.81</w:t>
            </w:r>
          </w:p>
        </w:tc>
        <w:tc>
          <w:tcPr>
            <w:tcW w:w="1162" w:type="dxa"/>
            <w:tcBorders>
              <w:right w:val="nil"/>
            </w:tcBorders>
            <w:vAlign w:val="top"/>
          </w:tcPr>
          <w:p>
            <w:pPr>
              <w:spacing w:before="121" w:line="227" w:lineRule="auto"/>
              <w:ind w:left="276"/>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33" w:line="220" w:lineRule="auto"/>
        <w:ind w:left="712"/>
        <w:sectPr>
          <w:headerReference w:type="default" r:id="rId51"/>
          <w:footerReference w:type="default" r:id="rId52"/>
          <w:pgSz w:w="11905" w:h="16839"/>
          <w:pgMar w:top="1637" w:right="1493" w:bottom="1579" w:left="1483" w:header="1154" w:footer="1314" w:gutter="0"/>
          <w:pgNumType w:start="25"/>
          <w:cols w:space="708"/>
        </w:sectPr>
      </w:pPr>
      <w:r>
        <w:rPr>
          <w:spacing w:val="-2"/>
        </w:rPr>
        <w:t>（</w:t>
      </w:r>
      <w:r>
        <w:rPr>
          <w:rFonts w:ascii="Times New Roman" w:eastAsia="Times New Roman" w:hAnsi="Times New Roman" w:cs="Times New Roman"/>
          <w:spacing w:val="-2"/>
        </w:rPr>
        <w:t>8</w:t>
      </w:r>
      <w:r>
        <w:rPr>
          <w:spacing w:val="-2"/>
        </w:rPr>
        <w:t>）第三次定向减资</w:t>
      </w:r>
    </w:p>
    <w:p>
      <w:pPr>
        <w:pStyle w:val="BodyText"/>
        <w:spacing w:before="176" w:line="360" w:lineRule="auto"/>
        <w:ind w:left="225" w:right="199" w:firstLine="476"/>
        <w:jc w:val="both"/>
      </w:pPr>
      <w:r>
        <w:rPr>
          <w:rFonts w:ascii="Times New Roman" w:eastAsia="Times New Roman" w:hAnsi="Times New Roman" w:cs="Times New Roman"/>
          <w:spacing w:val="-2"/>
        </w:rPr>
        <w:t>2023</w:t>
      </w:r>
      <w:r>
        <w:rPr>
          <w:rFonts w:ascii="Times New Roman" w:eastAsia="Times New Roman" w:hAnsi="Times New Roman" w:cs="Times New Roman"/>
          <w:spacing w:val="41"/>
          <w:w w:val="101"/>
        </w:rPr>
        <w:t xml:space="preserve"> </w:t>
      </w:r>
      <w:r>
        <w:rPr>
          <w:spacing w:val="-2"/>
        </w:rPr>
        <w:t xml:space="preserve">年 </w:t>
      </w:r>
      <w:r>
        <w:rPr>
          <w:rFonts w:ascii="Times New Roman" w:eastAsia="Times New Roman" w:hAnsi="Times New Roman" w:cs="Times New Roman"/>
          <w:spacing w:val="-2"/>
        </w:rPr>
        <w:t>9</w:t>
      </w:r>
      <w:r>
        <w:rPr>
          <w:rFonts w:ascii="Times New Roman" w:eastAsia="Times New Roman" w:hAnsi="Times New Roman" w:cs="Times New Roman"/>
          <w:spacing w:val="46"/>
          <w:w w:val="101"/>
        </w:rPr>
        <w:t xml:space="preserve"> </w:t>
      </w:r>
      <w:r>
        <w:rPr>
          <w:spacing w:val="-2"/>
        </w:rPr>
        <w:t>月</w:t>
      </w:r>
      <w:r>
        <w:rPr>
          <w:spacing w:val="-24"/>
        </w:rPr>
        <w:t xml:space="preserve"> </w:t>
      </w:r>
      <w:r>
        <w:rPr>
          <w:rFonts w:ascii="Times New Roman" w:eastAsia="Times New Roman" w:hAnsi="Times New Roman" w:cs="Times New Roman"/>
          <w:spacing w:val="-2"/>
        </w:rPr>
        <w:t xml:space="preserve">25  </w:t>
      </w:r>
      <w:r>
        <w:rPr>
          <w:spacing w:val="-2"/>
        </w:rPr>
        <w:t>日，经凤阳硅谷股东会决议同意，公司</w:t>
      </w:r>
      <w:r>
        <w:rPr>
          <w:spacing w:val="-3"/>
        </w:rPr>
        <w:t>实施非同比例定向减</w:t>
      </w:r>
      <w:r>
        <w:t xml:space="preserve"> </w:t>
      </w:r>
      <w:r>
        <w:rPr>
          <w:spacing w:val="-2"/>
        </w:rPr>
        <w:t>资，以</w:t>
      </w:r>
      <w:r>
        <w:rPr>
          <w:spacing w:val="-33"/>
        </w:rPr>
        <w:t xml:space="preserve"> </w:t>
      </w:r>
      <w:r>
        <w:rPr>
          <w:rFonts w:ascii="Times New Roman" w:eastAsia="Times New Roman" w:hAnsi="Times New Roman" w:cs="Times New Roman"/>
          <w:spacing w:val="-2"/>
        </w:rPr>
        <w:t xml:space="preserve">131,945,205.50 </w:t>
      </w:r>
      <w:r>
        <w:rPr>
          <w:spacing w:val="-2"/>
        </w:rPr>
        <w:t>元人民</w:t>
      </w:r>
      <w:r>
        <w:rPr>
          <w:spacing w:val="-3"/>
        </w:rPr>
        <w:t>币的价格回购黄山高新毅达新安江专精特新创业投资</w:t>
      </w:r>
      <w:r>
        <w:t xml:space="preserve"> </w:t>
      </w:r>
      <w:r>
        <w:rPr>
          <w:spacing w:val="6"/>
        </w:rPr>
        <w:t>基金（有</w:t>
      </w:r>
      <w:r>
        <w:rPr>
          <w:spacing w:val="-65"/>
        </w:rPr>
        <w:t xml:space="preserve"> </w:t>
      </w:r>
      <w:r>
        <w:rPr>
          <w:spacing w:val="6"/>
        </w:rPr>
        <w:t>限合伙</w:t>
      </w:r>
      <w:r>
        <w:rPr>
          <w:spacing w:val="-57"/>
        </w:rPr>
        <w:t xml:space="preserve"> </w:t>
      </w:r>
      <w:r>
        <w:rPr>
          <w:spacing w:val="6"/>
        </w:rPr>
        <w:t>）所持有公司</w:t>
      </w:r>
      <w:r>
        <w:rPr>
          <w:spacing w:val="38"/>
        </w:rPr>
        <w:t xml:space="preserve"> </w:t>
      </w:r>
      <w:r>
        <w:rPr>
          <w:rFonts w:ascii="Times New Roman" w:eastAsia="Times New Roman" w:hAnsi="Times New Roman" w:cs="Times New Roman"/>
          <w:spacing w:val="6"/>
        </w:rPr>
        <w:t>9.43%</w:t>
      </w:r>
      <w:r>
        <w:rPr>
          <w:rFonts w:ascii="Times New Roman" w:eastAsia="Times New Roman" w:hAnsi="Times New Roman" w:cs="Times New Roman"/>
          <w:spacing w:val="-19"/>
        </w:rPr>
        <w:t xml:space="preserve"> </w:t>
      </w:r>
      <w:r>
        <w:rPr>
          <w:spacing w:val="6"/>
        </w:rPr>
        <w:t>股权合计</w:t>
      </w:r>
      <w:r>
        <w:rPr>
          <w:spacing w:val="53"/>
        </w:rPr>
        <w:t xml:space="preserve"> </w:t>
      </w:r>
      <w:r>
        <w:rPr>
          <w:rFonts w:ascii="Times New Roman" w:eastAsia="Times New Roman" w:hAnsi="Times New Roman" w:cs="Times New Roman"/>
          <w:spacing w:val="6"/>
        </w:rPr>
        <w:t>1,111.11</w:t>
      </w:r>
      <w:r>
        <w:rPr>
          <w:rFonts w:ascii="Times New Roman" w:eastAsia="Times New Roman" w:hAnsi="Times New Roman" w:cs="Times New Roman"/>
          <w:spacing w:val="19"/>
          <w:w w:val="101"/>
        </w:rPr>
        <w:t xml:space="preserve">  </w:t>
      </w:r>
      <w:r>
        <w:rPr>
          <w:spacing w:val="5"/>
        </w:rPr>
        <w:t>万元注册</w:t>
      </w:r>
      <w:r>
        <w:rPr>
          <w:spacing w:val="-71"/>
        </w:rPr>
        <w:t xml:space="preserve"> </w:t>
      </w:r>
      <w:r>
        <w:rPr>
          <w:spacing w:val="5"/>
        </w:rPr>
        <w:t>资本</w:t>
      </w:r>
      <w:r>
        <w:rPr>
          <w:spacing w:val="-62"/>
        </w:rPr>
        <w:t xml:space="preserve"> </w:t>
      </w:r>
      <w:r>
        <w:rPr>
          <w:spacing w:val="5"/>
        </w:rPr>
        <w:t>；</w:t>
      </w:r>
      <w:r>
        <w:rPr>
          <w:spacing w:val="-56"/>
        </w:rPr>
        <w:t xml:space="preserve"> </w:t>
      </w:r>
      <w:r>
        <w:rPr>
          <w:spacing w:val="5"/>
        </w:rPr>
        <w:t>以</w:t>
      </w:r>
      <w:r>
        <w:t xml:space="preserve"> </w:t>
      </w:r>
      <w:r>
        <w:rPr>
          <w:rFonts w:ascii="Times New Roman" w:eastAsia="Times New Roman" w:hAnsi="Times New Roman" w:cs="Times New Roman"/>
          <w:spacing w:val="1"/>
        </w:rPr>
        <w:t xml:space="preserve">39,583,561.60  </w:t>
      </w:r>
      <w:r>
        <w:rPr>
          <w:spacing w:val="1"/>
        </w:rPr>
        <w:t>元人民币的价格回购</w:t>
      </w:r>
      <w:r>
        <w:t xml:space="preserve">扬中高投毅达创业投资基金合伙企业（有限合 </w:t>
      </w:r>
      <w:r>
        <w:rPr>
          <w:spacing w:val="-1"/>
        </w:rPr>
        <w:t>伙）所持有公司</w:t>
      </w:r>
      <w:r>
        <w:rPr>
          <w:spacing w:val="-47"/>
        </w:rPr>
        <w:t xml:space="preserve"> </w:t>
      </w:r>
      <w:r>
        <w:rPr>
          <w:rFonts w:ascii="Times New Roman" w:eastAsia="Times New Roman" w:hAnsi="Times New Roman" w:cs="Times New Roman"/>
          <w:spacing w:val="-1"/>
        </w:rPr>
        <w:t>2.83%</w:t>
      </w:r>
      <w:r>
        <w:rPr>
          <w:spacing w:val="-1"/>
        </w:rPr>
        <w:t>股权合计</w:t>
      </w:r>
      <w:r>
        <w:rPr>
          <w:spacing w:val="-43"/>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23"/>
          <w:w w:val="101"/>
        </w:rPr>
        <w:t xml:space="preserve"> </w:t>
      </w:r>
      <w:r>
        <w:rPr>
          <w:spacing w:val="-1"/>
        </w:rPr>
        <w:t>万元注册</w:t>
      </w:r>
      <w:r>
        <w:rPr>
          <w:spacing w:val="-2"/>
        </w:rPr>
        <w:t>资本；以</w:t>
      </w:r>
      <w:r>
        <w:rPr>
          <w:spacing w:val="-48"/>
        </w:rPr>
        <w:t xml:space="preserve"> </w:t>
      </w:r>
      <w:r>
        <w:rPr>
          <w:rFonts w:ascii="Times New Roman" w:eastAsia="Times New Roman" w:hAnsi="Times New Roman" w:cs="Times New Roman"/>
          <w:spacing w:val="-2"/>
        </w:rPr>
        <w:t>26,389,041.10</w:t>
      </w:r>
      <w:r>
        <w:rPr>
          <w:rFonts w:ascii="Times New Roman" w:eastAsia="Times New Roman" w:hAnsi="Times New Roman" w:cs="Times New Roman"/>
          <w:spacing w:val="20"/>
          <w:w w:val="101"/>
        </w:rPr>
        <w:t xml:space="preserve"> </w:t>
      </w:r>
      <w:r>
        <w:rPr>
          <w:spacing w:val="-2"/>
        </w:rPr>
        <w:t>元人民币</w:t>
      </w:r>
      <w:r>
        <w:t xml:space="preserve"> </w:t>
      </w:r>
      <w:r>
        <w:rPr>
          <w:spacing w:val="-6"/>
        </w:rPr>
        <w:t>的价格回购宿迁高投毅达产才融合发展创业投资合伙企业（有限合伙）</w:t>
      </w:r>
      <w:r>
        <w:rPr>
          <w:spacing w:val="-42"/>
        </w:rPr>
        <w:t xml:space="preserve"> </w:t>
      </w:r>
      <w:r>
        <w:rPr>
          <w:spacing w:val="-7"/>
        </w:rPr>
        <w:t>所持有公司</w:t>
      </w:r>
    </w:p>
    <w:p>
      <w:pPr>
        <w:pStyle w:val="BodyText"/>
        <w:spacing w:before="1" w:line="218" w:lineRule="auto"/>
        <w:ind w:left="244"/>
      </w:pPr>
      <w:r>
        <w:rPr>
          <w:rFonts w:ascii="Times New Roman" w:eastAsia="Times New Roman" w:hAnsi="Times New Roman" w:cs="Times New Roman"/>
          <w:spacing w:val="-3"/>
        </w:rPr>
        <w:t>1.89%</w:t>
      </w:r>
      <w:r>
        <w:rPr>
          <w:spacing w:val="-3"/>
        </w:rPr>
        <w:t>股权合计</w:t>
      </w:r>
      <w:r>
        <w:rPr>
          <w:spacing w:val="-45"/>
        </w:rPr>
        <w:t xml:space="preserve"> </w:t>
      </w:r>
      <w:r>
        <w:rPr>
          <w:rFonts w:ascii="Times New Roman" w:eastAsia="Times New Roman" w:hAnsi="Times New Roman" w:cs="Times New Roman"/>
          <w:spacing w:val="-3"/>
        </w:rPr>
        <w:t xml:space="preserve">222.22 </w:t>
      </w:r>
      <w:r>
        <w:rPr>
          <w:spacing w:val="-3"/>
        </w:rPr>
        <w:t>万元注册资本。</w:t>
      </w:r>
    </w:p>
    <w:p>
      <w:pPr>
        <w:spacing w:line="218" w:lineRule="auto"/>
        <w:sectPr>
          <w:headerReference w:type="default" r:id="rId53"/>
          <w:footerReference w:type="default" r:id="rId54"/>
          <w:type w:val="nextPage"/>
          <w:pgSz w:w="11905" w:h="16839"/>
          <w:pgMar w:top="1637" w:right="1493" w:bottom="1579" w:left="1483" w:header="1154" w:footer="1314" w:gutter="0"/>
          <w:pgNumType w:start="26"/>
          <w:cols w:space="708"/>
          <w:titlePg w:val="0"/>
        </w:sectPr>
      </w:pPr>
    </w:p>
    <w:p>
      <w:pPr>
        <w:pStyle w:val="BodyText"/>
        <w:spacing w:before="307" w:line="471" w:lineRule="exact"/>
        <w:ind w:right="28"/>
        <w:jc w:val="right"/>
      </w:pPr>
      <w:r>
        <w:rPr>
          <w:spacing w:val="-7"/>
          <w:position w:val="17"/>
        </w:rPr>
        <w:t>于评估基准日， 凤阳硅谷账面应付上述减资款项合计</w:t>
      </w:r>
      <w:r>
        <w:rPr>
          <w:spacing w:val="-20"/>
          <w:position w:val="17"/>
        </w:rPr>
        <w:t xml:space="preserve"> </w:t>
      </w:r>
      <w:r>
        <w:rPr>
          <w:rFonts w:ascii="Times New Roman" w:eastAsia="Times New Roman" w:hAnsi="Times New Roman" w:cs="Times New Roman"/>
          <w:spacing w:val="-7"/>
          <w:position w:val="17"/>
        </w:rPr>
        <w:t xml:space="preserve">197,917,808.20 </w:t>
      </w:r>
      <w:r>
        <w:rPr>
          <w:spacing w:val="-7"/>
          <w:position w:val="17"/>
        </w:rPr>
        <w:t>元，</w:t>
      </w:r>
      <w:r>
        <w:rPr>
          <w:spacing w:val="-65"/>
          <w:position w:val="17"/>
        </w:rPr>
        <w:t xml:space="preserve"> </w:t>
      </w:r>
      <w:r>
        <w:rPr>
          <w:spacing w:val="-7"/>
          <w:position w:val="17"/>
        </w:rPr>
        <w:t>该减</w:t>
      </w:r>
    </w:p>
    <w:p>
      <w:pPr>
        <w:pStyle w:val="BodyText"/>
        <w:spacing w:line="221" w:lineRule="auto"/>
        <w:ind w:left="48"/>
      </w:pPr>
      <w:r>
        <w:rPr>
          <w:spacing w:val="-2"/>
        </w:rPr>
        <w:t>资事项尚未完成工商变更登记，企业实收资本</w:t>
      </w:r>
      <w:r>
        <w:rPr>
          <w:spacing w:val="-22"/>
        </w:rPr>
        <w:t xml:space="preserve"> </w:t>
      </w:r>
      <w:r>
        <w:rPr>
          <w:rFonts w:ascii="Times New Roman" w:eastAsia="Times New Roman" w:hAnsi="Times New Roman" w:cs="Times New Roman"/>
          <w:spacing w:val="-2"/>
        </w:rPr>
        <w:t xml:space="preserve">11,776.81 </w:t>
      </w:r>
      <w:r>
        <w:rPr>
          <w:spacing w:val="-2"/>
        </w:rPr>
        <w:t>万元。</w:t>
      </w:r>
    </w:p>
    <w:p>
      <w:pPr>
        <w:pStyle w:val="BodyText"/>
        <w:spacing w:before="177" w:line="466" w:lineRule="exact"/>
        <w:jc w:val="right"/>
      </w:pPr>
      <w:r>
        <w:rPr>
          <w:rFonts w:ascii="Times New Roman" w:eastAsia="Times New Roman" w:hAnsi="Times New Roman" w:cs="Times New Roman"/>
          <w:spacing w:val="-10"/>
          <w:position w:val="17"/>
        </w:rPr>
        <w:t xml:space="preserve">2023 </w:t>
      </w:r>
      <w:r>
        <w:rPr>
          <w:spacing w:val="-10"/>
          <w:position w:val="17"/>
        </w:rPr>
        <w:t>年</w:t>
      </w:r>
      <w:r>
        <w:rPr>
          <w:spacing w:val="-34"/>
          <w:position w:val="17"/>
        </w:rPr>
        <w:t xml:space="preserve"> </w:t>
      </w:r>
      <w:r>
        <w:rPr>
          <w:rFonts w:ascii="Times New Roman" w:eastAsia="Times New Roman" w:hAnsi="Times New Roman" w:cs="Times New Roman"/>
          <w:spacing w:val="-10"/>
          <w:position w:val="17"/>
        </w:rPr>
        <w:t>10</w:t>
      </w:r>
      <w:r>
        <w:rPr>
          <w:rFonts w:ascii="Times New Roman" w:eastAsia="Times New Roman" w:hAnsi="Times New Roman" w:cs="Times New Roman"/>
          <w:spacing w:val="17"/>
          <w:w w:val="101"/>
          <w:position w:val="17"/>
        </w:rPr>
        <w:t xml:space="preserve"> </w:t>
      </w:r>
      <w:r>
        <w:rPr>
          <w:spacing w:val="-10"/>
          <w:position w:val="17"/>
        </w:rPr>
        <w:t>月</w:t>
      </w:r>
      <w:r>
        <w:rPr>
          <w:spacing w:val="-53"/>
          <w:position w:val="17"/>
        </w:rPr>
        <w:t xml:space="preserve"> </w:t>
      </w:r>
      <w:r>
        <w:rPr>
          <w:rFonts w:ascii="Times New Roman" w:eastAsia="Times New Roman" w:hAnsi="Times New Roman" w:cs="Times New Roman"/>
          <w:spacing w:val="-10"/>
          <w:position w:val="17"/>
        </w:rPr>
        <w:t xml:space="preserve">31  </w:t>
      </w:r>
      <w:r>
        <w:rPr>
          <w:spacing w:val="-10"/>
          <w:position w:val="17"/>
        </w:rPr>
        <w:t>日，凤阳硅谷</w:t>
      </w:r>
      <w:r>
        <w:rPr>
          <w:spacing w:val="-11"/>
          <w:position w:val="17"/>
        </w:rPr>
        <w:t>支付了上述减资款项，</w:t>
      </w:r>
      <w:r>
        <w:rPr>
          <w:spacing w:val="28"/>
          <w:position w:val="17"/>
        </w:rPr>
        <w:t xml:space="preserve"> </w:t>
      </w:r>
      <w:r>
        <w:rPr>
          <w:spacing w:val="-11"/>
          <w:position w:val="17"/>
        </w:rPr>
        <w:t>并于</w:t>
      </w:r>
      <w:r>
        <w:rPr>
          <w:spacing w:val="-56"/>
          <w:position w:val="17"/>
        </w:rPr>
        <w:t xml:space="preserve"> </w:t>
      </w:r>
      <w:r>
        <w:rPr>
          <w:rFonts w:ascii="Times New Roman" w:eastAsia="Times New Roman" w:hAnsi="Times New Roman" w:cs="Times New Roman"/>
          <w:spacing w:val="-11"/>
          <w:position w:val="17"/>
        </w:rPr>
        <w:t>2023</w:t>
      </w:r>
      <w:r>
        <w:rPr>
          <w:rFonts w:ascii="Times New Roman" w:eastAsia="Times New Roman" w:hAnsi="Times New Roman" w:cs="Times New Roman"/>
          <w:spacing w:val="13"/>
          <w:position w:val="17"/>
        </w:rPr>
        <w:t xml:space="preserve"> </w:t>
      </w:r>
      <w:r>
        <w:rPr>
          <w:spacing w:val="-11"/>
          <w:position w:val="17"/>
        </w:rPr>
        <w:t>年</w:t>
      </w:r>
      <w:r>
        <w:rPr>
          <w:spacing w:val="-34"/>
          <w:position w:val="17"/>
        </w:rPr>
        <w:t xml:space="preserve"> </w:t>
      </w:r>
      <w:r>
        <w:rPr>
          <w:rFonts w:ascii="Times New Roman" w:eastAsia="Times New Roman" w:hAnsi="Times New Roman" w:cs="Times New Roman"/>
          <w:spacing w:val="-11"/>
          <w:position w:val="17"/>
        </w:rPr>
        <w:t>12</w:t>
      </w:r>
      <w:r>
        <w:rPr>
          <w:rFonts w:ascii="Times New Roman" w:eastAsia="Times New Roman" w:hAnsi="Times New Roman" w:cs="Times New Roman"/>
          <w:spacing w:val="13"/>
          <w:position w:val="17"/>
        </w:rPr>
        <w:t xml:space="preserve"> </w:t>
      </w:r>
      <w:r>
        <w:rPr>
          <w:spacing w:val="-11"/>
          <w:position w:val="17"/>
        </w:rPr>
        <w:t>月</w:t>
      </w:r>
      <w:r>
        <w:rPr>
          <w:spacing w:val="-57"/>
          <w:position w:val="17"/>
        </w:rPr>
        <w:t xml:space="preserve"> </w:t>
      </w:r>
      <w:r>
        <w:rPr>
          <w:rFonts w:ascii="Times New Roman" w:eastAsia="Times New Roman" w:hAnsi="Times New Roman" w:cs="Times New Roman"/>
          <w:spacing w:val="-11"/>
          <w:position w:val="17"/>
        </w:rPr>
        <w:t xml:space="preserve">22  </w:t>
      </w:r>
      <w:r>
        <w:rPr>
          <w:spacing w:val="-11"/>
          <w:position w:val="17"/>
        </w:rPr>
        <w:t>日</w:t>
      </w:r>
    </w:p>
    <w:p>
      <w:pPr>
        <w:pStyle w:val="BodyText"/>
        <w:spacing w:line="219" w:lineRule="auto"/>
        <w:ind w:left="40"/>
      </w:pPr>
      <w:r>
        <w:rPr>
          <w:spacing w:val="-2"/>
        </w:rPr>
        <w:t>完成了工商变工登记。此次减资完成后，凤阳硅谷的股</w:t>
      </w:r>
      <w:r>
        <w:rPr>
          <w:spacing w:val="-3"/>
        </w:rPr>
        <w:t>权结构如下：</w:t>
      </w:r>
    </w:p>
    <w:p>
      <w:pPr>
        <w:spacing w:line="146" w:lineRule="exact"/>
      </w:pPr>
    </w:p>
    <w:tbl>
      <w:tblPr>
        <w:tblStyle w:val="TableNormal10"/>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4883"/>
        <w:gridCol w:w="1551"/>
        <w:gridCol w:w="1296"/>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793" w:type="dxa"/>
            <w:tcBorders>
              <w:left w:val="nil"/>
            </w:tcBorders>
            <w:vAlign w:val="top"/>
          </w:tcPr>
          <w:p>
            <w:pPr>
              <w:spacing w:before="115" w:line="222" w:lineRule="auto"/>
              <w:ind w:left="199"/>
              <w:rPr>
                <w:rFonts w:ascii="SimSun" w:eastAsia="SimSun" w:hAnsi="SimSun" w:cs="SimSun"/>
                <w:sz w:val="21"/>
                <w:szCs w:val="21"/>
              </w:rPr>
            </w:pPr>
            <w:r>
              <w:rPr>
                <w:rFonts w:ascii="SimSun" w:eastAsia="SimSun" w:hAnsi="SimSun" w:cs="SimSun"/>
                <w:b/>
                <w:bCs/>
                <w:spacing w:val="-4"/>
                <w:sz w:val="21"/>
                <w:szCs w:val="21"/>
              </w:rPr>
              <w:t>序号</w:t>
            </w:r>
          </w:p>
        </w:tc>
        <w:tc>
          <w:tcPr>
            <w:tcW w:w="4883" w:type="dxa"/>
            <w:vAlign w:val="top"/>
          </w:tcPr>
          <w:p>
            <w:pPr>
              <w:spacing w:before="115" w:line="221" w:lineRule="auto"/>
              <w:ind w:left="2027"/>
              <w:rPr>
                <w:rFonts w:ascii="SimSun" w:eastAsia="SimSun" w:hAnsi="SimSun" w:cs="SimSun"/>
                <w:sz w:val="21"/>
                <w:szCs w:val="21"/>
              </w:rPr>
            </w:pPr>
            <w:r>
              <w:rPr>
                <w:rFonts w:ascii="SimSun" w:eastAsia="SimSun" w:hAnsi="SimSun" w:cs="SimSun"/>
                <w:b/>
                <w:bCs/>
                <w:spacing w:val="-3"/>
                <w:sz w:val="21"/>
                <w:szCs w:val="21"/>
              </w:rPr>
              <w:t>股东名称</w:t>
            </w:r>
          </w:p>
        </w:tc>
        <w:tc>
          <w:tcPr>
            <w:tcW w:w="1551" w:type="dxa"/>
            <w:vAlign w:val="top"/>
          </w:tcPr>
          <w:p>
            <w:pPr>
              <w:spacing w:before="115" w:line="221" w:lineRule="auto"/>
              <w:ind w:left="255"/>
              <w:rPr>
                <w:rFonts w:ascii="SimSun" w:eastAsia="SimSun" w:hAnsi="SimSun" w:cs="SimSun"/>
                <w:sz w:val="21"/>
                <w:szCs w:val="21"/>
              </w:rPr>
            </w:pPr>
            <w:r>
              <w:rPr>
                <w:rFonts w:ascii="SimSun" w:eastAsia="SimSun" w:hAnsi="SimSun" w:cs="SimSun"/>
                <w:b/>
                <w:bCs/>
                <w:spacing w:val="-3"/>
                <w:sz w:val="21"/>
                <w:szCs w:val="21"/>
              </w:rPr>
              <w:t>认缴出资额</w:t>
            </w:r>
          </w:p>
        </w:tc>
        <w:tc>
          <w:tcPr>
            <w:tcW w:w="1296" w:type="dxa"/>
            <w:tcBorders>
              <w:right w:val="nil"/>
            </w:tcBorders>
            <w:vAlign w:val="top"/>
          </w:tcPr>
          <w:p>
            <w:pPr>
              <w:spacing w:before="115" w:line="221" w:lineRule="auto"/>
              <w:ind w:left="233"/>
              <w:rPr>
                <w:rFonts w:ascii="SimSun" w:eastAsia="SimSun" w:hAnsi="SimSun" w:cs="SimSun"/>
                <w:sz w:val="21"/>
                <w:szCs w:val="21"/>
              </w:rPr>
            </w:pPr>
            <w:r>
              <w:rPr>
                <w:rFonts w:ascii="SimSun" w:eastAsia="SimSun" w:hAnsi="SimSun" w:cs="SimSun"/>
                <w:b/>
                <w:bCs/>
                <w:spacing w:val="-4"/>
                <w:sz w:val="21"/>
                <w:szCs w:val="21"/>
              </w:rPr>
              <w:t>持股比例</w:t>
            </w:r>
          </w:p>
        </w:tc>
      </w:tr>
      <w:tr>
        <w:tblPrEx>
          <w:tblW w:w="8523" w:type="dxa"/>
          <w:tblInd w:w="14" w:type="dxa"/>
          <w:tblLayout w:type="fixed"/>
        </w:tblPrEx>
        <w:trPr>
          <w:trHeight w:val="402"/>
        </w:trPr>
        <w:tc>
          <w:tcPr>
            <w:tcW w:w="793" w:type="dxa"/>
            <w:tcBorders>
              <w:left w:val="nil"/>
            </w:tcBorders>
            <w:vAlign w:val="top"/>
          </w:tcPr>
          <w:p>
            <w:pPr>
              <w:spacing w:before="127" w:line="187" w:lineRule="auto"/>
              <w:ind w:left="37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883" w:type="dxa"/>
            <w:vAlign w:val="top"/>
          </w:tcPr>
          <w:p>
            <w:pPr>
              <w:spacing w:before="88" w:line="221" w:lineRule="auto"/>
              <w:ind w:left="117"/>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551" w:type="dxa"/>
            <w:vAlign w:val="top"/>
          </w:tcPr>
          <w:p>
            <w:pPr>
              <w:spacing w:before="123" w:line="201"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296" w:type="dxa"/>
            <w:tcBorders>
              <w:right w:val="nil"/>
            </w:tcBorders>
            <w:vAlign w:val="top"/>
          </w:tcPr>
          <w:p>
            <w:pPr>
              <w:spacing w:before="123" w:line="230" w:lineRule="auto"/>
              <w:ind w:left="5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84.07%</w:t>
            </w:r>
          </w:p>
        </w:tc>
      </w:tr>
      <w:tr>
        <w:tblPrEx>
          <w:tblW w:w="8523" w:type="dxa"/>
          <w:tblInd w:w="14" w:type="dxa"/>
          <w:tblLayout w:type="fixed"/>
        </w:tblPrEx>
        <w:trPr>
          <w:trHeight w:val="402"/>
        </w:trPr>
        <w:tc>
          <w:tcPr>
            <w:tcW w:w="793" w:type="dxa"/>
            <w:tcBorders>
              <w:left w:val="nil"/>
            </w:tcBorders>
            <w:vAlign w:val="top"/>
          </w:tcPr>
          <w:p>
            <w:pPr>
              <w:spacing w:before="123" w:line="187" w:lineRule="auto"/>
              <w:ind w:left="35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883" w:type="dxa"/>
            <w:vAlign w:val="top"/>
          </w:tcPr>
          <w:p>
            <w:pPr>
              <w:spacing w:before="89" w:line="221" w:lineRule="auto"/>
              <w:ind w:left="117"/>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551" w:type="dxa"/>
            <w:vAlign w:val="top"/>
          </w:tcPr>
          <w:p>
            <w:pPr>
              <w:spacing w:before="123" w:line="187" w:lineRule="auto"/>
              <w:ind w:left="7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296" w:type="dxa"/>
            <w:tcBorders>
              <w:right w:val="nil"/>
            </w:tcBorders>
            <w:vAlign w:val="top"/>
          </w:tcPr>
          <w:p>
            <w:pPr>
              <w:spacing w:before="123"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15.93%</w:t>
            </w:r>
          </w:p>
        </w:tc>
      </w:tr>
      <w:tr>
        <w:tblPrEx>
          <w:tblW w:w="8523" w:type="dxa"/>
          <w:tblInd w:w="14" w:type="dxa"/>
          <w:tblLayout w:type="fixed"/>
        </w:tblPrEx>
        <w:trPr>
          <w:trHeight w:val="425"/>
        </w:trPr>
        <w:tc>
          <w:tcPr>
            <w:tcW w:w="5676" w:type="dxa"/>
            <w:gridSpan w:val="2"/>
            <w:tcBorders>
              <w:left w:val="nil"/>
            </w:tcBorders>
            <w:vAlign w:val="top"/>
          </w:tcPr>
          <w:p>
            <w:pPr>
              <w:spacing w:before="90" w:line="222" w:lineRule="auto"/>
              <w:ind w:left="2645"/>
              <w:rPr>
                <w:rFonts w:ascii="SimSun" w:eastAsia="SimSun" w:hAnsi="SimSun" w:cs="SimSun"/>
                <w:sz w:val="21"/>
                <w:szCs w:val="21"/>
              </w:rPr>
            </w:pPr>
            <w:r>
              <w:rPr>
                <w:rFonts w:ascii="SimSun" w:eastAsia="SimSun" w:hAnsi="SimSun" w:cs="SimSun"/>
                <w:b/>
                <w:bCs/>
                <w:spacing w:val="-4"/>
                <w:sz w:val="21"/>
                <w:szCs w:val="21"/>
              </w:rPr>
              <w:t>合计</w:t>
            </w:r>
          </w:p>
        </w:tc>
        <w:tc>
          <w:tcPr>
            <w:tcW w:w="1551" w:type="dxa"/>
            <w:vAlign w:val="top"/>
          </w:tcPr>
          <w:p>
            <w:pPr>
              <w:spacing w:before="129" w:line="196" w:lineRule="auto"/>
              <w:ind w:left="616"/>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10,110.15</w:t>
            </w:r>
          </w:p>
        </w:tc>
        <w:tc>
          <w:tcPr>
            <w:tcW w:w="1296" w:type="dxa"/>
            <w:tcBorders>
              <w:right w:val="nil"/>
            </w:tcBorders>
            <w:vAlign w:val="top"/>
          </w:tcPr>
          <w:p>
            <w:pPr>
              <w:spacing w:before="128" w:line="227" w:lineRule="auto"/>
              <w:ind w:left="41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13"/>
      </w:pPr>
      <w:r>
        <w:rPr>
          <w:rFonts w:ascii="Times New Roman" w:eastAsia="Times New Roman" w:hAnsi="Times New Roman" w:cs="Times New Roman"/>
          <w:b/>
          <w:bCs/>
          <w:spacing w:val="-7"/>
        </w:rPr>
        <w:t>3</w:t>
      </w:r>
      <w:r>
        <w:rPr>
          <w:rFonts w:ascii="Times New Roman" w:eastAsia="Times New Roman" w:hAnsi="Times New Roman" w:cs="Times New Roman"/>
          <w:b/>
          <w:bCs/>
          <w:spacing w:val="-22"/>
        </w:rPr>
        <w:t xml:space="preserve"> </w:t>
      </w:r>
      <w:r>
        <w:rPr>
          <w:b/>
          <w:bCs/>
          <w:spacing w:val="-7"/>
        </w:rPr>
        <w:t>．公司业务情况</w:t>
      </w:r>
    </w:p>
    <w:p>
      <w:pPr>
        <w:pStyle w:val="BodyText"/>
        <w:spacing w:before="228" w:line="220" w:lineRule="auto"/>
        <w:ind w:left="525"/>
      </w:pPr>
      <w:r>
        <w:rPr>
          <w:spacing w:val="-2"/>
        </w:rPr>
        <w:t>（</w:t>
      </w:r>
      <w:r>
        <w:rPr>
          <w:rFonts w:ascii="Times New Roman" w:eastAsia="Times New Roman" w:hAnsi="Times New Roman" w:cs="Times New Roman"/>
          <w:spacing w:val="-2"/>
        </w:rPr>
        <w:t>1</w:t>
      </w:r>
      <w:r>
        <w:rPr>
          <w:spacing w:val="-2"/>
        </w:rPr>
        <w:t>）主要产品或服务</w:t>
      </w:r>
    </w:p>
    <w:p>
      <w:pPr>
        <w:pStyle w:val="BodyText"/>
        <w:spacing w:before="225" w:line="346" w:lineRule="auto"/>
        <w:ind w:left="37" w:right="28" w:firstLine="482"/>
      </w:pPr>
      <w:r>
        <w:rPr>
          <w:spacing w:val="1"/>
        </w:rPr>
        <w:t>凤阳硅谷自设立以来，主要从事光伏玻璃原片的研发、生产与销售</w:t>
      </w:r>
      <w:r>
        <w:t>，</w:t>
      </w:r>
      <w:r>
        <w:rPr>
          <w:spacing w:val="-52"/>
        </w:rPr>
        <w:t xml:space="preserve"> </w:t>
      </w:r>
      <w:r>
        <w:t xml:space="preserve">目前企 </w:t>
      </w:r>
      <w:r>
        <w:rPr>
          <w:spacing w:val="-5"/>
        </w:rPr>
        <w:t>业主要产品为光伏玻璃原片。</w:t>
      </w:r>
      <w:r>
        <w:rPr>
          <w:spacing w:val="49"/>
        </w:rPr>
        <w:t xml:space="preserve"> </w:t>
      </w:r>
      <w:r>
        <w:rPr>
          <w:spacing w:val="-5"/>
        </w:rPr>
        <w:t xml:space="preserve">于评估基准日，凤阳硅谷拥有窑炉 </w:t>
      </w:r>
      <w:r>
        <w:rPr>
          <w:rFonts w:ascii="Times New Roman" w:eastAsia="Times New Roman" w:hAnsi="Times New Roman" w:cs="Times New Roman"/>
          <w:spacing w:val="-5"/>
        </w:rPr>
        <w:t xml:space="preserve">3  </w:t>
      </w:r>
      <w:r>
        <w:rPr>
          <w:spacing w:val="-5"/>
        </w:rPr>
        <w:t>座，其中，</w:t>
      </w:r>
      <w:r>
        <w:rPr>
          <w:rFonts w:ascii="Times New Roman" w:eastAsia="Times New Roman" w:hAnsi="Times New Roman" w:cs="Times New Roman"/>
          <w:spacing w:val="-5"/>
        </w:rPr>
        <w:t>1#</w:t>
      </w:r>
      <w:r>
        <w:rPr>
          <w:rFonts w:ascii="Times New Roman" w:eastAsia="Times New Roman" w:hAnsi="Times New Roman" w:cs="Times New Roman"/>
        </w:rPr>
        <w:t xml:space="preserve"> </w:t>
      </w:r>
      <w:r>
        <w:rPr>
          <w:spacing w:val="-3"/>
        </w:rPr>
        <w:t>窑炉于</w:t>
      </w:r>
      <w:r>
        <w:rPr>
          <w:spacing w:val="-32"/>
        </w:rPr>
        <w:t xml:space="preserve"> </w:t>
      </w:r>
      <w:r>
        <w:rPr>
          <w:rFonts w:ascii="Times New Roman" w:eastAsia="Times New Roman" w:hAnsi="Times New Roman" w:cs="Times New Roman"/>
          <w:spacing w:val="-3"/>
        </w:rPr>
        <w:t>2020</w:t>
      </w:r>
      <w:r>
        <w:rPr>
          <w:rFonts w:ascii="Times New Roman" w:eastAsia="Times New Roman" w:hAnsi="Times New Roman" w:cs="Times New Roman"/>
          <w:spacing w:val="27"/>
        </w:rPr>
        <w:t xml:space="preserve"> </w:t>
      </w:r>
      <w:r>
        <w:rPr>
          <w:spacing w:val="-3"/>
        </w:rPr>
        <w:t>年</w:t>
      </w:r>
      <w:r>
        <w:rPr>
          <w:spacing w:val="-39"/>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spacing w:val="-3"/>
        </w:rPr>
        <w:t>月投产，</w:t>
      </w:r>
      <w:r>
        <w:rPr>
          <w:rFonts w:ascii="Times New Roman" w:eastAsia="Times New Roman" w:hAnsi="Times New Roman" w:cs="Times New Roman"/>
          <w:spacing w:val="-3"/>
        </w:rPr>
        <w:t>2#</w:t>
      </w:r>
      <w:r>
        <w:rPr>
          <w:spacing w:val="-3"/>
        </w:rPr>
        <w:t>窑炉于</w:t>
      </w:r>
      <w:r>
        <w:rPr>
          <w:spacing w:val="-38"/>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32"/>
        </w:rPr>
        <w:t xml:space="preserve"> </w:t>
      </w:r>
      <w:r>
        <w:rPr>
          <w:spacing w:val="-3"/>
        </w:rPr>
        <w:t>年</w:t>
      </w:r>
      <w:r>
        <w:rPr>
          <w:spacing w:val="-30"/>
        </w:rPr>
        <w:t xml:space="preserve"> </w:t>
      </w:r>
      <w:r>
        <w:rPr>
          <w:rFonts w:ascii="Times New Roman" w:eastAsia="Times New Roman" w:hAnsi="Times New Roman" w:cs="Times New Roman"/>
          <w:spacing w:val="-3"/>
        </w:rPr>
        <w:t>7</w:t>
      </w:r>
      <w:r>
        <w:rPr>
          <w:rFonts w:ascii="Times New Roman" w:eastAsia="Times New Roman" w:hAnsi="Times New Roman" w:cs="Times New Roman"/>
          <w:spacing w:val="32"/>
          <w:w w:val="101"/>
        </w:rPr>
        <w:t xml:space="preserve"> </w:t>
      </w:r>
      <w:r>
        <w:rPr>
          <w:spacing w:val="-3"/>
        </w:rPr>
        <w:t>月投产，</w:t>
      </w:r>
      <w:r>
        <w:rPr>
          <w:rFonts w:ascii="Times New Roman" w:eastAsia="Times New Roman" w:hAnsi="Times New Roman" w:cs="Times New Roman"/>
          <w:spacing w:val="-3"/>
        </w:rPr>
        <w:t>3#</w:t>
      </w:r>
      <w:r>
        <w:rPr>
          <w:spacing w:val="-3"/>
        </w:rPr>
        <w:t>窑炉于</w:t>
      </w:r>
      <w:r>
        <w:rPr>
          <w:spacing w:val="-38"/>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27"/>
        </w:rPr>
        <w:t xml:space="preserve"> </w:t>
      </w:r>
      <w:r>
        <w:rPr>
          <w:spacing w:val="-3"/>
        </w:rPr>
        <w:t>年</w:t>
      </w:r>
      <w:r>
        <w:rPr>
          <w:spacing w:val="-28"/>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32"/>
        </w:rPr>
        <w:t xml:space="preserve"> </w:t>
      </w:r>
      <w:r>
        <w:rPr>
          <w:spacing w:val="-3"/>
        </w:rPr>
        <w:t>月投</w:t>
      </w:r>
      <w:r>
        <w:t xml:space="preserve"> </w:t>
      </w:r>
      <w:r>
        <w:rPr>
          <w:spacing w:val="-1"/>
        </w:rPr>
        <w:t>产，现有</w:t>
      </w:r>
      <w:r>
        <w:rPr>
          <w:spacing w:val="-52"/>
        </w:rPr>
        <w:t xml:space="preserve"> </w:t>
      </w:r>
      <w:r>
        <w:rPr>
          <w:rFonts w:ascii="Times New Roman" w:eastAsia="Times New Roman" w:hAnsi="Times New Roman" w:cs="Times New Roman"/>
          <w:spacing w:val="-1"/>
        </w:rPr>
        <w:t xml:space="preserve">3 </w:t>
      </w:r>
      <w:r>
        <w:rPr>
          <w:spacing w:val="-1"/>
        </w:rPr>
        <w:t>座窑炉后经富氧燃烧、料方调整等技改后有效产能约为</w:t>
      </w:r>
      <w:r>
        <w:rPr>
          <w:spacing w:val="-55"/>
        </w:rPr>
        <w:t xml:space="preserve"> </w:t>
      </w:r>
      <w:r>
        <w:rPr>
          <w:rFonts w:ascii="Times New Roman" w:eastAsia="Times New Roman" w:hAnsi="Times New Roman" w:cs="Times New Roman"/>
          <w:spacing w:val="-1"/>
        </w:rPr>
        <w:t>2,530</w:t>
      </w:r>
      <w:r>
        <w:rPr>
          <w:rFonts w:ascii="Times New Roman" w:eastAsia="Times New Roman" w:hAnsi="Times New Roman" w:cs="Times New Roman"/>
          <w:spacing w:val="-2"/>
        </w:rPr>
        <w:t>t/d</w:t>
      </w:r>
      <w:r>
        <w:rPr>
          <w:spacing w:val="-2"/>
        </w:rPr>
        <w:t>。上述</w:t>
      </w:r>
    </w:p>
    <w:p>
      <w:pPr>
        <w:pStyle w:val="BodyText"/>
        <w:spacing w:line="219" w:lineRule="auto"/>
        <w:ind w:left="39"/>
      </w:pPr>
      <w:r>
        <w:rPr>
          <w:spacing w:val="-1"/>
        </w:rPr>
        <w:t>技改项目已履行经信、生态环境局等必要的审核备案程序。</w:t>
      </w:r>
    </w:p>
    <w:p>
      <w:pPr>
        <w:pStyle w:val="BodyText"/>
        <w:spacing w:before="223" w:line="220" w:lineRule="auto"/>
        <w:ind w:left="525"/>
      </w:pPr>
      <w:r>
        <w:rPr>
          <w:spacing w:val="-4"/>
        </w:rPr>
        <w:t>（</w:t>
      </w:r>
      <w:r>
        <w:rPr>
          <w:rFonts w:ascii="Times New Roman" w:eastAsia="Times New Roman" w:hAnsi="Times New Roman" w:cs="Times New Roman"/>
          <w:spacing w:val="-4"/>
        </w:rPr>
        <w:t>2</w:t>
      </w:r>
      <w:r>
        <w:rPr>
          <w:spacing w:val="-4"/>
        </w:rPr>
        <w:t>）经营模式</w:t>
      </w:r>
    </w:p>
    <w:p>
      <w:pPr>
        <w:pStyle w:val="BodyText"/>
        <w:spacing w:before="223" w:line="220" w:lineRule="auto"/>
        <w:ind w:left="537"/>
      </w:pPr>
      <w:r>
        <w:rPr>
          <w:rFonts w:ascii="Times New Roman" w:eastAsia="Times New Roman" w:hAnsi="Times New Roman" w:cs="Times New Roman"/>
          <w:spacing w:val="-5"/>
        </w:rPr>
        <w:t>1</w:t>
      </w:r>
      <w:r>
        <w:rPr>
          <w:spacing w:val="-5"/>
        </w:rPr>
        <w:t>）生产模式</w:t>
      </w:r>
    </w:p>
    <w:p>
      <w:pPr>
        <w:pStyle w:val="BodyText"/>
        <w:spacing w:before="228" w:line="346" w:lineRule="auto"/>
        <w:ind w:left="37" w:right="28" w:firstLine="485"/>
      </w:pPr>
      <w:r>
        <w:rPr>
          <w:spacing w:val="1"/>
        </w:rPr>
        <w:t>玻璃窑炉具有全年连续生产不间断的特点。凤阳硅谷实行</w:t>
      </w:r>
      <w:r>
        <w:rPr>
          <w:rFonts w:ascii="Times New Roman" w:eastAsia="Times New Roman" w:hAnsi="Times New Roman" w:cs="Times New Roman"/>
          <w:spacing w:val="1"/>
        </w:rPr>
        <w:t>“</w:t>
      </w:r>
      <w:r>
        <w:rPr>
          <w:rFonts w:ascii="Times New Roman" w:eastAsia="Times New Roman" w:hAnsi="Times New Roman" w:cs="Times New Roman"/>
          <w:spacing w:val="-7"/>
        </w:rPr>
        <w:t xml:space="preserve"> </w:t>
      </w:r>
      <w:r>
        <w:rPr>
          <w:spacing w:val="1"/>
        </w:rPr>
        <w:t>以销定产</w:t>
      </w:r>
      <w:r>
        <w:rPr>
          <w:rFonts w:ascii="Times New Roman" w:eastAsia="Times New Roman" w:hAnsi="Times New Roman" w:cs="Times New Roman"/>
          <w:spacing w:val="1"/>
        </w:rPr>
        <w:t>”</w:t>
      </w:r>
      <w:r>
        <w:rPr>
          <w:rFonts w:ascii="Times New Roman" w:eastAsia="Times New Roman" w:hAnsi="Times New Roman" w:cs="Times New Roman"/>
          <w:spacing w:val="-26"/>
        </w:rPr>
        <w:t xml:space="preserve"> </w:t>
      </w:r>
      <w:r>
        <w:rPr>
          <w:spacing w:val="1"/>
        </w:rPr>
        <w:t>的生产</w:t>
      </w:r>
      <w:r>
        <w:t xml:space="preserve"> </w:t>
      </w:r>
      <w:r>
        <w:rPr>
          <w:spacing w:val="-1"/>
        </w:rPr>
        <w:t>模式，合理利用产能， 根据客户需要的不同产品规格和尺寸进行自动化切割，实</w:t>
      </w:r>
      <w:r>
        <w:rPr>
          <w:spacing w:val="11"/>
        </w:rPr>
        <w:t xml:space="preserve"> </w:t>
      </w:r>
      <w:r>
        <w:rPr>
          <w:spacing w:val="3"/>
        </w:rPr>
        <w:t>现产品的快速生产，保障客户的产品供应。同时，凤阳硅</w:t>
      </w:r>
      <w:r>
        <w:rPr>
          <w:spacing w:val="2"/>
        </w:rPr>
        <w:t>谷结合历史订单数据、</w:t>
      </w:r>
    </w:p>
    <w:p>
      <w:pPr>
        <w:pStyle w:val="BodyText"/>
        <w:spacing w:before="1" w:line="218" w:lineRule="auto"/>
        <w:ind w:left="40"/>
      </w:pPr>
      <w:r>
        <w:t>客户长单、市场趋势及自身产能情况，生产</w:t>
      </w:r>
      <w:r>
        <w:rPr>
          <w:spacing w:val="-1"/>
        </w:rPr>
        <w:t>部分常用规格光伏玻璃原片。</w:t>
      </w:r>
    </w:p>
    <w:p>
      <w:pPr>
        <w:pStyle w:val="BodyText"/>
        <w:spacing w:before="225" w:line="219" w:lineRule="auto"/>
        <w:ind w:left="514"/>
      </w:pPr>
      <w:r>
        <w:rPr>
          <w:rFonts w:ascii="Times New Roman" w:eastAsia="Times New Roman" w:hAnsi="Times New Roman" w:cs="Times New Roman"/>
          <w:spacing w:val="-1"/>
        </w:rPr>
        <w:t>2</w:t>
      </w:r>
      <w:r>
        <w:rPr>
          <w:spacing w:val="-1"/>
        </w:rPr>
        <w:t>）采购模式</w:t>
      </w:r>
    </w:p>
    <w:p>
      <w:pPr>
        <w:pStyle w:val="BodyText"/>
        <w:spacing w:before="226" w:line="346" w:lineRule="auto"/>
        <w:ind w:left="37" w:right="32" w:firstLine="483"/>
        <w:sectPr>
          <w:headerReference w:type="default" r:id="rId55"/>
          <w:footerReference w:type="default" r:id="rId56"/>
          <w:pgSz w:w="11905" w:h="16839"/>
          <w:pgMar w:top="1637" w:right="1666" w:bottom="1579" w:left="1670" w:header="1154" w:footer="1314" w:gutter="0"/>
          <w:pgNumType w:start="27"/>
          <w:cols w:space="708"/>
        </w:sectPr>
      </w:pPr>
      <w:r>
        <w:rPr>
          <w:spacing w:val="3"/>
        </w:rPr>
        <w:t>光伏玻璃原片主要原材料为石英砂、纯碱等。凤阳</w:t>
      </w:r>
      <w:r>
        <w:rPr>
          <w:spacing w:val="2"/>
        </w:rPr>
        <w:t>硅谷由专门人员负责生产</w:t>
      </w:r>
      <w:r>
        <w:t xml:space="preserve"> </w:t>
      </w:r>
      <w:r>
        <w:rPr>
          <w:spacing w:val="5"/>
        </w:rPr>
        <w:t>所需原材料的采购，公司建立了严格的采购管理制度并有效执行，采用</w:t>
      </w:r>
      <w:r>
        <w:rPr>
          <w:rFonts w:ascii="Times New Roman" w:eastAsia="Times New Roman" w:hAnsi="Times New Roman" w:cs="Times New Roman"/>
          <w:spacing w:val="5"/>
        </w:rPr>
        <w:t>“</w:t>
      </w:r>
      <w:r>
        <w:rPr>
          <w:rFonts w:ascii="Times New Roman" w:eastAsia="Times New Roman" w:hAnsi="Times New Roman" w:cs="Times New Roman"/>
          <w:spacing w:val="-13"/>
        </w:rPr>
        <w:t xml:space="preserve"> </w:t>
      </w:r>
      <w:r>
        <w:rPr>
          <w:spacing w:val="5"/>
        </w:rPr>
        <w:t>以产定</w:t>
      </w:r>
      <w:r>
        <w:t xml:space="preserve"> </w:t>
      </w:r>
    </w:p>
    <w:p>
      <w:pPr>
        <w:pStyle w:val="BodyText"/>
        <w:spacing w:before="226" w:line="346" w:lineRule="auto"/>
        <w:ind w:left="37" w:right="32" w:firstLine="483"/>
      </w:pPr>
      <w:r>
        <w:rPr>
          <w:spacing w:val="-1"/>
        </w:rPr>
        <w:t>采</w:t>
      </w:r>
      <w:r>
        <w:rPr>
          <w:rFonts w:ascii="Times New Roman" w:eastAsia="Times New Roman" w:hAnsi="Times New Roman" w:cs="Times New Roman"/>
          <w:spacing w:val="-1"/>
        </w:rPr>
        <w:t>”</w:t>
      </w:r>
      <w:r>
        <w:rPr>
          <w:rFonts w:ascii="Times New Roman" w:eastAsia="Times New Roman" w:hAnsi="Times New Roman" w:cs="Times New Roman"/>
          <w:spacing w:val="-22"/>
        </w:rPr>
        <w:t xml:space="preserve"> </w:t>
      </w:r>
      <w:r>
        <w:rPr>
          <w:spacing w:val="-1"/>
        </w:rPr>
        <w:t>、</w:t>
      </w:r>
      <w:r>
        <w:rPr>
          <w:rFonts w:ascii="Times New Roman" w:eastAsia="Times New Roman" w:hAnsi="Times New Roman" w:cs="Times New Roman"/>
          <w:spacing w:val="-1"/>
        </w:rPr>
        <w:t>“</w:t>
      </w:r>
      <w:r>
        <w:rPr>
          <w:spacing w:val="-1"/>
        </w:rPr>
        <w:t>适度备料</w:t>
      </w:r>
      <w:r>
        <w:rPr>
          <w:rFonts w:ascii="Times New Roman" w:eastAsia="Times New Roman" w:hAnsi="Times New Roman" w:cs="Times New Roman"/>
          <w:spacing w:val="-1"/>
        </w:rPr>
        <w:t>”</w:t>
      </w:r>
      <w:r>
        <w:rPr>
          <w:spacing w:val="-1"/>
        </w:rPr>
        <w:t>相结合的原则，根据生产计划从合格供应商中进行询价、确定并</w:t>
      </w:r>
      <w:r>
        <w:t xml:space="preserve"> </w:t>
      </w:r>
      <w:r>
        <w:rPr>
          <w:spacing w:val="3"/>
        </w:rPr>
        <w:t>实施采购。同时，对于主要原材料公司保持一定安全库存</w:t>
      </w:r>
      <w:r>
        <w:rPr>
          <w:spacing w:val="2"/>
        </w:rPr>
        <w:t>，确保原材料质量与供</w:t>
      </w:r>
    </w:p>
    <w:p>
      <w:pPr>
        <w:pStyle w:val="BodyText"/>
        <w:spacing w:line="219" w:lineRule="auto"/>
        <w:ind w:left="38"/>
      </w:pPr>
      <w:r>
        <w:rPr>
          <w:spacing w:val="-2"/>
        </w:rPr>
        <w:t>应的稳定性。</w:t>
      </w:r>
    </w:p>
    <w:p>
      <w:pPr>
        <w:pStyle w:val="BodyText"/>
        <w:spacing w:before="228" w:line="220" w:lineRule="auto"/>
        <w:ind w:left="519"/>
      </w:pPr>
      <w:r>
        <w:rPr>
          <w:rFonts w:ascii="Times New Roman" w:eastAsia="Times New Roman" w:hAnsi="Times New Roman" w:cs="Times New Roman"/>
          <w:spacing w:val="-3"/>
        </w:rPr>
        <w:t>3</w:t>
      </w:r>
      <w:r>
        <w:rPr>
          <w:spacing w:val="-3"/>
        </w:rPr>
        <w:t>）销售模式</w:t>
      </w:r>
    </w:p>
    <w:p>
      <w:pPr>
        <w:spacing w:line="220" w:lineRule="auto"/>
        <w:sectPr>
          <w:headerReference w:type="default" r:id="rId57"/>
          <w:footerReference w:type="default" r:id="rId58"/>
          <w:type w:val="nextPage"/>
          <w:pgSz w:w="11905" w:h="16839"/>
          <w:pgMar w:top="1637" w:right="1666" w:bottom="1579" w:left="1670" w:header="1154" w:footer="1314" w:gutter="0"/>
          <w:pgNumType w:start="28"/>
          <w:cols w:space="708"/>
          <w:titlePg w:val="0"/>
        </w:sectPr>
      </w:pPr>
    </w:p>
    <w:p>
      <w:pPr>
        <w:spacing w:line="306" w:lineRule="auto"/>
        <w:rPr>
          <w:rFonts w:ascii="Arial"/>
          <w:sz w:val="21"/>
        </w:rPr>
      </w:pPr>
    </w:p>
    <w:p>
      <w:pPr>
        <w:pStyle w:val="BodyText"/>
        <w:spacing w:before="78" w:line="354" w:lineRule="auto"/>
        <w:ind w:left="29" w:right="59" w:firstLine="459"/>
      </w:pPr>
      <w:r>
        <w:rPr>
          <w:spacing w:val="1"/>
        </w:rPr>
        <w:t>目前，凤阳硅谷的主要客户为亚玛顿，亚玛顿根据实际需求向凤阳硅谷下达</w:t>
      </w:r>
      <w:r>
        <w:rPr>
          <w:spacing w:val="15"/>
        </w:rPr>
        <w:t xml:space="preserve"> </w:t>
      </w:r>
      <w:r>
        <w:rPr>
          <w:spacing w:val="2"/>
        </w:rPr>
        <w:t>采购订单，在订单中约定采购产品名称、规格型号、价格、数量、交货日期等必</w:t>
      </w:r>
      <w:r>
        <w:rPr>
          <w:spacing w:val="18"/>
        </w:rPr>
        <w:t xml:space="preserve"> </w:t>
      </w:r>
      <w:r>
        <w:rPr>
          <w:spacing w:val="2"/>
        </w:rPr>
        <w:t>要商务条款。凤阳硅谷收到订单后，负责组织相关产品的生产及交付。凤阳硅谷</w:t>
      </w:r>
    </w:p>
    <w:p>
      <w:pPr>
        <w:pStyle w:val="BodyText"/>
        <w:spacing w:line="218" w:lineRule="auto"/>
        <w:ind w:left="29"/>
      </w:pPr>
      <w:r>
        <w:rPr>
          <w:spacing w:val="-3"/>
        </w:rPr>
        <w:t>的产品优先供应亚玛顿，在产量富余时向市场客户进行销售。</w:t>
      </w:r>
    </w:p>
    <w:p>
      <w:pPr>
        <w:pStyle w:val="BodyText"/>
        <w:spacing w:before="216" w:line="219" w:lineRule="auto"/>
        <w:ind w:left="489"/>
      </w:pPr>
      <w:r>
        <w:rPr>
          <w:spacing w:val="18"/>
        </w:rPr>
        <w:t>4)盈利模式</w:t>
      </w:r>
    </w:p>
    <w:p>
      <w:pPr>
        <w:pStyle w:val="BodyText"/>
        <w:spacing w:before="226" w:line="338" w:lineRule="auto"/>
        <w:ind w:left="29" w:right="79" w:firstLine="459"/>
      </w:pPr>
      <w:r>
        <w:rPr>
          <w:spacing w:val="2"/>
        </w:rPr>
        <w:t>凤阳硅谷主营业务为光伏玻璃原片的研发、生产和销售，凤阳硅谷通过采购</w:t>
      </w:r>
      <w:r>
        <w:rPr>
          <w:spacing w:val="15"/>
        </w:rPr>
        <w:t xml:space="preserve"> </w:t>
      </w:r>
      <w:r>
        <w:rPr>
          <w:spacing w:val="2"/>
        </w:rPr>
        <w:t>石英砂、纯碱等原料，以自建窑炉熔炼玻璃液，通过压</w:t>
      </w:r>
      <w:r>
        <w:rPr>
          <w:spacing w:val="1"/>
        </w:rPr>
        <w:t>延法制成玻璃原片后向玻</w:t>
      </w:r>
      <w:r>
        <w:t xml:space="preserve"> </w:t>
      </w:r>
      <w:r>
        <w:rPr>
          <w:spacing w:val="2"/>
        </w:rPr>
        <w:t>璃深加工客户销售。因此，凤阳硅谷盈利主要来自成品销售收入与原料成</w:t>
      </w:r>
      <w:r>
        <w:rPr>
          <w:spacing w:val="1"/>
        </w:rPr>
        <w:t>本、加</w:t>
      </w:r>
    </w:p>
    <w:p>
      <w:pPr>
        <w:pStyle w:val="BodyText"/>
        <w:spacing w:before="1" w:line="218" w:lineRule="auto"/>
        <w:ind w:left="29"/>
      </w:pPr>
      <w:r>
        <w:rPr>
          <w:spacing w:val="-12"/>
        </w:rPr>
        <w:t>工成本的差额。</w:t>
      </w:r>
    </w:p>
    <w:p>
      <w:pPr>
        <w:pStyle w:val="BodyText"/>
        <w:spacing w:before="247" w:line="219" w:lineRule="auto"/>
        <w:ind w:left="639"/>
      </w:pPr>
      <w:r>
        <w:rPr>
          <w:spacing w:val="8"/>
        </w:rPr>
        <w:t>(3)经营管理状况</w:t>
      </w:r>
    </w:p>
    <w:p>
      <w:pPr>
        <w:pStyle w:val="BodyText"/>
        <w:spacing w:before="224" w:line="471" w:lineRule="exact"/>
        <w:ind w:left="489"/>
      </w:pPr>
      <w:r>
        <w:rPr>
          <w:spacing w:val="2"/>
          <w:position w:val="17"/>
        </w:rPr>
        <w:t>凤阳硅谷按现代企业制度搭建了管理架构，下设研发部、</w:t>
      </w:r>
      <w:r>
        <w:rPr>
          <w:spacing w:val="1"/>
          <w:position w:val="17"/>
        </w:rPr>
        <w:t>生产部、采购部、</w:t>
      </w:r>
    </w:p>
    <w:p>
      <w:pPr>
        <w:pStyle w:val="BodyText"/>
        <w:spacing w:line="219" w:lineRule="auto"/>
        <w:ind w:left="29"/>
      </w:pPr>
      <w:r>
        <w:rPr>
          <w:spacing w:val="-3"/>
        </w:rPr>
        <w:t>财务部等多个部门，公司组织结构如下图所示：</w:t>
      </w:r>
    </w:p>
    <w:p>
      <w:pPr>
        <w:pStyle w:val="BodyText"/>
        <w:spacing w:before="85" w:line="4340" w:lineRule="exact"/>
        <w:ind w:firstLine="249"/>
      </w:pPr>
      <w:r>
        <w:rPr>
          <w:position w:val="-86"/>
        </w:rPr>
        <w:pict>
          <v:group id="_x0000_i1028" style="width:400.55pt;height:217.05pt;mso-position-horizontal-relative:char;mso-position-vertical-relative:line" coordorigin="0,0" coordsize="8010,434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8010;height:4341;position:absolute" filled="f" stroked="f">
              <v:imagedata r:id="rId59" o:title=""/>
            </v:shape>
            <v:shapetype id="_x0000_t202" coordsize="21600,21600" o:spt="202" path="m,l,21600r21600,l21600,xe">
              <v:stroke joinstyle="miter"/>
              <v:path gradientshapeok="t" o:connecttype="rect"/>
            </v:shapetype>
            <v:shape id="_x0000_s1030" type="#_x0000_t202" style="width:7690;height:2608;left:159;position:absolute;top:1495" filled="f" stroked="f">
              <o:lock v:ext="edit" aspectratio="f"/>
              <v:textbox style="layout-flow:vertical-ideographic" inset="0,0,0,0">
                <w:txbxContent>
                  <w:p>
                    <w:pPr>
                      <w:spacing w:before="20" w:line="216" w:lineRule="auto"/>
                      <w:ind w:left="789"/>
                      <w:rPr>
                        <w:rFonts w:ascii="SimSun" w:eastAsia="SimSun" w:hAnsi="SimSun" w:cs="SimSun"/>
                        <w:sz w:val="12"/>
                        <w:szCs w:val="12"/>
                      </w:rPr>
                    </w:pPr>
                    <w:r>
                      <w:rPr>
                        <w:rFonts w:ascii="SimSun" w:eastAsia="SimSun" w:hAnsi="SimSun" w:cs="SimSun"/>
                        <w:sz w:val="12"/>
                        <w:szCs w:val="12"/>
                      </w:rPr>
                      <w:t>财</w:t>
                    </w:r>
                    <w:r>
                      <w:rPr>
                        <w:rFonts w:ascii="SimSun" w:eastAsia="SimSun" w:hAnsi="SimSun" w:cs="SimSun"/>
                        <w:spacing w:val="-16"/>
                        <w:sz w:val="12"/>
                        <w:szCs w:val="12"/>
                      </w:rPr>
                      <w:t xml:space="preserve"> </w:t>
                    </w:r>
                    <w:r>
                      <w:rPr>
                        <w:rFonts w:ascii="SimSun" w:eastAsia="SimSun" w:hAnsi="SimSun" w:cs="SimSun"/>
                        <w:sz w:val="12"/>
                        <w:szCs w:val="12"/>
                      </w:rPr>
                      <w:t>务</w:t>
                    </w:r>
                    <w:r>
                      <w:rPr>
                        <w:rFonts w:ascii="SimSun" w:eastAsia="SimSun" w:hAnsi="SimSun" w:cs="SimSun"/>
                        <w:spacing w:val="-16"/>
                        <w:sz w:val="12"/>
                        <w:szCs w:val="12"/>
                      </w:rPr>
                      <w:t xml:space="preserve"> </w:t>
                    </w:r>
                    <w:r>
                      <w:rPr>
                        <w:rFonts w:ascii="SimSun" w:eastAsia="SimSun" w:hAnsi="SimSun" w:cs="SimSun"/>
                        <w:sz w:val="12"/>
                        <w:szCs w:val="12"/>
                      </w:rPr>
                      <w:t>部</w:t>
                    </w:r>
                  </w:p>
                  <w:p>
                    <w:pPr>
                      <w:spacing w:line="355" w:lineRule="auto"/>
                      <w:rPr>
                        <w:rFonts w:ascii="Arial"/>
                        <w:sz w:val="21"/>
                      </w:rPr>
                    </w:pPr>
                  </w:p>
                  <w:p>
                    <w:pPr>
                      <w:spacing w:before="45" w:line="206" w:lineRule="auto"/>
                      <w:ind w:left="771"/>
                      <w:rPr>
                        <w:rFonts w:ascii="FZYaoTi" w:eastAsia="FZYaoTi" w:hAnsi="FZYaoTi" w:cs="FZYaoTi"/>
                        <w:sz w:val="12"/>
                        <w:szCs w:val="12"/>
                      </w:rPr>
                    </w:pPr>
                    <w:r>
                      <w:rPr>
                        <w:rFonts w:ascii="FZYaoTi" w:eastAsia="FZYaoTi" w:hAnsi="FZYaoTi" w:cs="FZYaoTi"/>
                        <w:sz w:val="12"/>
                        <w:szCs w:val="12"/>
                      </w:rPr>
                      <w:t>销</w:t>
                    </w:r>
                    <w:r>
                      <w:rPr>
                        <w:rFonts w:ascii="FZYaoTi" w:eastAsia="FZYaoTi" w:hAnsi="FZYaoTi" w:cs="FZYaoTi"/>
                        <w:spacing w:val="16"/>
                        <w:w w:val="101"/>
                        <w:sz w:val="12"/>
                        <w:szCs w:val="12"/>
                      </w:rPr>
                      <w:t xml:space="preserve"> </w:t>
                    </w:r>
                    <w:r>
                      <w:rPr>
                        <w:rFonts w:ascii="FZYaoTi" w:eastAsia="FZYaoTi" w:hAnsi="FZYaoTi" w:cs="FZYaoTi"/>
                        <w:sz w:val="12"/>
                        <w:szCs w:val="12"/>
                      </w:rPr>
                      <w:t>售</w:t>
                    </w:r>
                    <w:r>
                      <w:rPr>
                        <w:rFonts w:ascii="FZYaoTi" w:eastAsia="FZYaoTi" w:hAnsi="FZYaoTi" w:cs="FZYaoTi"/>
                        <w:spacing w:val="15"/>
                        <w:w w:val="103"/>
                        <w:sz w:val="12"/>
                        <w:szCs w:val="12"/>
                      </w:rPr>
                      <w:t xml:space="preserve"> </w:t>
                    </w:r>
                    <w:r>
                      <w:rPr>
                        <w:rFonts w:ascii="FZYaoTi" w:eastAsia="FZYaoTi" w:hAnsi="FZYaoTi" w:cs="FZYaoTi"/>
                        <w:sz w:val="12"/>
                        <w:szCs w:val="12"/>
                      </w:rPr>
                      <w:t>部</w:t>
                    </w:r>
                  </w:p>
                  <w:p>
                    <w:pPr>
                      <w:spacing w:line="351" w:lineRule="auto"/>
                      <w:rPr>
                        <w:rFonts w:ascii="Arial"/>
                        <w:sz w:val="21"/>
                      </w:rPr>
                    </w:pPr>
                  </w:p>
                  <w:p>
                    <w:pPr>
                      <w:spacing w:before="41" w:line="216" w:lineRule="auto"/>
                      <w:ind w:left="618"/>
                      <w:rPr>
                        <w:rFonts w:ascii="SimSun" w:eastAsia="SimSun" w:hAnsi="SimSun" w:cs="SimSun"/>
                        <w:sz w:val="12"/>
                        <w:szCs w:val="12"/>
                      </w:rPr>
                    </w:pPr>
                    <w:r>
                      <w:rPr>
                        <w:rFonts w:ascii="SimSun" w:eastAsia="SimSun" w:hAnsi="SimSun" w:cs="SimSun"/>
                        <w:sz w:val="12"/>
                        <w:szCs w:val="12"/>
                      </w:rPr>
                      <w:t>技</w:t>
                    </w:r>
                    <w:r>
                      <w:rPr>
                        <w:rFonts w:ascii="SimSun" w:eastAsia="SimSun" w:hAnsi="SimSun" w:cs="SimSun"/>
                        <w:spacing w:val="-21"/>
                        <w:sz w:val="12"/>
                        <w:szCs w:val="12"/>
                      </w:rPr>
                      <w:t xml:space="preserve"> </w:t>
                    </w:r>
                    <w:r>
                      <w:rPr>
                        <w:rFonts w:ascii="SimSun" w:eastAsia="SimSun" w:hAnsi="SimSun" w:cs="SimSun"/>
                        <w:sz w:val="12"/>
                        <w:szCs w:val="12"/>
                      </w:rPr>
                      <w:t>术</w:t>
                    </w:r>
                    <w:r>
                      <w:rPr>
                        <w:rFonts w:ascii="SimSun" w:eastAsia="SimSun" w:hAnsi="SimSun" w:cs="SimSun"/>
                        <w:spacing w:val="-21"/>
                        <w:sz w:val="12"/>
                        <w:szCs w:val="12"/>
                      </w:rPr>
                      <w:t xml:space="preserve"> </w:t>
                    </w:r>
                    <w:r>
                      <w:rPr>
                        <w:rFonts w:ascii="SimSun" w:eastAsia="SimSun" w:hAnsi="SimSun" w:cs="SimSun"/>
                        <w:sz w:val="12"/>
                        <w:szCs w:val="12"/>
                      </w:rPr>
                      <w:t>研</w:t>
                    </w:r>
                    <w:r>
                      <w:rPr>
                        <w:rFonts w:ascii="SimSun" w:eastAsia="SimSun" w:hAnsi="SimSun" w:cs="SimSun"/>
                        <w:spacing w:val="-21"/>
                        <w:sz w:val="12"/>
                        <w:szCs w:val="12"/>
                      </w:rPr>
                      <w:t xml:space="preserve"> </w:t>
                    </w:r>
                    <w:r>
                      <w:rPr>
                        <w:rFonts w:ascii="SimSun" w:eastAsia="SimSun" w:hAnsi="SimSun" w:cs="SimSun"/>
                        <w:sz w:val="12"/>
                        <w:szCs w:val="12"/>
                      </w:rPr>
                      <w:t>发</w:t>
                    </w:r>
                    <w:r>
                      <w:rPr>
                        <w:rFonts w:ascii="SimSun" w:eastAsia="SimSun" w:hAnsi="SimSun" w:cs="SimSun"/>
                        <w:spacing w:val="-20"/>
                        <w:sz w:val="12"/>
                        <w:szCs w:val="12"/>
                      </w:rPr>
                      <w:t xml:space="preserve"> </w:t>
                    </w:r>
                    <w:r>
                      <w:rPr>
                        <w:rFonts w:ascii="SimSun" w:eastAsia="SimSun" w:hAnsi="SimSun" w:cs="SimSun"/>
                        <w:sz w:val="12"/>
                        <w:szCs w:val="12"/>
                      </w:rPr>
                      <w:t>部</w:t>
                    </w:r>
                  </w:p>
                  <w:p>
                    <w:pPr>
                      <w:spacing w:line="271" w:lineRule="auto"/>
                      <w:rPr>
                        <w:rFonts w:ascii="Arial"/>
                        <w:sz w:val="21"/>
                      </w:rPr>
                    </w:pPr>
                  </w:p>
                  <w:p>
                    <w:pPr>
                      <w:spacing w:line="272" w:lineRule="auto"/>
                      <w:rPr>
                        <w:rFonts w:ascii="Arial"/>
                        <w:sz w:val="21"/>
                      </w:rPr>
                    </w:pPr>
                  </w:p>
                  <w:p>
                    <w:pPr>
                      <w:spacing w:before="40" w:line="216" w:lineRule="auto"/>
                      <w:ind w:left="788"/>
                      <w:rPr>
                        <w:rFonts w:ascii="SimSun" w:eastAsia="SimSun" w:hAnsi="SimSun" w:cs="SimSun"/>
                        <w:sz w:val="12"/>
                        <w:szCs w:val="12"/>
                      </w:rPr>
                    </w:pPr>
                    <w:r>
                      <w:rPr>
                        <w:rFonts w:ascii="SimSun" w:eastAsia="SimSun" w:hAnsi="SimSun" w:cs="SimSun"/>
                        <w:sz w:val="12"/>
                        <w:szCs w:val="12"/>
                      </w:rPr>
                      <w:t>物</w:t>
                    </w:r>
                    <w:r>
                      <w:rPr>
                        <w:rFonts w:ascii="SimSun" w:eastAsia="SimSun" w:hAnsi="SimSun" w:cs="SimSun"/>
                        <w:spacing w:val="-16"/>
                        <w:sz w:val="12"/>
                        <w:szCs w:val="12"/>
                      </w:rPr>
                      <w:t xml:space="preserve"> </w:t>
                    </w:r>
                    <w:r>
                      <w:rPr>
                        <w:rFonts w:ascii="SimSun" w:eastAsia="SimSun" w:hAnsi="SimSun" w:cs="SimSun"/>
                        <w:sz w:val="12"/>
                        <w:szCs w:val="12"/>
                      </w:rPr>
                      <w:t>流</w:t>
                    </w:r>
                    <w:r>
                      <w:rPr>
                        <w:rFonts w:ascii="SimSun" w:eastAsia="SimSun" w:hAnsi="SimSun" w:cs="SimSun"/>
                        <w:spacing w:val="-16"/>
                        <w:sz w:val="12"/>
                        <w:szCs w:val="12"/>
                      </w:rPr>
                      <w:t xml:space="preserve"> </w:t>
                    </w:r>
                    <w:r>
                      <w:rPr>
                        <w:rFonts w:ascii="SimSun" w:eastAsia="SimSun" w:hAnsi="SimSun" w:cs="SimSun"/>
                        <w:sz w:val="12"/>
                        <w:szCs w:val="12"/>
                      </w:rPr>
                      <w:t>部</w:t>
                    </w:r>
                  </w:p>
                  <w:p>
                    <w:pPr>
                      <w:spacing w:line="281" w:lineRule="auto"/>
                      <w:rPr>
                        <w:rFonts w:ascii="Arial"/>
                        <w:sz w:val="21"/>
                      </w:rPr>
                    </w:pPr>
                  </w:p>
                  <w:p>
                    <w:pPr>
                      <w:spacing w:before="40" w:line="238" w:lineRule="auto"/>
                      <w:ind w:left="789"/>
                      <w:rPr>
                        <w:rFonts w:ascii="SimSun" w:eastAsia="SimSun" w:hAnsi="SimSun" w:cs="SimSun"/>
                        <w:sz w:val="12"/>
                        <w:szCs w:val="12"/>
                      </w:rPr>
                    </w:pPr>
                    <w:r>
                      <w:rPr>
                        <w:rFonts w:ascii="SimSun" w:eastAsia="SimSun" w:hAnsi="SimSun" w:cs="SimSun"/>
                        <w:spacing w:val="-1"/>
                        <w:position w:val="-2"/>
                        <w:sz w:val="12"/>
                        <w:szCs w:val="12"/>
                      </w:rPr>
                      <w:t>采</w:t>
                    </w:r>
                    <w:r>
                      <w:rPr>
                        <w:rFonts w:ascii="SimSun" w:eastAsia="SimSun" w:hAnsi="SimSun" w:cs="SimSun"/>
                        <w:spacing w:val="-12"/>
                        <w:position w:val="-2"/>
                        <w:sz w:val="12"/>
                        <w:szCs w:val="12"/>
                      </w:rPr>
                      <w:t xml:space="preserve"> </w:t>
                    </w:r>
                    <w:r>
                      <w:rPr>
                        <w:rFonts w:ascii="SimSun" w:eastAsia="SimSun" w:hAnsi="SimSun" w:cs="SimSun"/>
                        <w:spacing w:val="-1"/>
                        <w:position w:val="-2"/>
                        <w:sz w:val="12"/>
                        <w:szCs w:val="12"/>
                      </w:rPr>
                      <w:t>购</w:t>
                    </w:r>
                    <w:r>
                      <w:rPr>
                        <w:rFonts w:ascii="SimSun" w:eastAsia="SimSun" w:hAnsi="SimSun" w:cs="SimSun"/>
                        <w:spacing w:val="-16"/>
                        <w:position w:val="-2"/>
                        <w:sz w:val="12"/>
                        <w:szCs w:val="12"/>
                      </w:rPr>
                      <w:t xml:space="preserve"> </w:t>
                    </w:r>
                    <w:r>
                      <w:rPr>
                        <w:rFonts w:ascii="SimSun" w:eastAsia="SimSun" w:hAnsi="SimSun" w:cs="SimSun"/>
                        <w:spacing w:val="-1"/>
                        <w:position w:val="-2"/>
                        <w:sz w:val="12"/>
                        <w:szCs w:val="12"/>
                      </w:rPr>
                      <w:t>部</w:t>
                    </w:r>
                    <w:r>
                      <w:rPr>
                        <w:rFonts w:ascii="SimSun" w:eastAsia="SimSun" w:hAnsi="SimSun" w:cs="SimSun"/>
                        <w:spacing w:val="3"/>
                        <w:position w:val="-2"/>
                        <w:sz w:val="12"/>
                        <w:szCs w:val="12"/>
                      </w:rPr>
                      <w:t xml:space="preserve">              </w:t>
                    </w:r>
                    <w:r>
                      <w:rPr>
                        <w:rFonts w:ascii="SimSun" w:eastAsia="SimSun" w:hAnsi="SimSun" w:cs="SimSun"/>
                        <w:spacing w:val="-1"/>
                        <w:position w:val="3"/>
                        <w:sz w:val="12"/>
                        <w:szCs w:val="12"/>
                      </w:rPr>
                      <w:t>基 建</w:t>
                    </w:r>
                  </w:p>
                  <w:p>
                    <w:pPr>
                      <w:spacing w:before="231" w:line="217" w:lineRule="auto"/>
                      <w:ind w:left="1978"/>
                      <w:rPr>
                        <w:rFonts w:ascii="SimSun" w:eastAsia="SimSun" w:hAnsi="SimSun" w:cs="SimSun"/>
                        <w:sz w:val="12"/>
                        <w:szCs w:val="12"/>
                      </w:rPr>
                    </w:pPr>
                    <w:r>
                      <w:rPr>
                        <w:rFonts w:ascii="SimSun" w:eastAsia="SimSun" w:hAnsi="SimSun" w:cs="SimSun"/>
                        <w:sz w:val="12"/>
                        <w:szCs w:val="12"/>
                      </w:rPr>
                      <w:t>安</w:t>
                    </w:r>
                    <w:r>
                      <w:rPr>
                        <w:rFonts w:ascii="SimSun" w:eastAsia="SimSun" w:hAnsi="SimSun" w:cs="SimSun"/>
                        <w:spacing w:val="-21"/>
                        <w:sz w:val="12"/>
                        <w:szCs w:val="12"/>
                      </w:rPr>
                      <w:t xml:space="preserve"> </w:t>
                    </w:r>
                    <w:r>
                      <w:rPr>
                        <w:rFonts w:ascii="SimSun" w:eastAsia="SimSun" w:hAnsi="SimSun" w:cs="SimSun"/>
                        <w:sz w:val="12"/>
                        <w:szCs w:val="12"/>
                      </w:rPr>
                      <w:t>全</w:t>
                    </w:r>
                    <w:r>
                      <w:rPr>
                        <w:rFonts w:ascii="SimSun" w:eastAsia="SimSun" w:hAnsi="SimSun" w:cs="SimSun"/>
                        <w:spacing w:val="-21"/>
                        <w:sz w:val="12"/>
                        <w:szCs w:val="12"/>
                      </w:rPr>
                      <w:t xml:space="preserve"> </w:t>
                    </w:r>
                    <w:r>
                      <w:rPr>
                        <w:rFonts w:ascii="SimSun" w:eastAsia="SimSun" w:hAnsi="SimSun" w:cs="SimSun"/>
                        <w:sz w:val="12"/>
                        <w:szCs w:val="12"/>
                      </w:rPr>
                      <w:t>环</w:t>
                    </w:r>
                    <w:r>
                      <w:rPr>
                        <w:rFonts w:ascii="SimSun" w:eastAsia="SimSun" w:hAnsi="SimSun" w:cs="SimSun"/>
                        <w:spacing w:val="-21"/>
                        <w:sz w:val="12"/>
                        <w:szCs w:val="12"/>
                      </w:rPr>
                      <w:t xml:space="preserve"> </w:t>
                    </w:r>
                    <w:r>
                      <w:rPr>
                        <w:rFonts w:ascii="SimSun" w:eastAsia="SimSun" w:hAnsi="SimSun" w:cs="SimSun"/>
                        <w:sz w:val="12"/>
                        <w:szCs w:val="12"/>
                      </w:rPr>
                      <w:t>保</w:t>
                    </w:r>
                  </w:p>
                  <w:p>
                    <w:pPr>
                      <w:spacing w:before="65" w:line="216" w:lineRule="auto"/>
                      <w:ind w:left="638"/>
                      <w:rPr>
                        <w:rFonts w:ascii="SimSun" w:eastAsia="SimSun" w:hAnsi="SimSun" w:cs="SimSun"/>
                        <w:sz w:val="12"/>
                        <w:szCs w:val="12"/>
                      </w:rPr>
                    </w:pPr>
                    <w:r>
                      <w:rPr>
                        <w:rFonts w:ascii="SimSun" w:eastAsia="SimSun" w:hAnsi="SimSun" w:cs="SimSun"/>
                        <w:spacing w:val="28"/>
                        <w:sz w:val="12"/>
                        <w:szCs w:val="12"/>
                      </w:rPr>
                      <w:t>综合办公室</w:t>
                    </w:r>
                  </w:p>
                  <w:p>
                    <w:pPr>
                      <w:spacing w:before="70" w:line="217" w:lineRule="auto"/>
                      <w:ind w:left="2127"/>
                      <w:rPr>
                        <w:rFonts w:ascii="SimSun" w:eastAsia="SimSun" w:hAnsi="SimSun" w:cs="SimSun"/>
                        <w:sz w:val="12"/>
                        <w:szCs w:val="12"/>
                      </w:rPr>
                    </w:pPr>
                    <w:r>
                      <w:rPr>
                        <w:rFonts w:ascii="SimSun" w:eastAsia="SimSun" w:hAnsi="SimSun" w:cs="SimSun"/>
                        <w:sz w:val="12"/>
                        <w:szCs w:val="12"/>
                      </w:rPr>
                      <w:t>行 政</w:t>
                    </w:r>
                  </w:p>
                  <w:p>
                    <w:pPr>
                      <w:spacing w:before="277" w:line="205" w:lineRule="auto"/>
                      <w:ind w:left="2131"/>
                      <w:rPr>
                        <w:rFonts w:ascii="FZYaoTi" w:eastAsia="FZYaoTi" w:hAnsi="FZYaoTi" w:cs="FZYaoTi"/>
                        <w:sz w:val="12"/>
                        <w:szCs w:val="12"/>
                      </w:rPr>
                    </w:pPr>
                    <w:r>
                      <w:rPr>
                        <w:rFonts w:ascii="FZYaoTi" w:eastAsia="FZYaoTi" w:hAnsi="FZYaoTi" w:cs="FZYaoTi"/>
                        <w:sz w:val="12"/>
                        <w:szCs w:val="12"/>
                      </w:rPr>
                      <w:t>人</w:t>
                    </w:r>
                    <w:r>
                      <w:rPr>
                        <w:rFonts w:ascii="FZYaoTi" w:eastAsia="FZYaoTi" w:hAnsi="FZYaoTi" w:cs="FZYaoTi"/>
                        <w:spacing w:val="22"/>
                        <w:sz w:val="12"/>
                        <w:szCs w:val="12"/>
                      </w:rPr>
                      <w:t xml:space="preserve"> </w:t>
                    </w:r>
                    <w:r>
                      <w:rPr>
                        <w:rFonts w:ascii="FZYaoTi" w:eastAsia="FZYaoTi" w:hAnsi="FZYaoTi" w:cs="FZYaoTi"/>
                        <w:sz w:val="12"/>
                        <w:szCs w:val="12"/>
                      </w:rPr>
                      <w:t>事</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40" w:line="216" w:lineRule="auto"/>
                      <w:ind w:left="2129"/>
                      <w:rPr>
                        <w:rFonts w:ascii="SimSun" w:eastAsia="SimSun" w:hAnsi="SimSun" w:cs="SimSun"/>
                        <w:sz w:val="12"/>
                        <w:szCs w:val="12"/>
                      </w:rPr>
                    </w:pPr>
                    <w:r>
                      <w:rPr>
                        <w:rFonts w:ascii="SimSun" w:eastAsia="SimSun" w:hAnsi="SimSun" w:cs="SimSun"/>
                        <w:sz w:val="12"/>
                        <w:szCs w:val="12"/>
                      </w:rPr>
                      <w:t>仓</w:t>
                    </w:r>
                    <w:r>
                      <w:rPr>
                        <w:rFonts w:ascii="SimSun" w:eastAsia="SimSun" w:hAnsi="SimSun" w:cs="SimSun"/>
                        <w:spacing w:val="-3"/>
                        <w:sz w:val="12"/>
                        <w:szCs w:val="12"/>
                      </w:rPr>
                      <w:t xml:space="preserve"> </w:t>
                    </w:r>
                    <w:r>
                      <w:rPr>
                        <w:rFonts w:ascii="SimSun" w:eastAsia="SimSun" w:hAnsi="SimSun" w:cs="SimSun"/>
                        <w:sz w:val="12"/>
                        <w:szCs w:val="12"/>
                      </w:rPr>
                      <w:t>库</w:t>
                    </w:r>
                  </w:p>
                  <w:p>
                    <w:pPr>
                      <w:spacing w:line="247" w:lineRule="auto"/>
                      <w:rPr>
                        <w:rFonts w:ascii="Arial"/>
                        <w:sz w:val="21"/>
                      </w:rPr>
                    </w:pPr>
                  </w:p>
                  <w:p>
                    <w:pPr>
                      <w:spacing w:before="41" w:line="167" w:lineRule="auto"/>
                      <w:ind w:left="2038"/>
                      <w:rPr>
                        <w:rFonts w:ascii="SimSun" w:eastAsia="SimSun" w:hAnsi="SimSun" w:cs="SimSun"/>
                        <w:sz w:val="12"/>
                        <w:szCs w:val="12"/>
                      </w:rPr>
                    </w:pPr>
                    <w:r>
                      <w:rPr>
                        <w:rFonts w:ascii="SimSun" w:eastAsia="SimSun" w:hAnsi="SimSun" w:cs="SimSun"/>
                        <w:sz w:val="12"/>
                        <w:szCs w:val="12"/>
                      </w:rPr>
                      <w:t>质</w:t>
                    </w:r>
                    <w:r>
                      <w:rPr>
                        <w:rFonts w:ascii="SimSun" w:eastAsia="SimSun" w:hAnsi="SimSun" w:cs="SimSun"/>
                        <w:spacing w:val="-11"/>
                        <w:sz w:val="12"/>
                        <w:szCs w:val="12"/>
                      </w:rPr>
                      <w:t xml:space="preserve"> </w:t>
                    </w:r>
                    <w:r>
                      <w:rPr>
                        <w:rFonts w:ascii="SimSun" w:eastAsia="SimSun" w:hAnsi="SimSun" w:cs="SimSun"/>
                        <w:sz w:val="12"/>
                        <w:szCs w:val="12"/>
                      </w:rPr>
                      <w:t>检</w:t>
                    </w:r>
                    <w:r>
                      <w:rPr>
                        <w:rFonts w:ascii="SimSun" w:eastAsia="SimSun" w:hAnsi="SimSun" w:cs="SimSun"/>
                        <w:spacing w:val="-11"/>
                        <w:sz w:val="12"/>
                        <w:szCs w:val="12"/>
                      </w:rPr>
                      <w:t xml:space="preserve"> </w:t>
                    </w:r>
                    <w:r>
                      <w:rPr>
                        <w:rFonts w:ascii="SimSun" w:eastAsia="SimSun" w:hAnsi="SimSun" w:cs="SimSun"/>
                        <w:sz w:val="12"/>
                        <w:szCs w:val="12"/>
                      </w:rPr>
                      <w:t>部</w:t>
                    </w:r>
                  </w:p>
                  <w:p>
                    <w:pPr>
                      <w:spacing w:before="1" w:line="158" w:lineRule="auto"/>
                      <w:ind w:left="20"/>
                      <w:rPr>
                        <w:rFonts w:ascii="SimSun" w:eastAsia="SimSun" w:hAnsi="SimSun" w:cs="SimSun"/>
                        <w:sz w:val="13"/>
                        <w:szCs w:val="13"/>
                      </w:rPr>
                    </w:pPr>
                    <w:r>
                      <w:rPr>
                        <w:rFonts w:ascii="SimSun" w:eastAsia="SimSun" w:hAnsi="SimSun" w:cs="SimSun"/>
                        <w:sz w:val="13"/>
                        <w:szCs w:val="13"/>
                      </w:rPr>
                      <w:t>经</w:t>
                    </w:r>
                  </w:p>
                  <w:p>
                    <w:pPr>
                      <w:spacing w:before="228" w:line="216" w:lineRule="auto"/>
                      <w:ind w:right="20"/>
                      <w:jc w:val="right"/>
                      <w:rPr>
                        <w:rFonts w:ascii="SimSun" w:eastAsia="SimSun" w:hAnsi="SimSun" w:cs="SimSun"/>
                        <w:sz w:val="12"/>
                        <w:szCs w:val="12"/>
                      </w:rPr>
                    </w:pPr>
                    <w:r>
                      <w:rPr>
                        <w:rFonts w:ascii="SimSun" w:eastAsia="SimSun" w:hAnsi="SimSun" w:cs="SimSun"/>
                        <w:sz w:val="12"/>
                        <w:szCs w:val="12"/>
                      </w:rPr>
                      <w:t>冷</w:t>
                    </w:r>
                    <w:r>
                      <w:rPr>
                        <w:rFonts w:ascii="SimSun" w:eastAsia="SimSun" w:hAnsi="SimSun" w:cs="SimSun"/>
                        <w:spacing w:val="-17"/>
                        <w:sz w:val="12"/>
                        <w:szCs w:val="12"/>
                      </w:rPr>
                      <w:t xml:space="preserve"> </w:t>
                    </w:r>
                    <w:r>
                      <w:rPr>
                        <w:rFonts w:ascii="SimSun" w:eastAsia="SimSun" w:hAnsi="SimSun" w:cs="SimSun"/>
                        <w:sz w:val="12"/>
                        <w:szCs w:val="12"/>
                      </w:rPr>
                      <w:t>端</w:t>
                    </w:r>
                    <w:r>
                      <w:rPr>
                        <w:rFonts w:ascii="SimSun" w:eastAsia="SimSun" w:hAnsi="SimSun" w:cs="SimSun"/>
                        <w:spacing w:val="-17"/>
                        <w:sz w:val="12"/>
                        <w:szCs w:val="12"/>
                      </w:rPr>
                      <w:t xml:space="preserve"> </w:t>
                    </w:r>
                    <w:r>
                      <w:rPr>
                        <w:rFonts w:ascii="SimSun" w:eastAsia="SimSun" w:hAnsi="SimSun" w:cs="SimSun"/>
                        <w:sz w:val="12"/>
                        <w:szCs w:val="12"/>
                      </w:rPr>
                      <w:t>车</w:t>
                    </w:r>
                    <w:r>
                      <w:rPr>
                        <w:rFonts w:ascii="SimSun" w:eastAsia="SimSun" w:hAnsi="SimSun" w:cs="SimSun"/>
                        <w:spacing w:val="-17"/>
                        <w:sz w:val="12"/>
                        <w:szCs w:val="12"/>
                      </w:rPr>
                      <w:t xml:space="preserve"> </w:t>
                    </w:r>
                    <w:r>
                      <w:rPr>
                        <w:rFonts w:ascii="SimSun" w:eastAsia="SimSun" w:hAnsi="SimSun" w:cs="SimSun"/>
                        <w:sz w:val="12"/>
                        <w:szCs w:val="12"/>
                      </w:rPr>
                      <w:t>间</w:t>
                    </w:r>
                  </w:p>
                  <w:p>
                    <w:pPr>
                      <w:spacing w:before="276" w:line="216" w:lineRule="auto"/>
                      <w:ind w:left="1977"/>
                      <w:rPr>
                        <w:rFonts w:ascii="SimSun" w:eastAsia="SimSun" w:hAnsi="SimSun" w:cs="SimSun"/>
                        <w:sz w:val="12"/>
                        <w:szCs w:val="12"/>
                      </w:rPr>
                    </w:pPr>
                    <w:r>
                      <w:rPr>
                        <w:rFonts w:ascii="SimSun" w:eastAsia="SimSun" w:hAnsi="SimSun" w:cs="SimSun"/>
                        <w:sz w:val="12"/>
                        <w:szCs w:val="12"/>
                      </w:rPr>
                      <w:t>成</w:t>
                    </w:r>
                    <w:r>
                      <w:rPr>
                        <w:rFonts w:ascii="SimSun" w:eastAsia="SimSun" w:hAnsi="SimSun" w:cs="SimSun"/>
                        <w:spacing w:val="-20"/>
                        <w:sz w:val="12"/>
                        <w:szCs w:val="12"/>
                      </w:rPr>
                      <w:t xml:space="preserve"> </w:t>
                    </w:r>
                    <w:r>
                      <w:rPr>
                        <w:rFonts w:ascii="SimSun" w:eastAsia="SimSun" w:hAnsi="SimSun" w:cs="SimSun"/>
                        <w:sz w:val="12"/>
                        <w:szCs w:val="12"/>
                      </w:rPr>
                      <w:t>型</w:t>
                    </w:r>
                    <w:r>
                      <w:rPr>
                        <w:rFonts w:ascii="SimSun" w:eastAsia="SimSun" w:hAnsi="SimSun" w:cs="SimSun"/>
                        <w:spacing w:val="-20"/>
                        <w:sz w:val="12"/>
                        <w:szCs w:val="12"/>
                      </w:rPr>
                      <w:t xml:space="preserve"> </w:t>
                    </w:r>
                    <w:r>
                      <w:rPr>
                        <w:rFonts w:ascii="SimSun" w:eastAsia="SimSun" w:hAnsi="SimSun" w:cs="SimSun"/>
                        <w:sz w:val="12"/>
                        <w:szCs w:val="12"/>
                      </w:rPr>
                      <w:t>车</w:t>
                    </w:r>
                    <w:r>
                      <w:rPr>
                        <w:rFonts w:ascii="SimSun" w:eastAsia="SimSun" w:hAnsi="SimSun" w:cs="SimSun"/>
                        <w:spacing w:val="-20"/>
                        <w:sz w:val="12"/>
                        <w:szCs w:val="12"/>
                      </w:rPr>
                      <w:t xml:space="preserve"> </w:t>
                    </w:r>
                    <w:r>
                      <w:rPr>
                        <w:rFonts w:ascii="SimSun" w:eastAsia="SimSun" w:hAnsi="SimSun" w:cs="SimSun"/>
                        <w:sz w:val="12"/>
                        <w:szCs w:val="12"/>
                      </w:rPr>
                      <w:t>间</w:t>
                    </w:r>
                  </w:p>
                  <w:p>
                    <w:pPr>
                      <w:spacing w:before="255" w:line="216" w:lineRule="auto"/>
                      <w:ind w:left="1978"/>
                      <w:rPr>
                        <w:rFonts w:ascii="SimSun" w:eastAsia="SimSun" w:hAnsi="SimSun" w:cs="SimSun"/>
                        <w:sz w:val="12"/>
                        <w:szCs w:val="12"/>
                      </w:rPr>
                    </w:pPr>
                    <w:r>
                      <w:rPr>
                        <w:rFonts w:ascii="SimSun" w:eastAsia="SimSun" w:hAnsi="SimSun" w:cs="SimSun"/>
                        <w:sz w:val="12"/>
                        <w:szCs w:val="12"/>
                      </w:rPr>
                      <w:t>熔</w:t>
                    </w:r>
                    <w:r>
                      <w:rPr>
                        <w:rFonts w:ascii="SimSun" w:eastAsia="SimSun" w:hAnsi="SimSun" w:cs="SimSun"/>
                        <w:spacing w:val="-20"/>
                        <w:sz w:val="12"/>
                        <w:szCs w:val="12"/>
                      </w:rPr>
                      <w:t xml:space="preserve"> </w:t>
                    </w:r>
                    <w:r>
                      <w:rPr>
                        <w:rFonts w:ascii="SimSun" w:eastAsia="SimSun" w:hAnsi="SimSun" w:cs="SimSun"/>
                        <w:sz w:val="12"/>
                        <w:szCs w:val="12"/>
                      </w:rPr>
                      <w:t>化</w:t>
                    </w:r>
                    <w:r>
                      <w:rPr>
                        <w:rFonts w:ascii="SimSun" w:eastAsia="SimSun" w:hAnsi="SimSun" w:cs="SimSun"/>
                        <w:spacing w:val="-20"/>
                        <w:sz w:val="12"/>
                        <w:szCs w:val="12"/>
                      </w:rPr>
                      <w:t xml:space="preserve"> </w:t>
                    </w:r>
                    <w:r>
                      <w:rPr>
                        <w:rFonts w:ascii="SimSun" w:eastAsia="SimSun" w:hAnsi="SimSun" w:cs="SimSun"/>
                        <w:sz w:val="12"/>
                        <w:szCs w:val="12"/>
                      </w:rPr>
                      <w:t>车</w:t>
                    </w:r>
                    <w:r>
                      <w:rPr>
                        <w:rFonts w:ascii="SimSun" w:eastAsia="SimSun" w:hAnsi="SimSun" w:cs="SimSun"/>
                        <w:spacing w:val="-20"/>
                        <w:sz w:val="12"/>
                        <w:szCs w:val="12"/>
                      </w:rPr>
                      <w:t xml:space="preserve"> </w:t>
                    </w:r>
                    <w:r>
                      <w:rPr>
                        <w:rFonts w:ascii="SimSun" w:eastAsia="SimSun" w:hAnsi="SimSun" w:cs="SimSun"/>
                        <w:sz w:val="12"/>
                        <w:szCs w:val="12"/>
                      </w:rPr>
                      <w:t>间</w:t>
                    </w:r>
                  </w:p>
                  <w:p>
                    <w:pPr>
                      <w:spacing w:line="247" w:lineRule="auto"/>
                      <w:rPr>
                        <w:rFonts w:ascii="Arial"/>
                        <w:sz w:val="21"/>
                      </w:rPr>
                    </w:pPr>
                  </w:p>
                  <w:p>
                    <w:pPr>
                      <w:spacing w:before="41" w:line="216" w:lineRule="auto"/>
                      <w:ind w:left="1978"/>
                      <w:rPr>
                        <w:rFonts w:ascii="SimSun" w:eastAsia="SimSun" w:hAnsi="SimSun" w:cs="SimSun"/>
                        <w:sz w:val="12"/>
                        <w:szCs w:val="12"/>
                      </w:rPr>
                    </w:pPr>
                    <w:r>
                      <w:rPr>
                        <w:rFonts w:ascii="SimSun" w:eastAsia="SimSun" w:hAnsi="SimSun" w:cs="SimSun"/>
                        <w:color w:val="C96E2A"/>
                        <w:sz w:val="12"/>
                        <w:szCs w:val="12"/>
                      </w:rPr>
                      <w:t>原</w:t>
                    </w:r>
                    <w:r>
                      <w:rPr>
                        <w:rFonts w:ascii="SimSun" w:eastAsia="SimSun" w:hAnsi="SimSun" w:cs="SimSun"/>
                        <w:color w:val="C96E2A"/>
                        <w:spacing w:val="-20"/>
                        <w:sz w:val="12"/>
                        <w:szCs w:val="12"/>
                      </w:rPr>
                      <w:t xml:space="preserve"> </w:t>
                    </w:r>
                    <w:r>
                      <w:rPr>
                        <w:rFonts w:ascii="SimSun" w:eastAsia="SimSun" w:hAnsi="SimSun" w:cs="SimSun"/>
                        <w:color w:val="C96E2A"/>
                        <w:sz w:val="12"/>
                        <w:szCs w:val="12"/>
                      </w:rPr>
                      <w:t>料</w:t>
                    </w:r>
                    <w:r>
                      <w:rPr>
                        <w:rFonts w:ascii="SimSun" w:eastAsia="SimSun" w:hAnsi="SimSun" w:cs="SimSun"/>
                        <w:color w:val="C96E2A"/>
                        <w:spacing w:val="-20"/>
                        <w:sz w:val="12"/>
                        <w:szCs w:val="12"/>
                      </w:rPr>
                      <w:t xml:space="preserve"> </w:t>
                    </w:r>
                    <w:r>
                      <w:rPr>
                        <w:rFonts w:ascii="SimSun" w:eastAsia="SimSun" w:hAnsi="SimSun" w:cs="SimSun"/>
                        <w:color w:val="C96E2A"/>
                        <w:sz w:val="12"/>
                        <w:szCs w:val="12"/>
                      </w:rPr>
                      <w:t>车</w:t>
                    </w:r>
                    <w:r>
                      <w:rPr>
                        <w:rFonts w:ascii="SimSun" w:eastAsia="SimSun" w:hAnsi="SimSun" w:cs="SimSun"/>
                        <w:color w:val="C96E2A"/>
                        <w:spacing w:val="-20"/>
                        <w:sz w:val="12"/>
                        <w:szCs w:val="12"/>
                      </w:rPr>
                      <w:t xml:space="preserve"> </w:t>
                    </w:r>
                    <w:r>
                      <w:rPr>
                        <w:rFonts w:ascii="SimSun" w:eastAsia="SimSun" w:hAnsi="SimSun" w:cs="SimSun"/>
                        <w:color w:val="C96E2A"/>
                        <w:sz w:val="12"/>
                        <w:szCs w:val="12"/>
                      </w:rPr>
                      <w:t>间</w:t>
                    </w:r>
                  </w:p>
                  <w:p>
                    <w:pPr>
                      <w:spacing w:before="281" w:line="217" w:lineRule="auto"/>
                      <w:ind w:left="2068"/>
                      <w:rPr>
                        <w:rFonts w:ascii="SimSun" w:eastAsia="SimSun" w:hAnsi="SimSun" w:cs="SimSun"/>
                        <w:sz w:val="12"/>
                        <w:szCs w:val="12"/>
                      </w:rPr>
                    </w:pPr>
                    <w:r>
                      <w:rPr>
                        <w:rFonts w:ascii="SimSun" w:eastAsia="SimSun" w:hAnsi="SimSun" w:cs="SimSun"/>
                        <w:sz w:val="12"/>
                        <w:szCs w:val="12"/>
                      </w:rPr>
                      <w:t>化</w:t>
                    </w:r>
                    <w:r>
                      <w:rPr>
                        <w:rFonts w:ascii="SimSun" w:eastAsia="SimSun" w:hAnsi="SimSun" w:cs="SimSun"/>
                        <w:spacing w:val="-13"/>
                        <w:sz w:val="12"/>
                        <w:szCs w:val="12"/>
                      </w:rPr>
                      <w:t xml:space="preserve"> </w:t>
                    </w:r>
                    <w:r>
                      <w:rPr>
                        <w:rFonts w:ascii="SimSun" w:eastAsia="SimSun" w:hAnsi="SimSun" w:cs="SimSun"/>
                        <w:sz w:val="12"/>
                        <w:szCs w:val="12"/>
                      </w:rPr>
                      <w:t>验</w:t>
                    </w:r>
                    <w:r>
                      <w:rPr>
                        <w:rFonts w:ascii="SimSun" w:eastAsia="SimSun" w:hAnsi="SimSun" w:cs="SimSun"/>
                        <w:spacing w:val="-13"/>
                        <w:sz w:val="12"/>
                        <w:szCs w:val="12"/>
                      </w:rPr>
                      <w:t xml:space="preserve"> </w:t>
                    </w:r>
                    <w:r>
                      <w:rPr>
                        <w:rFonts w:ascii="SimSun" w:eastAsia="SimSun" w:hAnsi="SimSun" w:cs="SimSun"/>
                        <w:sz w:val="12"/>
                        <w:szCs w:val="12"/>
                      </w:rPr>
                      <w:t>室</w:t>
                    </w:r>
                  </w:p>
                </w:txbxContent>
              </v:textbox>
            </v:shape>
            <v:shape id="_x0000_s1031" type="#_x0000_t202" style="width:355;height:1258;left:1920;position:absolute;top:1495" filled="f" stroked="f">
              <o:lock v:ext="edit" aspectratio="f"/>
              <v:textbox style="layout-flow:vertical-ideographic" inset="0,0,0,0">
                <w:txbxContent>
                  <w:p>
                    <w:pPr>
                      <w:spacing w:before="19" w:line="208" w:lineRule="auto"/>
                      <w:ind w:left="20" w:right="20"/>
                      <w:rPr>
                        <w:rFonts w:ascii="SimSun" w:eastAsia="SimSun" w:hAnsi="SimSun" w:cs="SimSun"/>
                        <w:sz w:val="13"/>
                        <w:szCs w:val="13"/>
                      </w:rPr>
                    </w:pPr>
                    <w:r>
                      <w:rPr>
                        <w:rFonts w:ascii="SimSun" w:eastAsia="SimSun" w:hAnsi="SimSun" w:cs="SimSun"/>
                        <w:spacing w:val="-1"/>
                        <w:position w:val="-4"/>
                        <w:sz w:val="13"/>
                        <w:szCs w:val="13"/>
                      </w:rPr>
                      <w:t>总</w:t>
                    </w:r>
                    <w:r>
                      <w:rPr>
                        <w:rFonts w:ascii="SimSun" w:eastAsia="SimSun" w:hAnsi="SimSun" w:cs="SimSun"/>
                        <w:spacing w:val="6"/>
                        <w:position w:val="-4"/>
                        <w:sz w:val="13"/>
                        <w:szCs w:val="13"/>
                      </w:rPr>
                      <w:t xml:space="preserve">         </w:t>
                    </w:r>
                    <w:r>
                      <w:rPr>
                        <w:rFonts w:ascii="SimSun" w:eastAsia="SimSun" w:hAnsi="SimSun" w:cs="SimSun"/>
                        <w:spacing w:val="-1"/>
                        <w:position w:val="1"/>
                        <w:sz w:val="12"/>
                        <w:szCs w:val="12"/>
                      </w:rPr>
                      <w:t>计</w:t>
                    </w:r>
                    <w:r>
                      <w:rPr>
                        <w:rFonts w:ascii="SimSun" w:eastAsia="SimSun" w:hAnsi="SimSun" w:cs="SimSun"/>
                        <w:spacing w:val="-15"/>
                        <w:position w:val="1"/>
                        <w:sz w:val="12"/>
                        <w:szCs w:val="12"/>
                      </w:rPr>
                      <w:t xml:space="preserve"> </w:t>
                    </w:r>
                    <w:r>
                      <w:rPr>
                        <w:rFonts w:ascii="SimSun" w:eastAsia="SimSun" w:hAnsi="SimSun" w:cs="SimSun"/>
                        <w:spacing w:val="-1"/>
                        <w:position w:val="1"/>
                        <w:sz w:val="12"/>
                        <w:szCs w:val="12"/>
                      </w:rPr>
                      <w:t>划</w:t>
                    </w:r>
                    <w:r>
                      <w:rPr>
                        <w:rFonts w:ascii="SimSun" w:eastAsia="SimSun" w:hAnsi="SimSun" w:cs="SimSun"/>
                        <w:spacing w:val="-14"/>
                        <w:position w:val="1"/>
                        <w:sz w:val="12"/>
                        <w:szCs w:val="12"/>
                      </w:rPr>
                      <w:t xml:space="preserve"> </w:t>
                    </w:r>
                    <w:r>
                      <w:rPr>
                        <w:rFonts w:ascii="SimSun" w:eastAsia="SimSun" w:hAnsi="SimSun" w:cs="SimSun"/>
                        <w:spacing w:val="-1"/>
                        <w:position w:val="1"/>
                        <w:sz w:val="12"/>
                        <w:szCs w:val="12"/>
                      </w:rPr>
                      <w:t>部</w:t>
                    </w:r>
                    <w:r>
                      <w:rPr>
                        <w:rFonts w:ascii="SimSun" w:eastAsia="SimSun" w:hAnsi="SimSun" w:cs="SimSun"/>
                        <w:position w:val="1"/>
                        <w:sz w:val="12"/>
                        <w:szCs w:val="12"/>
                      </w:rPr>
                      <w:t xml:space="preserve"> </w:t>
                    </w:r>
                    <w:r>
                      <w:rPr>
                        <w:rFonts w:ascii="SimSun" w:eastAsia="SimSun" w:hAnsi="SimSun" w:cs="SimSun"/>
                        <w:sz w:val="13"/>
                        <w:szCs w:val="13"/>
                      </w:rPr>
                      <w:t>副</w:t>
                    </w:r>
                  </w:p>
                </w:txbxContent>
              </v:textbox>
            </v:shape>
            <v:shape id="_x0000_s1032" type="#_x0000_t202" style="width:552;height:170;left:5090;position:absolute;top:1495" filled="f" stroked="f">
              <o:lock v:ext="edit" aspectratio="f"/>
              <v:textbox inset="0,0,0,0">
                <w:txbxContent>
                  <w:p>
                    <w:pPr>
                      <w:spacing w:before="20" w:line="219" w:lineRule="auto"/>
                      <w:ind w:left="20"/>
                      <w:rPr>
                        <w:rFonts w:ascii="SimSun" w:eastAsia="SimSun" w:hAnsi="SimSun" w:cs="SimSun"/>
                        <w:sz w:val="13"/>
                        <w:szCs w:val="13"/>
                      </w:rPr>
                    </w:pPr>
                    <w:r>
                      <w:rPr>
                        <w:rFonts w:ascii="SimSun" w:eastAsia="SimSun" w:hAnsi="SimSun" w:cs="SimSun"/>
                        <w:spacing w:val="-2"/>
                        <w:sz w:val="13"/>
                        <w:szCs w:val="13"/>
                      </w:rPr>
                      <w:t>副总经理</w:t>
                    </w:r>
                  </w:p>
                </w:txbxContent>
              </v:textbox>
            </v:shape>
            <v:shape id="_x0000_s1033" type="#_x0000_t202" style="width:161;height:489;left:1434;position:absolute;top:2264" filled="f" stroked="f">
              <o:lock v:ext="edit" aspectratio="f"/>
              <v:textbox style="layout-flow:vertical-ideographic" inset="0,0,0,0">
                <w:txbxContent>
                  <w:p>
                    <w:pPr>
                      <w:spacing w:before="20" w:line="216" w:lineRule="auto"/>
                      <w:ind w:left="20"/>
                      <w:rPr>
                        <w:rFonts w:ascii="SimSun" w:eastAsia="SimSun" w:hAnsi="SimSun" w:cs="SimSun"/>
                        <w:sz w:val="12"/>
                        <w:szCs w:val="12"/>
                      </w:rPr>
                    </w:pPr>
                    <w:r>
                      <w:rPr>
                        <w:rFonts w:ascii="SimSun" w:eastAsia="SimSun" w:hAnsi="SimSun" w:cs="SimSun"/>
                        <w:sz w:val="12"/>
                        <w:szCs w:val="12"/>
                      </w:rPr>
                      <w:t>生</w:t>
                    </w:r>
                    <w:r>
                      <w:rPr>
                        <w:rFonts w:ascii="SimSun" w:eastAsia="SimSun" w:hAnsi="SimSun" w:cs="SimSun"/>
                        <w:spacing w:val="-16"/>
                        <w:sz w:val="12"/>
                        <w:szCs w:val="12"/>
                      </w:rPr>
                      <w:t xml:space="preserve"> </w:t>
                    </w:r>
                    <w:r>
                      <w:rPr>
                        <w:rFonts w:ascii="SimSun" w:eastAsia="SimSun" w:hAnsi="SimSun" w:cs="SimSun"/>
                        <w:sz w:val="12"/>
                        <w:szCs w:val="12"/>
                      </w:rPr>
                      <w:t>产</w:t>
                    </w:r>
                    <w:r>
                      <w:rPr>
                        <w:rFonts w:ascii="SimSun" w:eastAsia="SimSun" w:hAnsi="SimSun" w:cs="SimSun"/>
                        <w:spacing w:val="-16"/>
                        <w:sz w:val="12"/>
                        <w:szCs w:val="12"/>
                      </w:rPr>
                      <w:t xml:space="preserve"> </w:t>
                    </w:r>
                    <w:r>
                      <w:rPr>
                        <w:rFonts w:ascii="SimSun" w:eastAsia="SimSun" w:hAnsi="SimSun" w:cs="SimSun"/>
                        <w:sz w:val="12"/>
                        <w:szCs w:val="12"/>
                      </w:rPr>
                      <w:t>部</w:t>
                    </w:r>
                  </w:p>
                </w:txbxContent>
              </v:textbox>
            </v:shape>
            <v:shape id="_x0000_s1034" type="#_x0000_t202" style="width:161;height:480;left:2819;position:absolute;top:2251" filled="f" stroked="f">
              <o:lock v:ext="edit" aspectratio="f"/>
              <v:textbox style="layout-flow:vertical-ideographic" inset="0,0,0,0">
                <w:txbxContent>
                  <w:p>
                    <w:pPr>
                      <w:spacing w:before="20" w:line="216" w:lineRule="auto"/>
                      <w:ind w:left="20"/>
                      <w:rPr>
                        <w:rFonts w:ascii="SimSun" w:eastAsia="SimSun" w:hAnsi="SimSun" w:cs="SimSun"/>
                        <w:sz w:val="12"/>
                        <w:szCs w:val="12"/>
                      </w:rPr>
                    </w:pPr>
                    <w:r>
                      <w:rPr>
                        <w:rFonts w:ascii="SimSun" w:eastAsia="SimSun" w:hAnsi="SimSun" w:cs="SimSun"/>
                        <w:sz w:val="12"/>
                        <w:szCs w:val="12"/>
                      </w:rPr>
                      <w:t>设</w:t>
                    </w:r>
                    <w:r>
                      <w:rPr>
                        <w:rFonts w:ascii="SimSun" w:eastAsia="SimSun" w:hAnsi="SimSun" w:cs="SimSun"/>
                        <w:spacing w:val="-20"/>
                        <w:sz w:val="12"/>
                        <w:szCs w:val="12"/>
                      </w:rPr>
                      <w:t xml:space="preserve"> </w:t>
                    </w:r>
                    <w:r>
                      <w:rPr>
                        <w:rFonts w:ascii="SimSun" w:eastAsia="SimSun" w:hAnsi="SimSun" w:cs="SimSun"/>
                        <w:sz w:val="12"/>
                        <w:szCs w:val="12"/>
                      </w:rPr>
                      <w:t>备</w:t>
                    </w:r>
                    <w:r>
                      <w:rPr>
                        <w:rFonts w:ascii="SimSun" w:eastAsia="SimSun" w:hAnsi="SimSun" w:cs="SimSun"/>
                        <w:spacing w:val="-20"/>
                        <w:sz w:val="12"/>
                        <w:szCs w:val="12"/>
                      </w:rPr>
                      <w:t xml:space="preserve"> </w:t>
                    </w:r>
                    <w:r>
                      <w:rPr>
                        <w:rFonts w:ascii="SimSun" w:eastAsia="SimSun" w:hAnsi="SimSun" w:cs="SimSun"/>
                        <w:sz w:val="12"/>
                        <w:szCs w:val="12"/>
                      </w:rPr>
                      <w:t>部</w:t>
                    </w:r>
                  </w:p>
                </w:txbxContent>
              </v:textbox>
            </v:shape>
            <v:shape id="_x0000_s1035" type="#_x0000_t202" style="width:424;height:170;left:3620;position:absolute;top:205" filled="f" stroked="f">
              <o:lock v:ext="edit" aspectratio="f"/>
              <v:textbox inset="0,0,0,0">
                <w:txbxContent>
                  <w:p>
                    <w:pPr>
                      <w:spacing w:before="20" w:line="220" w:lineRule="auto"/>
                      <w:ind w:left="20"/>
                      <w:rPr>
                        <w:rFonts w:ascii="SimSun" w:eastAsia="SimSun" w:hAnsi="SimSun" w:cs="SimSun"/>
                        <w:sz w:val="13"/>
                        <w:szCs w:val="13"/>
                      </w:rPr>
                    </w:pPr>
                    <w:r>
                      <w:rPr>
                        <w:rFonts w:ascii="SimSun" w:eastAsia="SimSun" w:hAnsi="SimSun" w:cs="SimSun"/>
                        <w:spacing w:val="-2"/>
                        <w:sz w:val="13"/>
                        <w:szCs w:val="13"/>
                      </w:rPr>
                      <w:t>董事长</w:t>
                    </w:r>
                  </w:p>
                </w:txbxContent>
              </v:textbox>
            </v:shape>
            <v:shape id="_x0000_s1036" type="#_x0000_t202" style="width:422;height:170;left:3620;position:absolute;top:841" filled="f" stroked="f">
              <o:lock v:ext="edit" aspectratio="f"/>
              <v:textbox inset="0,0,0,0">
                <w:txbxContent>
                  <w:p>
                    <w:pPr>
                      <w:spacing w:before="19" w:line="229" w:lineRule="auto"/>
                      <w:ind w:left="20"/>
                      <w:rPr>
                        <w:rFonts w:ascii="SimSun" w:eastAsia="SimSun" w:hAnsi="SimSun" w:cs="SimSun"/>
                        <w:sz w:val="13"/>
                        <w:szCs w:val="13"/>
                      </w:rPr>
                    </w:pPr>
                    <w:r>
                      <w:rPr>
                        <w:rFonts w:ascii="SimSun" w:eastAsia="SimSun" w:hAnsi="SimSun" w:cs="SimSun"/>
                        <w:spacing w:val="-2"/>
                        <w:sz w:val="13"/>
                        <w:szCs w:val="13"/>
                      </w:rPr>
                      <w:t>总经理</w:t>
                    </w:r>
                  </w:p>
                </w:txbxContent>
              </v:textbox>
            </v:shape>
            <v:shape id="_x0000_s1037" type="#_x0000_t202" style="width:163;height:170;left:2331;position:absolute;top:1495" filled="f" stroked="f">
              <o:lock v:ext="edit" aspectratio="f"/>
              <v:textbox style="layout-flow:vertical-ideographic" inset="0,0,0,0">
                <w:txbxContent>
                  <w:p>
                    <w:pPr>
                      <w:spacing w:before="19" w:line="190" w:lineRule="auto"/>
                      <w:ind w:left="20"/>
                      <w:rPr>
                        <w:rFonts w:ascii="SimSun" w:eastAsia="SimSun" w:hAnsi="SimSun" w:cs="SimSun"/>
                        <w:sz w:val="13"/>
                        <w:szCs w:val="13"/>
                      </w:rPr>
                    </w:pPr>
                    <w:r>
                      <w:rPr>
                        <w:rFonts w:ascii="SimSun" w:eastAsia="SimSun" w:hAnsi="SimSun" w:cs="SimSun"/>
                        <w:sz w:val="13"/>
                        <w:szCs w:val="13"/>
                      </w:rPr>
                      <w:t>理</w:t>
                    </w:r>
                  </w:p>
                </w:txbxContent>
              </v:textbox>
            </v:shape>
            <w10:wrap type="none"/>
          </v:group>
        </w:pict>
      </w:r>
    </w:p>
    <w:p>
      <w:pPr>
        <w:spacing w:line="406" w:lineRule="auto"/>
        <w:rPr>
          <w:rFonts w:ascii="Arial"/>
          <w:sz w:val="21"/>
        </w:rPr>
      </w:pPr>
    </w:p>
    <w:p>
      <w:pPr>
        <w:pStyle w:val="BodyText"/>
        <w:spacing w:before="69" w:line="218" w:lineRule="auto"/>
        <w:ind w:left="489"/>
        <w:rPr>
          <w:sz w:val="21"/>
          <w:szCs w:val="21"/>
        </w:rPr>
      </w:pPr>
      <w:r>
        <w:rPr>
          <w:spacing w:val="29"/>
          <w:sz w:val="21"/>
          <w:szCs w:val="21"/>
        </w:rPr>
        <w:t>于评估基准日，凤阳硅谷在职员工380余人。</w:t>
      </w:r>
    </w:p>
    <w:p>
      <w:pPr>
        <w:pStyle w:val="BodyText"/>
        <w:spacing w:before="221" w:line="219" w:lineRule="auto"/>
        <w:ind w:left="493"/>
        <w:outlineLvl w:val="1"/>
      </w:pPr>
      <w:r>
        <w:rPr>
          <w:b/>
          <w:bCs/>
          <w:spacing w:val="-2"/>
        </w:rPr>
        <w:t>4.</w:t>
      </w:r>
      <w:r>
        <w:rPr>
          <w:spacing w:val="-21"/>
        </w:rPr>
        <w:t xml:space="preserve"> </w:t>
      </w:r>
      <w:r>
        <w:rPr>
          <w:b/>
          <w:bCs/>
          <w:spacing w:val="-2"/>
        </w:rPr>
        <w:t>近三年财务状况和经营成果</w:t>
      </w:r>
    </w:p>
    <w:p>
      <w:pPr>
        <w:pStyle w:val="BodyText"/>
        <w:spacing w:before="248" w:line="219" w:lineRule="auto"/>
        <w:ind w:left="3699"/>
        <w:rPr>
          <w:sz w:val="21"/>
          <w:szCs w:val="21"/>
        </w:rPr>
        <w:sectPr>
          <w:headerReference w:type="default" r:id="rId60"/>
          <w:footerReference w:type="default" r:id="rId61"/>
          <w:pgSz w:w="11900" w:h="16840"/>
          <w:pgMar w:top="1611" w:right="1651" w:bottom="1590" w:left="1670" w:header="1146" w:footer="1315" w:gutter="0"/>
          <w:pgNumType w:start="29"/>
          <w:cols w:space="708"/>
        </w:sectPr>
      </w:pPr>
      <w:r>
        <w:rPr>
          <w:spacing w:val="21"/>
          <w:sz w:val="21"/>
          <w:szCs w:val="21"/>
        </w:rPr>
        <w:t>财务状况表</w:t>
      </w:r>
    </w:p>
    <w:p>
      <w:pPr>
        <w:pStyle w:val="BodyText"/>
        <w:spacing w:before="250" w:line="219" w:lineRule="auto"/>
        <w:jc w:val="right"/>
        <w:rPr>
          <w:sz w:val="21"/>
          <w:szCs w:val="21"/>
        </w:rPr>
      </w:pPr>
      <w:r>
        <w:rPr>
          <w:spacing w:val="-5"/>
          <w:sz w:val="21"/>
          <w:szCs w:val="21"/>
        </w:rPr>
        <w:t>金额单位：人民币万元</w:t>
      </w:r>
    </w:p>
    <w:p>
      <w:pPr>
        <w:spacing w:line="219" w:lineRule="auto"/>
        <w:rPr>
          <w:sz w:val="21"/>
          <w:szCs w:val="21"/>
        </w:rPr>
        <w:sectPr>
          <w:headerReference w:type="default" r:id="rId62"/>
          <w:footerReference w:type="default" r:id="rId63"/>
          <w:type w:val="nextPage"/>
          <w:pgSz w:w="11900" w:h="16840"/>
          <w:pgMar w:top="1611" w:right="1651" w:bottom="1590" w:left="1670" w:header="1146" w:footer="1315" w:gutter="0"/>
          <w:pgNumType w:start="30"/>
          <w:cols w:space="708"/>
          <w:titlePg w:val="0"/>
        </w:sectPr>
      </w:pPr>
    </w:p>
    <w:p>
      <w:pPr>
        <w:spacing w:before="32"/>
      </w:pPr>
    </w:p>
    <w:tbl>
      <w:tblPr>
        <w:tblStyle w:val="TableNormal11"/>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72"/>
        <w:gridCol w:w="1882"/>
        <w:gridCol w:w="1882"/>
        <w:gridCol w:w="1887"/>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2872" w:type="dxa"/>
            <w:tcBorders>
              <w:left w:val="nil"/>
            </w:tcBorders>
            <w:vAlign w:val="top"/>
          </w:tcPr>
          <w:p>
            <w:pPr>
              <w:spacing w:before="116" w:line="221" w:lineRule="auto"/>
              <w:ind w:left="1245"/>
              <w:rPr>
                <w:rFonts w:ascii="SimSun" w:eastAsia="SimSun" w:hAnsi="SimSun" w:cs="SimSun"/>
                <w:sz w:val="21"/>
                <w:szCs w:val="21"/>
              </w:rPr>
            </w:pPr>
            <w:r>
              <w:rPr>
                <w:rFonts w:ascii="SimSun" w:eastAsia="SimSun" w:hAnsi="SimSun" w:cs="SimSun"/>
                <w:b/>
                <w:bCs/>
                <w:spacing w:val="-5"/>
                <w:sz w:val="21"/>
                <w:szCs w:val="21"/>
              </w:rPr>
              <w:t>项目</w:t>
            </w:r>
          </w:p>
        </w:tc>
        <w:tc>
          <w:tcPr>
            <w:tcW w:w="1882" w:type="dxa"/>
            <w:vAlign w:val="top"/>
          </w:tcPr>
          <w:p>
            <w:pPr>
              <w:spacing w:before="154" w:line="187" w:lineRule="auto"/>
              <w:ind w:left="47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2021.12.31</w:t>
            </w:r>
          </w:p>
        </w:tc>
        <w:tc>
          <w:tcPr>
            <w:tcW w:w="1882" w:type="dxa"/>
            <w:vAlign w:val="top"/>
          </w:tcPr>
          <w:p>
            <w:pPr>
              <w:spacing w:before="154" w:line="187" w:lineRule="auto"/>
              <w:ind w:left="47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2022.12.31</w:t>
            </w:r>
          </w:p>
        </w:tc>
        <w:tc>
          <w:tcPr>
            <w:tcW w:w="1887" w:type="dxa"/>
            <w:tcBorders>
              <w:right w:val="nil"/>
            </w:tcBorders>
            <w:vAlign w:val="top"/>
          </w:tcPr>
          <w:p>
            <w:pPr>
              <w:spacing w:before="154" w:line="187" w:lineRule="auto"/>
              <w:ind w:left="47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2023.09.30</w:t>
            </w:r>
          </w:p>
        </w:tc>
      </w:tr>
      <w:tr>
        <w:tblPrEx>
          <w:tblW w:w="8523" w:type="dxa"/>
          <w:tblInd w:w="14" w:type="dxa"/>
          <w:tblLayout w:type="fixed"/>
        </w:tblPrEx>
        <w:trPr>
          <w:trHeight w:val="403"/>
        </w:trPr>
        <w:tc>
          <w:tcPr>
            <w:tcW w:w="2872" w:type="dxa"/>
            <w:tcBorders>
              <w:left w:val="nil"/>
            </w:tcBorders>
            <w:vAlign w:val="top"/>
          </w:tcPr>
          <w:p>
            <w:pPr>
              <w:spacing w:before="88" w:line="221" w:lineRule="auto"/>
              <w:ind w:left="133"/>
              <w:rPr>
                <w:rFonts w:ascii="SimSun" w:eastAsia="SimSun" w:hAnsi="SimSun" w:cs="SimSun"/>
                <w:sz w:val="21"/>
                <w:szCs w:val="21"/>
              </w:rPr>
            </w:pPr>
            <w:r>
              <w:rPr>
                <w:rFonts w:ascii="SimSun" w:eastAsia="SimSun" w:hAnsi="SimSun" w:cs="SimSun"/>
                <w:spacing w:val="-1"/>
                <w:sz w:val="21"/>
                <w:szCs w:val="21"/>
              </w:rPr>
              <w:t>流动资产</w:t>
            </w:r>
          </w:p>
        </w:tc>
        <w:tc>
          <w:tcPr>
            <w:tcW w:w="1882" w:type="dxa"/>
            <w:vAlign w:val="top"/>
          </w:tcPr>
          <w:p>
            <w:pPr>
              <w:spacing w:before="124" w:line="201"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57,172.32</w:t>
            </w:r>
          </w:p>
        </w:tc>
        <w:tc>
          <w:tcPr>
            <w:tcW w:w="1882" w:type="dxa"/>
            <w:vAlign w:val="top"/>
          </w:tcPr>
          <w:p>
            <w:pPr>
              <w:spacing w:before="124" w:line="201" w:lineRule="auto"/>
              <w:ind w:left="9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68,077.94</w:t>
            </w:r>
          </w:p>
        </w:tc>
        <w:tc>
          <w:tcPr>
            <w:tcW w:w="1887" w:type="dxa"/>
            <w:tcBorders>
              <w:right w:val="nil"/>
            </w:tcBorders>
            <w:vAlign w:val="top"/>
          </w:tcPr>
          <w:p>
            <w:pPr>
              <w:spacing w:before="124" w:line="201" w:lineRule="auto"/>
              <w:ind w:left="9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64,361.00</w:t>
            </w:r>
          </w:p>
        </w:tc>
      </w:tr>
      <w:tr>
        <w:tblPrEx>
          <w:tblW w:w="8523" w:type="dxa"/>
          <w:tblInd w:w="14" w:type="dxa"/>
          <w:tblLayout w:type="fixed"/>
        </w:tblPrEx>
        <w:trPr>
          <w:trHeight w:val="402"/>
        </w:trPr>
        <w:tc>
          <w:tcPr>
            <w:tcW w:w="2872" w:type="dxa"/>
            <w:tcBorders>
              <w:left w:val="nil"/>
            </w:tcBorders>
            <w:vAlign w:val="top"/>
          </w:tcPr>
          <w:p>
            <w:pPr>
              <w:spacing w:before="88" w:line="221" w:lineRule="auto"/>
              <w:ind w:left="136"/>
              <w:rPr>
                <w:rFonts w:ascii="SimSun" w:eastAsia="SimSun" w:hAnsi="SimSun" w:cs="SimSun"/>
                <w:sz w:val="21"/>
                <w:szCs w:val="21"/>
              </w:rPr>
            </w:pPr>
            <w:r>
              <w:rPr>
                <w:rFonts w:ascii="SimSun" w:eastAsia="SimSun" w:hAnsi="SimSun" w:cs="SimSun"/>
                <w:spacing w:val="-1"/>
                <w:sz w:val="21"/>
                <w:szCs w:val="21"/>
              </w:rPr>
              <w:t>非流动资产</w:t>
            </w:r>
          </w:p>
        </w:tc>
        <w:tc>
          <w:tcPr>
            <w:tcW w:w="1882" w:type="dxa"/>
            <w:vAlign w:val="top"/>
          </w:tcPr>
          <w:p>
            <w:pPr>
              <w:spacing w:before="119"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141,865.08</w:t>
            </w:r>
          </w:p>
        </w:tc>
        <w:tc>
          <w:tcPr>
            <w:tcW w:w="1882" w:type="dxa"/>
            <w:vAlign w:val="top"/>
          </w:tcPr>
          <w:p>
            <w:pPr>
              <w:spacing w:before="119"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147,297.81</w:t>
            </w:r>
          </w:p>
        </w:tc>
        <w:tc>
          <w:tcPr>
            <w:tcW w:w="1887" w:type="dxa"/>
            <w:tcBorders>
              <w:right w:val="nil"/>
            </w:tcBorders>
            <w:vAlign w:val="top"/>
          </w:tcPr>
          <w:p>
            <w:pPr>
              <w:spacing w:before="119" w:line="201" w:lineRule="auto"/>
              <w:ind w:left="8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138,253.04</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133"/>
              <w:rPr>
                <w:rFonts w:ascii="SimSun" w:eastAsia="SimSun" w:hAnsi="SimSun" w:cs="SimSun"/>
                <w:sz w:val="21"/>
                <w:szCs w:val="21"/>
              </w:rPr>
            </w:pPr>
            <w:r>
              <w:rPr>
                <w:rFonts w:ascii="SimSun" w:eastAsia="SimSun" w:hAnsi="SimSun" w:cs="SimSun"/>
                <w:spacing w:val="-1"/>
                <w:sz w:val="21"/>
                <w:szCs w:val="21"/>
              </w:rPr>
              <w:t>其中：长期股权投资</w:t>
            </w:r>
          </w:p>
        </w:tc>
        <w:tc>
          <w:tcPr>
            <w:tcW w:w="1882" w:type="dxa"/>
            <w:vAlign w:val="top"/>
          </w:tcPr>
          <w:p>
            <w:pPr>
              <w:spacing w:before="123" w:line="187" w:lineRule="auto"/>
              <w:ind w:left="122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100.29</w:t>
            </w:r>
          </w:p>
        </w:tc>
        <w:tc>
          <w:tcPr>
            <w:tcW w:w="1882" w:type="dxa"/>
            <w:vAlign w:val="top"/>
          </w:tcPr>
          <w:p>
            <w:pPr>
              <w:spacing w:before="120"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3,941.68</w:t>
            </w:r>
          </w:p>
        </w:tc>
        <w:tc>
          <w:tcPr>
            <w:tcW w:w="1887" w:type="dxa"/>
            <w:tcBorders>
              <w:right w:val="nil"/>
            </w:tcBorders>
            <w:vAlign w:val="top"/>
          </w:tcPr>
          <w:p>
            <w:pPr>
              <w:spacing w:before="120"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6,657.61</w:t>
            </w:r>
          </w:p>
        </w:tc>
      </w:tr>
      <w:tr>
        <w:tblPrEx>
          <w:tblW w:w="8523" w:type="dxa"/>
          <w:tblInd w:w="14" w:type="dxa"/>
          <w:tblLayout w:type="fixed"/>
        </w:tblPrEx>
        <w:trPr>
          <w:trHeight w:val="398"/>
        </w:trPr>
        <w:tc>
          <w:tcPr>
            <w:tcW w:w="2872" w:type="dxa"/>
            <w:tcBorders>
              <w:left w:val="nil"/>
            </w:tcBorders>
            <w:vAlign w:val="top"/>
          </w:tcPr>
          <w:p>
            <w:pPr>
              <w:spacing w:before="89" w:line="221" w:lineRule="auto"/>
              <w:ind w:left="769"/>
              <w:rPr>
                <w:rFonts w:ascii="SimSun" w:eastAsia="SimSun" w:hAnsi="SimSun" w:cs="SimSun"/>
                <w:sz w:val="21"/>
                <w:szCs w:val="21"/>
              </w:rPr>
            </w:pPr>
            <w:r>
              <w:rPr>
                <w:rFonts w:ascii="SimSun" w:eastAsia="SimSun" w:hAnsi="SimSun" w:cs="SimSun"/>
                <w:spacing w:val="-2"/>
                <w:sz w:val="21"/>
                <w:szCs w:val="21"/>
              </w:rPr>
              <w:t>投资性房地产</w:t>
            </w:r>
          </w:p>
        </w:tc>
        <w:tc>
          <w:tcPr>
            <w:tcW w:w="1882" w:type="dxa"/>
            <w:vAlign w:val="top"/>
          </w:tcPr>
          <w:p>
            <w:pPr>
              <w:spacing w:before="120" w:line="201"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16,277.40</w:t>
            </w:r>
          </w:p>
        </w:tc>
        <w:tc>
          <w:tcPr>
            <w:tcW w:w="1882" w:type="dxa"/>
            <w:vAlign w:val="top"/>
          </w:tcPr>
          <w:p>
            <w:pPr>
              <w:spacing w:before="120" w:line="201"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15,516.95</w:t>
            </w:r>
          </w:p>
        </w:tc>
        <w:tc>
          <w:tcPr>
            <w:tcW w:w="1887" w:type="dxa"/>
            <w:tcBorders>
              <w:right w:val="nil"/>
            </w:tcBorders>
            <w:vAlign w:val="top"/>
          </w:tcPr>
          <w:p>
            <w:pPr>
              <w:spacing w:before="120" w:line="201" w:lineRule="auto"/>
              <w:ind w:left="9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13,960.50</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780"/>
              <w:rPr>
                <w:rFonts w:ascii="SimSun" w:eastAsia="SimSun" w:hAnsi="SimSun" w:cs="SimSun"/>
                <w:sz w:val="21"/>
                <w:szCs w:val="21"/>
              </w:rPr>
            </w:pPr>
            <w:r>
              <w:rPr>
                <w:rFonts w:ascii="SimSun" w:eastAsia="SimSun" w:hAnsi="SimSun" w:cs="SimSun"/>
                <w:spacing w:val="-5"/>
                <w:sz w:val="21"/>
                <w:szCs w:val="21"/>
              </w:rPr>
              <w:t>固定资产</w:t>
            </w:r>
          </w:p>
        </w:tc>
        <w:tc>
          <w:tcPr>
            <w:tcW w:w="1882" w:type="dxa"/>
            <w:vAlign w:val="top"/>
          </w:tcPr>
          <w:p>
            <w:pPr>
              <w:spacing w:before="125"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118,737.81</w:t>
            </w:r>
          </w:p>
        </w:tc>
        <w:tc>
          <w:tcPr>
            <w:tcW w:w="1882" w:type="dxa"/>
            <w:vAlign w:val="top"/>
          </w:tcPr>
          <w:p>
            <w:pPr>
              <w:spacing w:before="125"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113,958.29</w:t>
            </w:r>
          </w:p>
        </w:tc>
        <w:tc>
          <w:tcPr>
            <w:tcW w:w="1887" w:type="dxa"/>
            <w:tcBorders>
              <w:right w:val="nil"/>
            </w:tcBorders>
            <w:vAlign w:val="top"/>
          </w:tcPr>
          <w:p>
            <w:pPr>
              <w:spacing w:before="125" w:line="201" w:lineRule="auto"/>
              <w:ind w:left="8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107,197.34</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766"/>
              <w:rPr>
                <w:rFonts w:ascii="SimSun" w:eastAsia="SimSun" w:hAnsi="SimSun" w:cs="SimSun"/>
                <w:sz w:val="21"/>
                <w:szCs w:val="21"/>
              </w:rPr>
            </w:pPr>
            <w:r>
              <w:rPr>
                <w:rFonts w:ascii="SimSun" w:eastAsia="SimSun" w:hAnsi="SimSun" w:cs="SimSun"/>
                <w:spacing w:val="-2"/>
                <w:sz w:val="21"/>
                <w:szCs w:val="21"/>
              </w:rPr>
              <w:t>在建工程</w:t>
            </w:r>
          </w:p>
        </w:tc>
        <w:tc>
          <w:tcPr>
            <w:tcW w:w="1882" w:type="dxa"/>
            <w:vAlign w:val="top"/>
          </w:tcPr>
          <w:p>
            <w:pPr>
              <w:spacing w:before="128" w:line="187" w:lineRule="auto"/>
              <w:ind w:left="12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536.79</w:t>
            </w:r>
          </w:p>
        </w:tc>
        <w:tc>
          <w:tcPr>
            <w:tcW w:w="1882" w:type="dxa"/>
            <w:vAlign w:val="top"/>
          </w:tcPr>
          <w:p>
            <w:pPr>
              <w:spacing w:before="125"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3,466.01</w:t>
            </w:r>
          </w:p>
        </w:tc>
        <w:tc>
          <w:tcPr>
            <w:tcW w:w="1887" w:type="dxa"/>
            <w:tcBorders>
              <w:right w:val="nil"/>
            </w:tcBorders>
            <w:vAlign w:val="top"/>
          </w:tcPr>
          <w:p>
            <w:pPr>
              <w:spacing w:before="128" w:line="187" w:lineRule="auto"/>
              <w:ind w:left="1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362.31</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768"/>
              <w:rPr>
                <w:rFonts w:ascii="SimSun" w:eastAsia="SimSun" w:hAnsi="SimSun" w:cs="SimSun"/>
                <w:sz w:val="21"/>
                <w:szCs w:val="21"/>
              </w:rPr>
            </w:pPr>
            <w:r>
              <w:rPr>
                <w:rFonts w:ascii="SimSun" w:eastAsia="SimSun" w:hAnsi="SimSun" w:cs="SimSun"/>
                <w:spacing w:val="-3"/>
                <w:sz w:val="21"/>
                <w:szCs w:val="21"/>
              </w:rPr>
              <w:t>无形资产</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3,651.23</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7,449.62</w:t>
            </w:r>
          </w:p>
        </w:tc>
        <w:tc>
          <w:tcPr>
            <w:tcW w:w="1887" w:type="dxa"/>
            <w:tcBorders>
              <w:right w:val="nil"/>
            </w:tcBorders>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1185"/>
              <w:rPr>
                <w:rFonts w:ascii="SimSun" w:eastAsia="SimSun" w:hAnsi="SimSun" w:cs="SimSun"/>
                <w:sz w:val="21"/>
                <w:szCs w:val="21"/>
              </w:rPr>
            </w:pPr>
            <w:r>
              <w:rPr>
                <w:rFonts w:ascii="SimSun" w:eastAsia="SimSun" w:hAnsi="SimSun" w:cs="SimSun"/>
                <w:spacing w:val="-1"/>
                <w:sz w:val="21"/>
                <w:szCs w:val="21"/>
              </w:rPr>
              <w:t>土地使用权</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3,651.23</w:t>
            </w:r>
          </w:p>
        </w:tc>
        <w:tc>
          <w:tcPr>
            <w:tcW w:w="1882" w:type="dxa"/>
            <w:vAlign w:val="top"/>
          </w:tcPr>
          <w:p>
            <w:pPr>
              <w:spacing w:before="120" w:line="201" w:lineRule="auto"/>
              <w:ind w:left="10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7,449.62</w:t>
            </w:r>
          </w:p>
        </w:tc>
        <w:tc>
          <w:tcPr>
            <w:tcW w:w="1887" w:type="dxa"/>
            <w:tcBorders>
              <w:right w:val="nil"/>
            </w:tcBorders>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14" w:type="dxa"/>
          <w:tblLayout w:type="fixed"/>
        </w:tblPrEx>
        <w:trPr>
          <w:trHeight w:val="398"/>
        </w:trPr>
        <w:tc>
          <w:tcPr>
            <w:tcW w:w="2872" w:type="dxa"/>
            <w:tcBorders>
              <w:left w:val="nil"/>
            </w:tcBorders>
            <w:vAlign w:val="top"/>
          </w:tcPr>
          <w:p>
            <w:pPr>
              <w:spacing w:before="90" w:line="221" w:lineRule="auto"/>
              <w:ind w:left="768"/>
              <w:rPr>
                <w:rFonts w:ascii="SimSun" w:eastAsia="SimSun" w:hAnsi="SimSun" w:cs="SimSun"/>
                <w:sz w:val="21"/>
                <w:szCs w:val="21"/>
              </w:rPr>
            </w:pPr>
            <w:r>
              <w:rPr>
                <w:rFonts w:ascii="SimSun" w:eastAsia="SimSun" w:hAnsi="SimSun" w:cs="SimSun"/>
                <w:spacing w:val="-1"/>
                <w:sz w:val="21"/>
                <w:szCs w:val="21"/>
              </w:rPr>
              <w:t>递延所得税资产</w:t>
            </w:r>
          </w:p>
        </w:tc>
        <w:tc>
          <w:tcPr>
            <w:tcW w:w="1882" w:type="dxa"/>
            <w:vAlign w:val="top"/>
          </w:tcPr>
          <w:p>
            <w:pPr>
              <w:spacing w:before="121" w:line="201" w:lineRule="auto"/>
              <w:ind w:left="10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2,529.34</w:t>
            </w:r>
          </w:p>
        </w:tc>
        <w:tc>
          <w:tcPr>
            <w:tcW w:w="1882" w:type="dxa"/>
            <w:vAlign w:val="top"/>
          </w:tcPr>
          <w:p>
            <w:pPr>
              <w:spacing w:before="121" w:line="201" w:lineRule="auto"/>
              <w:ind w:left="10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2,761.88</w:t>
            </w:r>
          </w:p>
        </w:tc>
        <w:tc>
          <w:tcPr>
            <w:tcW w:w="1887" w:type="dxa"/>
            <w:tcBorders>
              <w:right w:val="nil"/>
            </w:tcBorders>
            <w:vAlign w:val="top"/>
          </w:tcPr>
          <w:p>
            <w:pPr>
              <w:spacing w:before="121" w:line="201" w:lineRule="auto"/>
              <w:ind w:left="10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2,519.93</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763"/>
              <w:rPr>
                <w:rFonts w:ascii="SimSun" w:eastAsia="SimSun" w:hAnsi="SimSun" w:cs="SimSun"/>
                <w:sz w:val="21"/>
                <w:szCs w:val="21"/>
              </w:rPr>
            </w:pPr>
            <w:r>
              <w:rPr>
                <w:rFonts w:ascii="SimSun" w:eastAsia="SimSun" w:hAnsi="SimSun" w:cs="SimSun"/>
                <w:spacing w:val="-1"/>
                <w:sz w:val="21"/>
                <w:szCs w:val="21"/>
              </w:rPr>
              <w:t>其他非流动资产</w:t>
            </w:r>
          </w:p>
        </w:tc>
        <w:tc>
          <w:tcPr>
            <w:tcW w:w="1882" w:type="dxa"/>
            <w:vAlign w:val="top"/>
          </w:tcPr>
          <w:p>
            <w:pPr>
              <w:spacing w:before="129" w:line="187" w:lineRule="auto"/>
              <w:ind w:left="13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32.21</w:t>
            </w:r>
          </w:p>
        </w:tc>
        <w:tc>
          <w:tcPr>
            <w:tcW w:w="1882" w:type="dxa"/>
            <w:vAlign w:val="top"/>
          </w:tcPr>
          <w:p>
            <w:pPr>
              <w:spacing w:before="129" w:line="187" w:lineRule="auto"/>
              <w:ind w:left="1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203.37</w:t>
            </w:r>
          </w:p>
        </w:tc>
        <w:tc>
          <w:tcPr>
            <w:tcW w:w="1887" w:type="dxa"/>
            <w:tcBorders>
              <w:right w:val="nil"/>
            </w:tcBorders>
            <w:vAlign w:val="top"/>
          </w:tcPr>
          <w:p>
            <w:pPr>
              <w:spacing w:before="129" w:line="187" w:lineRule="auto"/>
              <w:ind w:left="11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224.05</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42"/>
              <w:rPr>
                <w:rFonts w:ascii="SimSun" w:eastAsia="SimSun" w:hAnsi="SimSun" w:cs="SimSun"/>
                <w:sz w:val="21"/>
                <w:szCs w:val="21"/>
              </w:rPr>
            </w:pPr>
            <w:hyperlink r:id="rId64" w:history="1">
              <w:r>
                <w:rPr>
                  <w:rFonts w:ascii="SimSun" w:eastAsia="SimSun" w:hAnsi="SimSun" w:cs="SimSun"/>
                  <w:b/>
                  <w:bCs/>
                  <w:spacing w:val="-5"/>
                  <w:sz w:val="21"/>
                  <w:szCs w:val="21"/>
                </w:rPr>
                <w:t>资产总计</w:t>
              </w:r>
            </w:hyperlink>
          </w:p>
        </w:tc>
        <w:tc>
          <w:tcPr>
            <w:tcW w:w="1882" w:type="dxa"/>
            <w:vAlign w:val="top"/>
          </w:tcPr>
          <w:p>
            <w:pPr>
              <w:spacing w:before="129" w:line="196" w:lineRule="auto"/>
              <w:ind w:left="84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199,037.39</w:t>
            </w:r>
          </w:p>
        </w:tc>
        <w:tc>
          <w:tcPr>
            <w:tcW w:w="1882" w:type="dxa"/>
            <w:vAlign w:val="top"/>
          </w:tcPr>
          <w:p>
            <w:pPr>
              <w:spacing w:before="129" w:line="196" w:lineRule="auto"/>
              <w:ind w:left="83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215,375.74</w:t>
            </w:r>
          </w:p>
        </w:tc>
        <w:tc>
          <w:tcPr>
            <w:tcW w:w="1887" w:type="dxa"/>
            <w:tcBorders>
              <w:right w:val="nil"/>
            </w:tcBorders>
            <w:vAlign w:val="top"/>
          </w:tcPr>
          <w:p>
            <w:pPr>
              <w:spacing w:before="129" w:line="196" w:lineRule="auto"/>
              <w:ind w:left="828"/>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202,614.04</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流动负债</w:t>
            </w:r>
          </w:p>
        </w:tc>
        <w:tc>
          <w:tcPr>
            <w:tcW w:w="1882" w:type="dxa"/>
            <w:vAlign w:val="top"/>
          </w:tcPr>
          <w:p>
            <w:pPr>
              <w:spacing w:before="121" w:line="201" w:lineRule="auto"/>
              <w:ind w:left="9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90,586.80</w:t>
            </w:r>
          </w:p>
        </w:tc>
        <w:tc>
          <w:tcPr>
            <w:tcW w:w="1882" w:type="dxa"/>
            <w:vAlign w:val="top"/>
          </w:tcPr>
          <w:p>
            <w:pPr>
              <w:spacing w:before="121"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100,364.50</w:t>
            </w:r>
          </w:p>
        </w:tc>
        <w:tc>
          <w:tcPr>
            <w:tcW w:w="1887" w:type="dxa"/>
            <w:tcBorders>
              <w:right w:val="nil"/>
            </w:tcBorders>
            <w:vAlign w:val="top"/>
          </w:tcPr>
          <w:p>
            <w:pPr>
              <w:spacing w:before="121" w:line="201" w:lineRule="auto"/>
              <w:ind w:left="9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85,437.50</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36"/>
              <w:rPr>
                <w:rFonts w:ascii="SimSun" w:eastAsia="SimSun" w:hAnsi="SimSun" w:cs="SimSun"/>
                <w:sz w:val="21"/>
                <w:szCs w:val="21"/>
              </w:rPr>
            </w:pPr>
            <w:r>
              <w:rPr>
                <w:rFonts w:ascii="SimSun" w:eastAsia="SimSun" w:hAnsi="SimSun" w:cs="SimSun"/>
                <w:spacing w:val="-1"/>
                <w:sz w:val="21"/>
                <w:szCs w:val="21"/>
              </w:rPr>
              <w:t>非流动负债</w:t>
            </w:r>
          </w:p>
        </w:tc>
        <w:tc>
          <w:tcPr>
            <w:tcW w:w="1882" w:type="dxa"/>
            <w:vAlign w:val="top"/>
          </w:tcPr>
          <w:p>
            <w:pPr>
              <w:spacing w:before="121" w:line="201" w:lineRule="auto"/>
              <w:ind w:left="9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83,268.52</w:t>
            </w:r>
          </w:p>
        </w:tc>
        <w:tc>
          <w:tcPr>
            <w:tcW w:w="1882" w:type="dxa"/>
            <w:vAlign w:val="top"/>
          </w:tcPr>
          <w:p>
            <w:pPr>
              <w:spacing w:before="121" w:line="201" w:lineRule="auto"/>
              <w:ind w:left="9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80,647.40</w:t>
            </w:r>
          </w:p>
        </w:tc>
        <w:tc>
          <w:tcPr>
            <w:tcW w:w="1887" w:type="dxa"/>
            <w:tcBorders>
              <w:right w:val="nil"/>
            </w:tcBorders>
            <w:vAlign w:val="top"/>
          </w:tcPr>
          <w:p>
            <w:pPr>
              <w:spacing w:before="121" w:line="201" w:lineRule="auto"/>
              <w:ind w:left="9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70,472.40</w:t>
            </w:r>
          </w:p>
        </w:tc>
      </w:tr>
      <w:tr>
        <w:tblPrEx>
          <w:tblW w:w="8523" w:type="dxa"/>
          <w:tblInd w:w="14" w:type="dxa"/>
          <w:tblLayout w:type="fixed"/>
        </w:tblPrEx>
        <w:trPr>
          <w:trHeight w:val="398"/>
        </w:trPr>
        <w:tc>
          <w:tcPr>
            <w:tcW w:w="2872" w:type="dxa"/>
            <w:tcBorders>
              <w:left w:val="nil"/>
            </w:tcBorders>
            <w:vAlign w:val="top"/>
          </w:tcPr>
          <w:p>
            <w:pPr>
              <w:spacing w:before="91" w:line="221" w:lineRule="auto"/>
              <w:ind w:left="141"/>
              <w:rPr>
                <w:rFonts w:ascii="SimSun" w:eastAsia="SimSun" w:hAnsi="SimSun" w:cs="SimSun"/>
                <w:sz w:val="21"/>
                <w:szCs w:val="21"/>
              </w:rPr>
            </w:pPr>
            <w:r>
              <w:rPr>
                <w:rFonts w:ascii="SimSun" w:eastAsia="SimSun" w:hAnsi="SimSun" w:cs="SimSun"/>
                <w:b/>
                <w:bCs/>
                <w:spacing w:val="-5"/>
                <w:sz w:val="21"/>
                <w:szCs w:val="21"/>
              </w:rPr>
              <w:t>负债总计</w:t>
            </w:r>
          </w:p>
        </w:tc>
        <w:tc>
          <w:tcPr>
            <w:tcW w:w="1882" w:type="dxa"/>
            <w:vAlign w:val="top"/>
          </w:tcPr>
          <w:p>
            <w:pPr>
              <w:spacing w:before="130" w:line="196" w:lineRule="auto"/>
              <w:ind w:left="84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173,855.32</w:t>
            </w:r>
          </w:p>
        </w:tc>
        <w:tc>
          <w:tcPr>
            <w:tcW w:w="1882" w:type="dxa"/>
            <w:vAlign w:val="top"/>
          </w:tcPr>
          <w:p>
            <w:pPr>
              <w:spacing w:before="130" w:line="196" w:lineRule="auto"/>
              <w:ind w:left="84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181,011.90</w:t>
            </w:r>
          </w:p>
        </w:tc>
        <w:tc>
          <w:tcPr>
            <w:tcW w:w="1887" w:type="dxa"/>
            <w:tcBorders>
              <w:right w:val="nil"/>
            </w:tcBorders>
            <w:vAlign w:val="top"/>
          </w:tcPr>
          <w:p>
            <w:pPr>
              <w:spacing w:before="130" w:line="196" w:lineRule="auto"/>
              <w:ind w:left="837"/>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155,909.90</w:t>
            </w:r>
          </w:p>
        </w:tc>
      </w:tr>
      <w:tr>
        <w:tblPrEx>
          <w:tblW w:w="8523" w:type="dxa"/>
          <w:tblInd w:w="14" w:type="dxa"/>
          <w:tblLayout w:type="fixed"/>
        </w:tblPrEx>
        <w:trPr>
          <w:trHeight w:val="426"/>
        </w:trPr>
        <w:tc>
          <w:tcPr>
            <w:tcW w:w="2872" w:type="dxa"/>
            <w:tcBorders>
              <w:left w:val="nil"/>
            </w:tcBorders>
            <w:vAlign w:val="top"/>
          </w:tcPr>
          <w:p>
            <w:pPr>
              <w:spacing w:before="91" w:line="221" w:lineRule="auto"/>
              <w:ind w:left="133"/>
              <w:rPr>
                <w:rFonts w:ascii="SimSun" w:eastAsia="SimSun" w:hAnsi="SimSun" w:cs="SimSun"/>
                <w:sz w:val="21"/>
                <w:szCs w:val="21"/>
              </w:rPr>
            </w:pPr>
            <w:r>
              <w:pict>
                <v:shape id="_x0000_s1038" style="width:143.4pt;height:0.5pt;margin-top:20.14pt;margin-left:-143.48pt;mso-position-horizontal-relative:right-margin-area;mso-position-vertical-relative:top-margin-area;position:absolute;z-index:251662336" coordorigin="0,0" coordsize="2867,10" path="m,9l2867,9l2867,l,l,9xe" filled="t" fillcolor="black" stroked="f"/>
              </w:pict>
            </w:r>
            <w:r>
              <w:rPr>
                <w:rFonts w:ascii="SimSun" w:eastAsia="SimSun" w:hAnsi="SimSun" w:cs="SimSun"/>
                <w:b/>
                <w:bCs/>
                <w:spacing w:val="-3"/>
                <w:sz w:val="21"/>
                <w:szCs w:val="21"/>
              </w:rPr>
              <w:t>所有者权益</w:t>
            </w:r>
          </w:p>
        </w:tc>
        <w:tc>
          <w:tcPr>
            <w:tcW w:w="1882" w:type="dxa"/>
            <w:vAlign w:val="top"/>
          </w:tcPr>
          <w:p>
            <w:pPr>
              <w:spacing w:before="135" w:line="196" w:lineRule="auto"/>
              <w:ind w:left="938"/>
              <w:rPr>
                <w:rFonts w:ascii="Times New Roman" w:eastAsia="Times New Roman" w:hAnsi="Times New Roman" w:cs="Times New Roman"/>
                <w:sz w:val="21"/>
                <w:szCs w:val="21"/>
              </w:rPr>
            </w:pPr>
            <w:r>
              <w:pict>
                <v:shape id="_x0000_s1039" style="width:92.7pt;height:0.5pt;margin-top:20.14pt;margin-left:-92.78pt;mso-position-horizontal-relative:right-margin-area;mso-position-vertical-relative:top-margin-area;position:absolute;z-index:251665408" coordorigin="0,0" coordsize="1853,10" path="m,9l1853,9l1853,l,l,9xe" filled="t" fillcolor="black" stroked="f"/>
              </w:pict>
            </w:r>
            <w:r>
              <w:rPr>
                <w:rFonts w:ascii="Times New Roman" w:eastAsia="Times New Roman" w:hAnsi="Times New Roman" w:cs="Times New Roman"/>
                <w:b/>
                <w:bCs/>
                <w:spacing w:val="-1"/>
                <w:sz w:val="21"/>
                <w:szCs w:val="21"/>
              </w:rPr>
              <w:t>25,182.07</w:t>
            </w:r>
          </w:p>
        </w:tc>
        <w:tc>
          <w:tcPr>
            <w:tcW w:w="1882" w:type="dxa"/>
            <w:vAlign w:val="top"/>
          </w:tcPr>
          <w:p>
            <w:pPr>
              <w:spacing w:before="135" w:line="196" w:lineRule="auto"/>
              <w:ind w:left="937"/>
              <w:rPr>
                <w:rFonts w:ascii="Times New Roman" w:eastAsia="Times New Roman" w:hAnsi="Times New Roman" w:cs="Times New Roman"/>
                <w:sz w:val="21"/>
                <w:szCs w:val="21"/>
              </w:rPr>
            </w:pPr>
            <w:r>
              <w:pict>
                <v:shape id="_x0000_s1040" style="width:92.7pt;height:0.5pt;margin-top:20.14pt;margin-left:-92.78pt;mso-position-horizontal-relative:right-margin-area;mso-position-vertical-relative:top-margin-area;position:absolute;z-index:251664384" coordorigin="0,0" coordsize="1853,10" path="m,9l1853,9l1853,l,l,9xe" filled="t" fillcolor="black" stroked="f"/>
              </w:pict>
            </w:r>
            <w:r>
              <w:rPr>
                <w:rFonts w:ascii="Times New Roman" w:eastAsia="Times New Roman" w:hAnsi="Times New Roman" w:cs="Times New Roman"/>
                <w:b/>
                <w:bCs/>
                <w:sz w:val="21"/>
                <w:szCs w:val="21"/>
              </w:rPr>
              <w:t>34,363.84</w:t>
            </w:r>
          </w:p>
        </w:tc>
        <w:tc>
          <w:tcPr>
            <w:tcW w:w="1887" w:type="dxa"/>
            <w:tcBorders>
              <w:right w:val="nil"/>
            </w:tcBorders>
            <w:vAlign w:val="top"/>
          </w:tcPr>
          <w:p>
            <w:pPr>
              <w:spacing w:before="135" w:line="196" w:lineRule="auto"/>
              <w:ind w:left="934"/>
              <w:rPr>
                <w:rFonts w:ascii="Times New Roman" w:eastAsia="Times New Roman" w:hAnsi="Times New Roman" w:cs="Times New Roman"/>
                <w:sz w:val="21"/>
                <w:szCs w:val="21"/>
              </w:rPr>
            </w:pPr>
            <w:r>
              <w:pict>
                <v:shape id="_x0000_s1041" style="width:93.15pt;height:0.5pt;margin-top:20.14pt;margin-left:-93.12pt;mso-position-horizontal-relative:right-margin-area;mso-position-vertical-relative:top-margin-area;position:absolute;z-index:251663360" coordorigin="0,0" coordsize="1863,10" path="m,9l1862,9l1862,l,l,9xe" filled="t" fillcolor="black" stroked="f"/>
              </w:pict>
            </w:r>
            <w:r>
              <w:rPr>
                <w:rFonts w:ascii="Times New Roman" w:eastAsia="Times New Roman" w:hAnsi="Times New Roman" w:cs="Times New Roman"/>
                <w:b/>
                <w:bCs/>
                <w:spacing w:val="-1"/>
                <w:sz w:val="21"/>
                <w:szCs w:val="21"/>
              </w:rPr>
              <w:t>46,704.15</w:t>
            </w:r>
          </w:p>
        </w:tc>
      </w:tr>
    </w:tbl>
    <w:p>
      <w:pPr>
        <w:pStyle w:val="BodyText"/>
        <w:spacing w:before="163" w:line="220" w:lineRule="auto"/>
        <w:ind w:left="3694"/>
      </w:pPr>
      <w:r>
        <w:rPr>
          <w:spacing w:val="-3"/>
        </w:rPr>
        <w:t>经营成果表</w:t>
      </w:r>
    </w:p>
    <w:p>
      <w:pPr>
        <w:pStyle w:val="BodyText"/>
        <w:spacing w:before="242" w:line="220" w:lineRule="auto"/>
        <w:jc w:val="right"/>
        <w:rPr>
          <w:sz w:val="21"/>
          <w:szCs w:val="21"/>
        </w:rPr>
      </w:pPr>
      <w:r>
        <w:rPr>
          <w:spacing w:val="-15"/>
          <w:sz w:val="21"/>
          <w:szCs w:val="21"/>
        </w:rPr>
        <w:t>金额单位</w:t>
      </w:r>
      <w:r>
        <w:rPr>
          <w:spacing w:val="-14"/>
          <w:sz w:val="21"/>
          <w:szCs w:val="21"/>
        </w:rPr>
        <w:t>：</w:t>
      </w:r>
      <w:r>
        <w:rPr>
          <w:spacing w:val="26"/>
          <w:sz w:val="21"/>
          <w:szCs w:val="21"/>
        </w:rPr>
        <w:t xml:space="preserve"> </w:t>
      </w:r>
      <w:r>
        <w:rPr>
          <w:spacing w:val="-14"/>
          <w:sz w:val="21"/>
          <w:szCs w:val="21"/>
        </w:rPr>
        <w:t>人民币万</w:t>
      </w:r>
      <w:r>
        <w:rPr>
          <w:spacing w:val="-10"/>
          <w:sz w:val="21"/>
          <w:szCs w:val="21"/>
        </w:rPr>
        <w:t>元</w:t>
      </w:r>
    </w:p>
    <w:tbl>
      <w:tblPr>
        <w:tblStyle w:val="TableNormal11"/>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3093" w:type="dxa"/>
            <w:tcBorders>
              <w:left w:val="nil"/>
            </w:tcBorders>
            <w:vAlign w:val="top"/>
          </w:tcPr>
          <w:p>
            <w:pPr>
              <w:spacing w:before="111" w:line="221" w:lineRule="auto"/>
              <w:ind w:left="1356"/>
              <w:rPr>
                <w:rFonts w:ascii="SimSun" w:eastAsia="SimSun" w:hAnsi="SimSun" w:cs="SimSun"/>
                <w:sz w:val="21"/>
                <w:szCs w:val="21"/>
              </w:rPr>
            </w:pPr>
            <w:r>
              <w:rPr>
                <w:rFonts w:ascii="SimSun" w:eastAsia="SimSun" w:hAnsi="SimSun" w:cs="SimSun"/>
                <w:b/>
                <w:bCs/>
                <w:spacing w:val="-5"/>
                <w:sz w:val="21"/>
                <w:szCs w:val="21"/>
              </w:rPr>
              <w:t>项目</w:t>
            </w:r>
          </w:p>
        </w:tc>
        <w:tc>
          <w:tcPr>
            <w:tcW w:w="1810" w:type="dxa"/>
            <w:vAlign w:val="top"/>
          </w:tcPr>
          <w:p>
            <w:pPr>
              <w:spacing w:before="110" w:line="221" w:lineRule="auto"/>
              <w:ind w:left="568"/>
              <w:rPr>
                <w:rFonts w:ascii="SimSun" w:eastAsia="SimSun" w:hAnsi="SimSun" w:cs="SimSun"/>
                <w:sz w:val="21"/>
                <w:szCs w:val="21"/>
              </w:rPr>
            </w:pPr>
            <w:r>
              <w:rPr>
                <w:rFonts w:ascii="Times New Roman" w:eastAsia="Times New Roman" w:hAnsi="Times New Roman" w:cs="Times New Roman"/>
                <w:b/>
                <w:bCs/>
                <w:sz w:val="21"/>
                <w:szCs w:val="21"/>
              </w:rPr>
              <w:t xml:space="preserve">2021 </w:t>
            </w:r>
            <w:r>
              <w:rPr>
                <w:rFonts w:ascii="SimSun" w:eastAsia="SimSun" w:hAnsi="SimSun" w:cs="SimSun"/>
                <w:b/>
                <w:bCs/>
                <w:sz w:val="21"/>
                <w:szCs w:val="21"/>
              </w:rPr>
              <w:t>年</w:t>
            </w:r>
          </w:p>
        </w:tc>
        <w:tc>
          <w:tcPr>
            <w:tcW w:w="1810" w:type="dxa"/>
            <w:vAlign w:val="top"/>
          </w:tcPr>
          <w:p>
            <w:pPr>
              <w:spacing w:before="110" w:line="221" w:lineRule="auto"/>
              <w:ind w:left="569"/>
              <w:rPr>
                <w:rFonts w:ascii="SimSun" w:eastAsia="SimSun" w:hAnsi="SimSun" w:cs="SimSun"/>
                <w:sz w:val="21"/>
                <w:szCs w:val="21"/>
              </w:rPr>
            </w:pPr>
            <w:r>
              <w:rPr>
                <w:rFonts w:ascii="Times New Roman" w:eastAsia="Times New Roman" w:hAnsi="Times New Roman" w:cs="Times New Roman"/>
                <w:b/>
                <w:bCs/>
                <w:spacing w:val="-1"/>
                <w:sz w:val="21"/>
                <w:szCs w:val="21"/>
              </w:rPr>
              <w:t xml:space="preserve">2022 </w:t>
            </w:r>
            <w:r>
              <w:rPr>
                <w:rFonts w:ascii="SimSun" w:eastAsia="SimSun" w:hAnsi="SimSun" w:cs="SimSun"/>
                <w:b/>
                <w:bCs/>
                <w:spacing w:val="-1"/>
                <w:sz w:val="21"/>
                <w:szCs w:val="21"/>
              </w:rPr>
              <w:t>年</w:t>
            </w:r>
          </w:p>
        </w:tc>
        <w:tc>
          <w:tcPr>
            <w:tcW w:w="1810" w:type="dxa"/>
            <w:tcBorders>
              <w:right w:val="nil"/>
            </w:tcBorders>
            <w:vAlign w:val="top"/>
          </w:tcPr>
          <w:p>
            <w:pPr>
              <w:spacing w:before="110" w:line="221" w:lineRule="auto"/>
              <w:ind w:left="266"/>
              <w:rPr>
                <w:rFonts w:ascii="SimSun" w:eastAsia="SimSun" w:hAnsi="SimSun" w:cs="SimSun"/>
                <w:sz w:val="21"/>
                <w:szCs w:val="21"/>
              </w:rPr>
            </w:pPr>
            <w:r>
              <w:rPr>
                <w:rFonts w:ascii="Times New Roman" w:eastAsia="Times New Roman" w:hAnsi="Times New Roman" w:cs="Times New Roman"/>
                <w:b/>
                <w:bCs/>
                <w:spacing w:val="-3"/>
                <w:sz w:val="21"/>
                <w:szCs w:val="21"/>
              </w:rPr>
              <w:t xml:space="preserve">2023 </w:t>
            </w:r>
            <w:r>
              <w:rPr>
                <w:rFonts w:ascii="SimSun" w:eastAsia="SimSun" w:hAnsi="SimSun" w:cs="SimSun"/>
                <w:b/>
                <w:bCs/>
                <w:spacing w:val="-3"/>
                <w:sz w:val="21"/>
                <w:szCs w:val="21"/>
              </w:rPr>
              <w:t>年</w:t>
            </w:r>
            <w:r>
              <w:rPr>
                <w:rFonts w:ascii="SimSun" w:eastAsia="SimSun" w:hAnsi="SimSun" w:cs="SimSun"/>
                <w:spacing w:val="-26"/>
                <w:sz w:val="21"/>
                <w:szCs w:val="21"/>
              </w:rPr>
              <w:t xml:space="preserve"> </w:t>
            </w:r>
            <w:r>
              <w:rPr>
                <w:rFonts w:ascii="Times New Roman" w:eastAsia="Times New Roman" w:hAnsi="Times New Roman" w:cs="Times New Roman"/>
                <w:b/>
                <w:bCs/>
                <w:spacing w:val="-3"/>
                <w:sz w:val="21"/>
                <w:szCs w:val="21"/>
              </w:rPr>
              <w:t>1-9</w:t>
            </w:r>
            <w:r>
              <w:rPr>
                <w:rFonts w:ascii="Times New Roman" w:eastAsia="Times New Roman" w:hAnsi="Times New Roman" w:cs="Times New Roman"/>
                <w:b/>
                <w:bCs/>
                <w:spacing w:val="9"/>
                <w:sz w:val="21"/>
                <w:szCs w:val="21"/>
              </w:rPr>
              <w:t xml:space="preserve"> </w:t>
            </w:r>
            <w:r>
              <w:rPr>
                <w:rFonts w:ascii="SimSun" w:eastAsia="SimSun" w:hAnsi="SimSun" w:cs="SimSun"/>
                <w:b/>
                <w:bCs/>
                <w:spacing w:val="-3"/>
                <w:sz w:val="21"/>
                <w:szCs w:val="21"/>
              </w:rPr>
              <w:t>月</w:t>
            </w:r>
          </w:p>
        </w:tc>
      </w:tr>
      <w:tr>
        <w:tblPrEx>
          <w:tblW w:w="8523" w:type="dxa"/>
          <w:tblInd w:w="14" w:type="dxa"/>
          <w:tblLayout w:type="fixed"/>
        </w:tblPrEx>
        <w:trPr>
          <w:trHeight w:val="403"/>
        </w:trPr>
        <w:tc>
          <w:tcPr>
            <w:tcW w:w="3093" w:type="dxa"/>
            <w:tcBorders>
              <w:left w:val="nil"/>
            </w:tcBorders>
            <w:vAlign w:val="top"/>
          </w:tcPr>
          <w:p>
            <w:pPr>
              <w:spacing w:before="87" w:line="221" w:lineRule="auto"/>
              <w:ind w:left="136"/>
              <w:rPr>
                <w:rFonts w:ascii="SimSun" w:eastAsia="SimSun" w:hAnsi="SimSun" w:cs="SimSun"/>
                <w:sz w:val="21"/>
                <w:szCs w:val="21"/>
              </w:rPr>
            </w:pPr>
            <w:r>
              <w:rPr>
                <w:rFonts w:ascii="SimSun" w:eastAsia="SimSun" w:hAnsi="SimSun" w:cs="SimSun"/>
                <w:spacing w:val="-3"/>
                <w:sz w:val="21"/>
                <w:szCs w:val="21"/>
              </w:rPr>
              <w:t>一、营业收入</w:t>
            </w:r>
          </w:p>
        </w:tc>
        <w:tc>
          <w:tcPr>
            <w:tcW w:w="1810" w:type="dxa"/>
            <w:vAlign w:val="top"/>
          </w:tcPr>
          <w:p>
            <w:pPr>
              <w:spacing w:before="118" w:line="201" w:lineRule="auto"/>
              <w:ind w:left="8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87,705.56</w:t>
            </w:r>
          </w:p>
        </w:tc>
        <w:tc>
          <w:tcPr>
            <w:tcW w:w="1810" w:type="dxa"/>
            <w:vAlign w:val="top"/>
          </w:tcPr>
          <w:p>
            <w:pPr>
              <w:spacing w:before="118" w:line="201"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167,491.78</w:t>
            </w:r>
          </w:p>
        </w:tc>
        <w:tc>
          <w:tcPr>
            <w:tcW w:w="1810" w:type="dxa"/>
            <w:tcBorders>
              <w:right w:val="nil"/>
            </w:tcBorders>
            <w:vAlign w:val="top"/>
          </w:tcPr>
          <w:p>
            <w:pPr>
              <w:spacing w:before="118" w:line="201" w:lineRule="auto"/>
              <w:ind w:left="7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133,496.40</w:t>
            </w:r>
          </w:p>
        </w:tc>
      </w:tr>
      <w:tr>
        <w:tblPrEx>
          <w:tblW w:w="8523" w:type="dxa"/>
          <w:tblInd w:w="14" w:type="dxa"/>
          <w:tblLayout w:type="fixed"/>
        </w:tblPrEx>
        <w:trPr>
          <w:trHeight w:val="398"/>
        </w:trPr>
        <w:tc>
          <w:tcPr>
            <w:tcW w:w="3093" w:type="dxa"/>
            <w:tcBorders>
              <w:left w:val="nil"/>
            </w:tcBorders>
            <w:vAlign w:val="top"/>
          </w:tcPr>
          <w:p>
            <w:pPr>
              <w:spacing w:before="88" w:line="220" w:lineRule="auto"/>
              <w:ind w:left="133"/>
              <w:rPr>
                <w:rFonts w:ascii="SimSun" w:eastAsia="SimSun" w:hAnsi="SimSun" w:cs="SimSun"/>
                <w:sz w:val="21"/>
                <w:szCs w:val="21"/>
              </w:rPr>
            </w:pPr>
            <w:r>
              <w:rPr>
                <w:rFonts w:ascii="SimSun" w:eastAsia="SimSun" w:hAnsi="SimSun" w:cs="SimSun"/>
                <w:spacing w:val="-1"/>
                <w:sz w:val="21"/>
                <w:szCs w:val="21"/>
              </w:rPr>
              <w:t>减：营业成本</w:t>
            </w:r>
          </w:p>
        </w:tc>
        <w:tc>
          <w:tcPr>
            <w:tcW w:w="1810" w:type="dxa"/>
            <w:vAlign w:val="top"/>
          </w:tcPr>
          <w:p>
            <w:pPr>
              <w:spacing w:before="118" w:line="201"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73,359.53</w:t>
            </w:r>
          </w:p>
        </w:tc>
        <w:tc>
          <w:tcPr>
            <w:tcW w:w="1810" w:type="dxa"/>
            <w:vAlign w:val="top"/>
          </w:tcPr>
          <w:p>
            <w:pPr>
              <w:spacing w:before="118" w:line="201"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142,780.09</w:t>
            </w:r>
          </w:p>
        </w:tc>
        <w:tc>
          <w:tcPr>
            <w:tcW w:w="1810" w:type="dxa"/>
            <w:tcBorders>
              <w:right w:val="nil"/>
            </w:tcBorders>
            <w:vAlign w:val="top"/>
          </w:tcPr>
          <w:p>
            <w:pPr>
              <w:spacing w:before="118" w:line="201" w:lineRule="auto"/>
              <w:ind w:left="7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109,068.70</w:t>
            </w:r>
          </w:p>
        </w:tc>
      </w:tr>
      <w:tr>
        <w:tblPrEx>
          <w:tblW w:w="8523" w:type="dxa"/>
          <w:tblInd w:w="14" w:type="dxa"/>
          <w:tblLayout w:type="fixed"/>
        </w:tblPrEx>
        <w:trPr>
          <w:trHeight w:val="403"/>
        </w:trPr>
        <w:tc>
          <w:tcPr>
            <w:tcW w:w="3093" w:type="dxa"/>
            <w:tcBorders>
              <w:left w:val="nil"/>
            </w:tcBorders>
            <w:vAlign w:val="top"/>
          </w:tcPr>
          <w:p>
            <w:pPr>
              <w:spacing w:before="93" w:line="220" w:lineRule="auto"/>
              <w:ind w:left="555"/>
              <w:rPr>
                <w:rFonts w:ascii="SimSun" w:eastAsia="SimSun" w:hAnsi="SimSun" w:cs="SimSun"/>
                <w:sz w:val="21"/>
                <w:szCs w:val="21"/>
              </w:rPr>
            </w:pPr>
            <w:r>
              <w:rPr>
                <w:rFonts w:ascii="SimSun" w:eastAsia="SimSun" w:hAnsi="SimSun" w:cs="SimSun"/>
                <w:spacing w:val="-1"/>
                <w:sz w:val="21"/>
                <w:szCs w:val="21"/>
              </w:rPr>
              <w:t>税金及附加</w:t>
            </w:r>
          </w:p>
        </w:tc>
        <w:tc>
          <w:tcPr>
            <w:tcW w:w="1810" w:type="dxa"/>
            <w:vAlign w:val="top"/>
          </w:tcPr>
          <w:p>
            <w:pPr>
              <w:spacing w:before="127" w:line="187" w:lineRule="auto"/>
              <w:ind w:left="1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792.05</w:t>
            </w:r>
          </w:p>
        </w:tc>
        <w:tc>
          <w:tcPr>
            <w:tcW w:w="1810" w:type="dxa"/>
            <w:vAlign w:val="top"/>
          </w:tcPr>
          <w:p>
            <w:pPr>
              <w:spacing w:before="124"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1,420.57</w:t>
            </w:r>
          </w:p>
        </w:tc>
        <w:tc>
          <w:tcPr>
            <w:tcW w:w="1810" w:type="dxa"/>
            <w:tcBorders>
              <w:right w:val="nil"/>
            </w:tcBorders>
            <w:vAlign w:val="top"/>
          </w:tcPr>
          <w:p>
            <w:pPr>
              <w:spacing w:before="124" w:line="201" w:lineRule="auto"/>
              <w:ind w:left="9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1,586.04</w:t>
            </w:r>
          </w:p>
        </w:tc>
      </w:tr>
      <w:tr>
        <w:tblPrEx>
          <w:tblW w:w="8523" w:type="dxa"/>
          <w:tblInd w:w="14" w:type="dxa"/>
          <w:tblLayout w:type="fixed"/>
        </w:tblPrEx>
        <w:trPr>
          <w:trHeight w:val="403"/>
        </w:trPr>
        <w:tc>
          <w:tcPr>
            <w:tcW w:w="3093" w:type="dxa"/>
            <w:tcBorders>
              <w:left w:val="nil"/>
            </w:tcBorders>
            <w:vAlign w:val="top"/>
          </w:tcPr>
          <w:p>
            <w:pPr>
              <w:spacing w:before="89" w:line="221" w:lineRule="auto"/>
              <w:ind w:left="556"/>
              <w:rPr>
                <w:rFonts w:ascii="SimSun" w:eastAsia="SimSun" w:hAnsi="SimSun" w:cs="SimSun"/>
                <w:sz w:val="21"/>
                <w:szCs w:val="21"/>
              </w:rPr>
            </w:pPr>
            <w:r>
              <w:rPr>
                <w:rFonts w:ascii="SimSun" w:eastAsia="SimSun" w:hAnsi="SimSun" w:cs="SimSun"/>
                <w:spacing w:val="-1"/>
                <w:sz w:val="21"/>
                <w:szCs w:val="21"/>
              </w:rPr>
              <w:t>销售费用</w:t>
            </w:r>
          </w:p>
        </w:tc>
        <w:tc>
          <w:tcPr>
            <w:tcW w:w="1810" w:type="dxa"/>
            <w:vAlign w:val="top"/>
          </w:tcPr>
          <w:p>
            <w:pPr>
              <w:spacing w:before="127"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vAlign w:val="top"/>
          </w:tcPr>
          <w:p>
            <w:pPr>
              <w:spacing w:before="127"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tcBorders>
              <w:right w:val="nil"/>
            </w:tcBorders>
            <w:vAlign w:val="top"/>
          </w:tcPr>
          <w:p>
            <w:pPr>
              <w:spacing w:before="127" w:line="187" w:lineRule="auto"/>
              <w:ind w:left="13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r>
      <w:tr>
        <w:tblPrEx>
          <w:tblW w:w="8523" w:type="dxa"/>
          <w:tblInd w:w="14" w:type="dxa"/>
          <w:tblLayout w:type="fixed"/>
        </w:tblPrEx>
        <w:trPr>
          <w:trHeight w:val="402"/>
        </w:trPr>
        <w:tc>
          <w:tcPr>
            <w:tcW w:w="3093" w:type="dxa"/>
            <w:tcBorders>
              <w:left w:val="nil"/>
            </w:tcBorders>
            <w:vAlign w:val="top"/>
          </w:tcPr>
          <w:p>
            <w:pPr>
              <w:spacing w:before="88" w:line="221" w:lineRule="auto"/>
              <w:ind w:left="560"/>
              <w:rPr>
                <w:rFonts w:ascii="SimSun" w:eastAsia="SimSun" w:hAnsi="SimSun" w:cs="SimSun"/>
                <w:sz w:val="21"/>
                <w:szCs w:val="21"/>
              </w:rPr>
            </w:pPr>
            <w:r>
              <w:rPr>
                <w:rFonts w:ascii="SimSun" w:eastAsia="SimSun" w:hAnsi="SimSun" w:cs="SimSun"/>
                <w:spacing w:val="-2"/>
                <w:sz w:val="21"/>
                <w:szCs w:val="21"/>
              </w:rPr>
              <w:t>管理费用</w:t>
            </w:r>
          </w:p>
        </w:tc>
        <w:tc>
          <w:tcPr>
            <w:tcW w:w="1810" w:type="dxa"/>
            <w:vAlign w:val="top"/>
          </w:tcPr>
          <w:p>
            <w:pPr>
              <w:spacing w:before="122" w:line="187" w:lineRule="auto"/>
              <w:ind w:left="11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853.34</w:t>
            </w:r>
          </w:p>
        </w:tc>
        <w:tc>
          <w:tcPr>
            <w:tcW w:w="1810" w:type="dxa"/>
            <w:vAlign w:val="top"/>
          </w:tcPr>
          <w:p>
            <w:pPr>
              <w:spacing w:before="122" w:line="187" w:lineRule="auto"/>
              <w:ind w:left="11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863.85</w:t>
            </w:r>
          </w:p>
        </w:tc>
        <w:tc>
          <w:tcPr>
            <w:tcW w:w="1810" w:type="dxa"/>
            <w:tcBorders>
              <w:right w:val="nil"/>
            </w:tcBorders>
            <w:vAlign w:val="top"/>
          </w:tcPr>
          <w:p>
            <w:pPr>
              <w:spacing w:before="122" w:line="187" w:lineRule="auto"/>
              <w:ind w:left="11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667.30</w:t>
            </w:r>
          </w:p>
        </w:tc>
      </w:tr>
    </w:tbl>
    <w:p>
      <w:pPr>
        <w:sectPr>
          <w:headerReference w:type="default" r:id="rId65"/>
          <w:footerReference w:type="default" r:id="rId66"/>
          <w:pgSz w:w="11905" w:h="16839"/>
          <w:pgMar w:top="1637" w:right="1638" w:bottom="1579" w:left="1670" w:header="1154" w:footer="1314" w:gutter="0"/>
          <w:pgNumType w:start="31"/>
          <w:cols w:space="708"/>
        </w:sectPr>
      </w:pPr>
    </w:p>
    <w:tbl>
      <w:tblPr>
        <w:tblStyle w:val="TableNormal12"/>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3093" w:type="dxa"/>
            <w:tcBorders>
              <w:left w:val="nil"/>
            </w:tcBorders>
            <w:vAlign w:val="top"/>
          </w:tcPr>
          <w:p>
            <w:pPr>
              <w:spacing w:before="90" w:line="221" w:lineRule="auto"/>
              <w:ind w:left="555"/>
              <w:rPr>
                <w:rFonts w:ascii="SimSun" w:eastAsia="SimSun" w:hAnsi="SimSun" w:cs="SimSun"/>
                <w:sz w:val="21"/>
                <w:szCs w:val="21"/>
              </w:rPr>
            </w:pPr>
            <w:r>
              <w:rPr>
                <w:rFonts w:ascii="SimSun" w:eastAsia="SimSun" w:hAnsi="SimSun" w:cs="SimSun"/>
                <w:spacing w:val="-1"/>
                <w:sz w:val="21"/>
                <w:szCs w:val="21"/>
              </w:rPr>
              <w:t>研发费用</w:t>
            </w:r>
          </w:p>
        </w:tc>
        <w:tc>
          <w:tcPr>
            <w:tcW w:w="1810" w:type="dxa"/>
            <w:vAlign w:val="top"/>
          </w:tcPr>
          <w:p>
            <w:pPr>
              <w:spacing w:before="120"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2,891.62</w:t>
            </w:r>
          </w:p>
        </w:tc>
        <w:tc>
          <w:tcPr>
            <w:tcW w:w="1810" w:type="dxa"/>
            <w:vAlign w:val="top"/>
          </w:tcPr>
          <w:p>
            <w:pPr>
              <w:spacing w:before="120"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5,685.90</w:t>
            </w:r>
          </w:p>
        </w:tc>
        <w:tc>
          <w:tcPr>
            <w:tcW w:w="1810" w:type="dxa"/>
            <w:tcBorders>
              <w:right w:val="nil"/>
            </w:tcBorders>
            <w:vAlign w:val="top"/>
          </w:tcPr>
          <w:p>
            <w:pPr>
              <w:spacing w:before="120" w:line="201" w:lineRule="auto"/>
              <w:ind w:left="970"/>
              <w:rPr>
                <w:rFonts w:ascii="Times New Roman" w:eastAsia="Times New Roman" w:hAnsi="Times New Roman" w:cs="Times New Roman"/>
                <w:sz w:val="21"/>
                <w:szCs w:val="21"/>
              </w:rPr>
            </w:pPr>
            <w:r>
              <w:rPr>
                <w:rFonts w:ascii="Times New Roman" w:eastAsia="Times New Roman" w:hAnsi="Times New Roman" w:cs="Times New Roman"/>
                <w:sz w:val="21"/>
                <w:szCs w:val="21"/>
              </w:rPr>
              <w:t>4,862.54</w:t>
            </w:r>
          </w:p>
        </w:tc>
      </w:tr>
      <w:tr>
        <w:tblPrEx>
          <w:tblW w:w="8523" w:type="dxa"/>
          <w:tblInd w:w="14" w:type="dxa"/>
          <w:tblLayout w:type="fixed"/>
        </w:tblPrEx>
        <w:trPr>
          <w:trHeight w:val="398"/>
        </w:trPr>
        <w:tc>
          <w:tcPr>
            <w:tcW w:w="3093" w:type="dxa"/>
            <w:tcBorders>
              <w:left w:val="nil"/>
            </w:tcBorders>
            <w:vAlign w:val="top"/>
          </w:tcPr>
          <w:p>
            <w:pPr>
              <w:spacing w:before="89" w:line="221" w:lineRule="auto"/>
              <w:ind w:left="556"/>
              <w:rPr>
                <w:rFonts w:ascii="SimSun" w:eastAsia="SimSun" w:hAnsi="SimSun" w:cs="SimSun"/>
                <w:sz w:val="21"/>
                <w:szCs w:val="21"/>
              </w:rPr>
            </w:pPr>
            <w:r>
              <w:rPr>
                <w:rFonts w:ascii="SimSun" w:eastAsia="SimSun" w:hAnsi="SimSun" w:cs="SimSun"/>
                <w:spacing w:val="-1"/>
                <w:sz w:val="21"/>
                <w:szCs w:val="21"/>
              </w:rPr>
              <w:t>财务费用</w:t>
            </w:r>
          </w:p>
        </w:tc>
        <w:tc>
          <w:tcPr>
            <w:tcW w:w="1810" w:type="dxa"/>
            <w:vAlign w:val="top"/>
          </w:tcPr>
          <w:p>
            <w:pPr>
              <w:spacing w:before="120"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5,238.14</w:t>
            </w:r>
          </w:p>
        </w:tc>
        <w:tc>
          <w:tcPr>
            <w:tcW w:w="1810" w:type="dxa"/>
            <w:vAlign w:val="top"/>
          </w:tcPr>
          <w:p>
            <w:pPr>
              <w:spacing w:before="120" w:line="201"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8,001.66</w:t>
            </w:r>
          </w:p>
        </w:tc>
        <w:tc>
          <w:tcPr>
            <w:tcW w:w="1810" w:type="dxa"/>
            <w:tcBorders>
              <w:right w:val="nil"/>
            </w:tcBorders>
            <w:vAlign w:val="top"/>
          </w:tcPr>
          <w:p>
            <w:pPr>
              <w:spacing w:before="120" w:line="201" w:lineRule="auto"/>
              <w:ind w:left="970"/>
              <w:rPr>
                <w:rFonts w:ascii="Times New Roman" w:eastAsia="Times New Roman" w:hAnsi="Times New Roman" w:cs="Times New Roman"/>
                <w:sz w:val="21"/>
                <w:szCs w:val="21"/>
              </w:rPr>
            </w:pPr>
            <w:r>
              <w:rPr>
                <w:rFonts w:ascii="Times New Roman" w:eastAsia="Times New Roman" w:hAnsi="Times New Roman" w:cs="Times New Roman"/>
                <w:sz w:val="21"/>
                <w:szCs w:val="21"/>
              </w:rPr>
              <w:t>4,770.18</w:t>
            </w:r>
          </w:p>
        </w:tc>
      </w:tr>
      <w:tr>
        <w:tblPrEx>
          <w:tblW w:w="8523" w:type="dxa"/>
          <w:tblInd w:w="14" w:type="dxa"/>
          <w:tblLayout w:type="fixed"/>
        </w:tblPrEx>
        <w:trPr>
          <w:trHeight w:val="403"/>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加：其他收益</w:t>
            </w:r>
          </w:p>
        </w:tc>
        <w:tc>
          <w:tcPr>
            <w:tcW w:w="1810" w:type="dxa"/>
            <w:vAlign w:val="top"/>
          </w:tcPr>
          <w:p>
            <w:pPr>
              <w:spacing w:before="125"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1,499.47</w:t>
            </w:r>
          </w:p>
        </w:tc>
        <w:tc>
          <w:tcPr>
            <w:tcW w:w="1810" w:type="dxa"/>
            <w:vAlign w:val="top"/>
          </w:tcPr>
          <w:p>
            <w:pPr>
              <w:spacing w:before="125"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2,032.80</w:t>
            </w:r>
          </w:p>
        </w:tc>
        <w:tc>
          <w:tcPr>
            <w:tcW w:w="1810" w:type="dxa"/>
            <w:tcBorders>
              <w:right w:val="nil"/>
            </w:tcBorders>
            <w:vAlign w:val="top"/>
          </w:tcPr>
          <w:p>
            <w:pPr>
              <w:spacing w:before="125"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2,174.33</w:t>
            </w:r>
          </w:p>
        </w:tc>
      </w:tr>
      <w:tr>
        <w:tblPrEx>
          <w:tblW w:w="8523" w:type="dxa"/>
          <w:tblInd w:w="14" w:type="dxa"/>
          <w:tblLayout w:type="fixed"/>
        </w:tblPrEx>
        <w:trPr>
          <w:trHeight w:val="403"/>
        </w:trPr>
        <w:tc>
          <w:tcPr>
            <w:tcW w:w="3093" w:type="dxa"/>
            <w:tcBorders>
              <w:left w:val="nil"/>
            </w:tcBorders>
            <w:vAlign w:val="top"/>
          </w:tcPr>
          <w:p>
            <w:pPr>
              <w:spacing w:before="90" w:line="221" w:lineRule="auto"/>
              <w:ind w:left="558"/>
              <w:rPr>
                <w:rFonts w:ascii="SimSun" w:eastAsia="SimSun" w:hAnsi="SimSun" w:cs="SimSun"/>
                <w:sz w:val="21"/>
                <w:szCs w:val="21"/>
              </w:rPr>
            </w:pPr>
            <w:r>
              <w:rPr>
                <w:rFonts w:ascii="SimSun" w:eastAsia="SimSun" w:hAnsi="SimSun" w:cs="SimSun"/>
                <w:spacing w:val="-2"/>
                <w:sz w:val="21"/>
                <w:szCs w:val="21"/>
              </w:rPr>
              <w:t>投资收益</w:t>
            </w:r>
          </w:p>
        </w:tc>
        <w:tc>
          <w:tcPr>
            <w:tcW w:w="1810" w:type="dxa"/>
            <w:vAlign w:val="top"/>
          </w:tcPr>
          <w:p>
            <w:pPr>
              <w:spacing w:before="124" w:line="187" w:lineRule="auto"/>
              <w:ind w:left="11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241.18</w:t>
            </w:r>
          </w:p>
        </w:tc>
        <w:tc>
          <w:tcPr>
            <w:tcW w:w="1810" w:type="dxa"/>
            <w:vAlign w:val="top"/>
          </w:tcPr>
          <w:p>
            <w:pPr>
              <w:spacing w:before="124" w:line="187" w:lineRule="auto"/>
              <w:ind w:left="116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17.24</w:t>
            </w:r>
          </w:p>
        </w:tc>
        <w:tc>
          <w:tcPr>
            <w:tcW w:w="1810" w:type="dxa"/>
            <w:tcBorders>
              <w:right w:val="nil"/>
            </w:tcBorders>
            <w:vAlign w:val="top"/>
          </w:tcPr>
          <w:p>
            <w:pPr>
              <w:spacing w:before="124" w:line="187" w:lineRule="auto"/>
              <w:ind w:left="10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-507.45</w:t>
            </w:r>
          </w:p>
        </w:tc>
      </w:tr>
      <w:tr>
        <w:tblPrEx>
          <w:tblW w:w="8523" w:type="dxa"/>
          <w:tblInd w:w="14" w:type="dxa"/>
          <w:tblLayout w:type="fixed"/>
        </w:tblPrEx>
        <w:trPr>
          <w:trHeight w:val="402"/>
        </w:trPr>
        <w:tc>
          <w:tcPr>
            <w:tcW w:w="3093" w:type="dxa"/>
            <w:tcBorders>
              <w:left w:val="nil"/>
            </w:tcBorders>
            <w:vAlign w:val="top"/>
          </w:tcPr>
          <w:p>
            <w:pPr>
              <w:spacing w:before="90" w:line="221" w:lineRule="auto"/>
              <w:ind w:left="565"/>
              <w:rPr>
                <w:rFonts w:ascii="SimSun" w:eastAsia="SimSun" w:hAnsi="SimSun" w:cs="SimSun"/>
                <w:sz w:val="21"/>
                <w:szCs w:val="21"/>
              </w:rPr>
            </w:pPr>
            <w:r>
              <w:rPr>
                <w:rFonts w:ascii="SimSun" w:eastAsia="SimSun" w:hAnsi="SimSun" w:cs="SimSun"/>
                <w:spacing w:val="-2"/>
                <w:sz w:val="21"/>
                <w:szCs w:val="21"/>
              </w:rPr>
              <w:t>资产减值损失</w:t>
            </w:r>
          </w:p>
        </w:tc>
        <w:tc>
          <w:tcPr>
            <w:tcW w:w="1810" w:type="dxa"/>
            <w:vAlign w:val="top"/>
          </w:tcPr>
          <w:p>
            <w:pPr>
              <w:spacing w:before="124"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w:t>
            </w:r>
          </w:p>
        </w:tc>
        <w:tc>
          <w:tcPr>
            <w:tcW w:w="1810" w:type="dxa"/>
            <w:vAlign w:val="top"/>
          </w:tcPr>
          <w:p>
            <w:pPr>
              <w:spacing w:before="124" w:line="187" w:lineRule="auto"/>
              <w:ind w:left="11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-36.01</w:t>
            </w:r>
          </w:p>
        </w:tc>
        <w:tc>
          <w:tcPr>
            <w:tcW w:w="1810" w:type="dxa"/>
            <w:tcBorders>
              <w:right w:val="nil"/>
            </w:tcBorders>
            <w:vAlign w:val="top"/>
          </w:tcPr>
          <w:p>
            <w:pPr>
              <w:spacing w:before="124" w:line="187" w:lineRule="auto"/>
              <w:ind w:left="12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27.15</w:t>
            </w:r>
          </w:p>
        </w:tc>
      </w:tr>
      <w:tr>
        <w:tblPrEx>
          <w:tblW w:w="8523" w:type="dxa"/>
          <w:tblInd w:w="14" w:type="dxa"/>
          <w:tblLayout w:type="fixed"/>
        </w:tblPrEx>
        <w:trPr>
          <w:trHeight w:val="403"/>
        </w:trPr>
        <w:tc>
          <w:tcPr>
            <w:tcW w:w="3093" w:type="dxa"/>
            <w:tcBorders>
              <w:left w:val="nil"/>
            </w:tcBorders>
            <w:vAlign w:val="top"/>
          </w:tcPr>
          <w:p>
            <w:pPr>
              <w:spacing w:before="91" w:line="221" w:lineRule="auto"/>
              <w:ind w:left="555"/>
              <w:rPr>
                <w:rFonts w:ascii="SimSun" w:eastAsia="SimSun" w:hAnsi="SimSun" w:cs="SimSun"/>
                <w:sz w:val="21"/>
                <w:szCs w:val="21"/>
              </w:rPr>
            </w:pPr>
            <w:r>
              <w:rPr>
                <w:rFonts w:ascii="SimSun" w:eastAsia="SimSun" w:hAnsi="SimSun" w:cs="SimSun"/>
                <w:spacing w:val="-1"/>
                <w:sz w:val="21"/>
                <w:szCs w:val="21"/>
              </w:rPr>
              <w:t>信用减值损失</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0.11</w:t>
            </w:r>
          </w:p>
        </w:tc>
        <w:tc>
          <w:tcPr>
            <w:tcW w:w="1810" w:type="dxa"/>
            <w:vAlign w:val="top"/>
          </w:tcPr>
          <w:p>
            <w:pPr>
              <w:spacing w:before="125" w:line="187" w:lineRule="auto"/>
              <w:ind w:left="10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-261.63</w:t>
            </w:r>
          </w:p>
        </w:tc>
        <w:tc>
          <w:tcPr>
            <w:tcW w:w="1810" w:type="dxa"/>
            <w:tcBorders>
              <w:right w:val="nil"/>
            </w:tcBorders>
            <w:vAlign w:val="top"/>
          </w:tcPr>
          <w:p>
            <w:pPr>
              <w:spacing w:before="125" w:line="187" w:lineRule="auto"/>
              <w:ind w:left="11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221.40</w:t>
            </w:r>
          </w:p>
        </w:tc>
      </w:tr>
      <w:tr>
        <w:tblPrEx>
          <w:tblW w:w="8523" w:type="dxa"/>
          <w:tblInd w:w="14" w:type="dxa"/>
          <w:tblLayout w:type="fixed"/>
        </w:tblPrEx>
        <w:trPr>
          <w:trHeight w:val="426"/>
        </w:trPr>
        <w:tc>
          <w:tcPr>
            <w:tcW w:w="3093" w:type="dxa"/>
            <w:tcBorders>
              <w:left w:val="nil"/>
            </w:tcBorders>
            <w:vAlign w:val="top"/>
          </w:tcPr>
          <w:p>
            <w:pPr>
              <w:spacing w:before="91" w:line="221" w:lineRule="auto"/>
              <w:ind w:left="565"/>
              <w:rPr>
                <w:rFonts w:ascii="SimSun" w:eastAsia="SimSun" w:hAnsi="SimSun" w:cs="SimSun"/>
                <w:sz w:val="21"/>
                <w:szCs w:val="21"/>
              </w:rPr>
            </w:pPr>
            <w:r>
              <w:rPr>
                <w:rFonts w:ascii="SimSun" w:eastAsia="SimSun" w:hAnsi="SimSun" w:cs="SimSun"/>
                <w:spacing w:val="-2"/>
                <w:sz w:val="21"/>
                <w:szCs w:val="21"/>
              </w:rPr>
              <w:t>资产处置收益</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tcBorders>
              <w:right w:val="nil"/>
            </w:tcBorders>
            <w:vAlign w:val="top"/>
          </w:tcPr>
          <w:p>
            <w:pPr>
              <w:spacing w:before="125" w:line="187" w:lineRule="auto"/>
              <w:ind w:left="13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w:t>
            </w:r>
          </w:p>
        </w:tc>
      </w:tr>
    </w:tbl>
    <w:p>
      <w:pPr>
        <w:rPr>
          <w:rFonts w:ascii="Arial"/>
          <w:sz w:val="21"/>
        </w:rPr>
      </w:pPr>
    </w:p>
    <w:p>
      <w:pPr>
        <w:rPr>
          <w:rFonts w:ascii="Arial" w:eastAsia="Arial" w:hAnsi="Arial" w:cs="Arial"/>
          <w:sz w:val="21"/>
          <w:szCs w:val="21"/>
        </w:rPr>
        <w:sectPr>
          <w:headerReference w:type="default" r:id="rId67"/>
          <w:footerReference w:type="default" r:id="rId68"/>
          <w:type w:val="nextPage"/>
          <w:pgSz w:w="11905" w:h="16839"/>
          <w:pgMar w:top="1637" w:right="1638" w:bottom="1579" w:left="1670" w:header="1154" w:footer="1314" w:gutter="0"/>
          <w:pgNumType w:start="32"/>
          <w:cols w:space="708"/>
          <w:titlePg w:val="0"/>
        </w:sectPr>
      </w:pPr>
    </w:p>
    <w:p>
      <w:pPr>
        <w:spacing w:before="32"/>
      </w:pPr>
    </w:p>
    <w:tbl>
      <w:tblPr>
        <w:tblStyle w:val="TableNormal13"/>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3093" w:type="dxa"/>
            <w:tcBorders>
              <w:left w:val="nil"/>
            </w:tcBorders>
            <w:vAlign w:val="top"/>
          </w:tcPr>
          <w:p>
            <w:pPr>
              <w:spacing w:before="116" w:line="221" w:lineRule="auto"/>
              <w:ind w:left="1356"/>
              <w:rPr>
                <w:rFonts w:ascii="SimSun" w:eastAsia="SimSun" w:hAnsi="SimSun" w:cs="SimSun"/>
                <w:sz w:val="21"/>
                <w:szCs w:val="21"/>
              </w:rPr>
            </w:pPr>
            <w:r>
              <w:rPr>
                <w:rFonts w:ascii="SimSun" w:eastAsia="SimSun" w:hAnsi="SimSun" w:cs="SimSun"/>
                <w:b/>
                <w:bCs/>
                <w:spacing w:val="-5"/>
                <w:sz w:val="21"/>
                <w:szCs w:val="21"/>
              </w:rPr>
              <w:t>项目</w:t>
            </w:r>
          </w:p>
        </w:tc>
        <w:tc>
          <w:tcPr>
            <w:tcW w:w="1810" w:type="dxa"/>
            <w:vAlign w:val="top"/>
          </w:tcPr>
          <w:p>
            <w:pPr>
              <w:spacing w:before="115" w:line="221" w:lineRule="auto"/>
              <w:ind w:left="568"/>
              <w:rPr>
                <w:rFonts w:ascii="SimSun" w:eastAsia="SimSun" w:hAnsi="SimSun" w:cs="SimSun"/>
                <w:sz w:val="21"/>
                <w:szCs w:val="21"/>
              </w:rPr>
            </w:pPr>
            <w:r>
              <w:rPr>
                <w:rFonts w:ascii="Times New Roman" w:eastAsia="Times New Roman" w:hAnsi="Times New Roman" w:cs="Times New Roman"/>
                <w:b/>
                <w:bCs/>
                <w:sz w:val="21"/>
                <w:szCs w:val="21"/>
              </w:rPr>
              <w:t xml:space="preserve">2021 </w:t>
            </w:r>
            <w:r>
              <w:rPr>
                <w:rFonts w:ascii="SimSun" w:eastAsia="SimSun" w:hAnsi="SimSun" w:cs="SimSun"/>
                <w:b/>
                <w:bCs/>
                <w:sz w:val="21"/>
                <w:szCs w:val="21"/>
              </w:rPr>
              <w:t>年</w:t>
            </w:r>
          </w:p>
        </w:tc>
        <w:tc>
          <w:tcPr>
            <w:tcW w:w="1810" w:type="dxa"/>
            <w:vAlign w:val="top"/>
          </w:tcPr>
          <w:p>
            <w:pPr>
              <w:spacing w:before="115" w:line="221" w:lineRule="auto"/>
              <w:ind w:left="569"/>
              <w:rPr>
                <w:rFonts w:ascii="SimSun" w:eastAsia="SimSun" w:hAnsi="SimSun" w:cs="SimSun"/>
                <w:sz w:val="21"/>
                <w:szCs w:val="21"/>
              </w:rPr>
            </w:pPr>
            <w:r>
              <w:rPr>
                <w:rFonts w:ascii="Times New Roman" w:eastAsia="Times New Roman" w:hAnsi="Times New Roman" w:cs="Times New Roman"/>
                <w:b/>
                <w:bCs/>
                <w:spacing w:val="-1"/>
                <w:sz w:val="21"/>
                <w:szCs w:val="21"/>
              </w:rPr>
              <w:t xml:space="preserve">2022 </w:t>
            </w:r>
            <w:r>
              <w:rPr>
                <w:rFonts w:ascii="SimSun" w:eastAsia="SimSun" w:hAnsi="SimSun" w:cs="SimSun"/>
                <w:b/>
                <w:bCs/>
                <w:spacing w:val="-1"/>
                <w:sz w:val="21"/>
                <w:szCs w:val="21"/>
              </w:rPr>
              <w:t>年</w:t>
            </w:r>
          </w:p>
        </w:tc>
        <w:tc>
          <w:tcPr>
            <w:tcW w:w="1810" w:type="dxa"/>
            <w:tcBorders>
              <w:right w:val="nil"/>
            </w:tcBorders>
            <w:vAlign w:val="top"/>
          </w:tcPr>
          <w:p>
            <w:pPr>
              <w:spacing w:before="115" w:line="221" w:lineRule="auto"/>
              <w:ind w:left="266"/>
              <w:rPr>
                <w:rFonts w:ascii="SimSun" w:eastAsia="SimSun" w:hAnsi="SimSun" w:cs="SimSun"/>
                <w:sz w:val="21"/>
                <w:szCs w:val="21"/>
              </w:rPr>
            </w:pPr>
            <w:r>
              <w:rPr>
                <w:rFonts w:ascii="Times New Roman" w:eastAsia="Times New Roman" w:hAnsi="Times New Roman" w:cs="Times New Roman"/>
                <w:b/>
                <w:bCs/>
                <w:spacing w:val="-3"/>
                <w:sz w:val="21"/>
                <w:szCs w:val="21"/>
              </w:rPr>
              <w:t xml:space="preserve">2023 </w:t>
            </w:r>
            <w:r>
              <w:rPr>
                <w:rFonts w:ascii="SimSun" w:eastAsia="SimSun" w:hAnsi="SimSun" w:cs="SimSun"/>
                <w:b/>
                <w:bCs/>
                <w:spacing w:val="-3"/>
                <w:sz w:val="21"/>
                <w:szCs w:val="21"/>
              </w:rPr>
              <w:t>年</w:t>
            </w:r>
            <w:r>
              <w:rPr>
                <w:rFonts w:ascii="SimSun" w:eastAsia="SimSun" w:hAnsi="SimSun" w:cs="SimSun"/>
                <w:spacing w:val="-26"/>
                <w:sz w:val="21"/>
                <w:szCs w:val="21"/>
              </w:rPr>
              <w:t xml:space="preserve"> </w:t>
            </w:r>
            <w:r>
              <w:rPr>
                <w:rFonts w:ascii="Times New Roman" w:eastAsia="Times New Roman" w:hAnsi="Times New Roman" w:cs="Times New Roman"/>
                <w:b/>
                <w:bCs/>
                <w:spacing w:val="-3"/>
                <w:sz w:val="21"/>
                <w:szCs w:val="21"/>
              </w:rPr>
              <w:t>1-9</w:t>
            </w:r>
            <w:r>
              <w:rPr>
                <w:rFonts w:ascii="Times New Roman" w:eastAsia="Times New Roman" w:hAnsi="Times New Roman" w:cs="Times New Roman"/>
                <w:b/>
                <w:bCs/>
                <w:spacing w:val="9"/>
                <w:sz w:val="21"/>
                <w:szCs w:val="21"/>
              </w:rPr>
              <w:t xml:space="preserve"> </w:t>
            </w:r>
            <w:r>
              <w:rPr>
                <w:rFonts w:ascii="SimSun" w:eastAsia="SimSun" w:hAnsi="SimSun" w:cs="SimSun"/>
                <w:b/>
                <w:bCs/>
                <w:spacing w:val="-3"/>
                <w:sz w:val="21"/>
                <w:szCs w:val="21"/>
              </w:rPr>
              <w:t>月</w:t>
            </w:r>
          </w:p>
        </w:tc>
      </w:tr>
      <w:tr>
        <w:tblPrEx>
          <w:tblW w:w="8523" w:type="dxa"/>
          <w:tblInd w:w="14" w:type="dxa"/>
          <w:tblLayout w:type="fixed"/>
        </w:tblPrEx>
        <w:trPr>
          <w:trHeight w:val="403"/>
        </w:trPr>
        <w:tc>
          <w:tcPr>
            <w:tcW w:w="3093" w:type="dxa"/>
            <w:tcBorders>
              <w:left w:val="nil"/>
            </w:tcBorders>
            <w:vAlign w:val="top"/>
          </w:tcPr>
          <w:p>
            <w:pPr>
              <w:spacing w:before="89" w:line="221" w:lineRule="auto"/>
              <w:ind w:left="136"/>
              <w:rPr>
                <w:rFonts w:ascii="SimSun" w:eastAsia="SimSun" w:hAnsi="SimSun" w:cs="SimSun"/>
                <w:sz w:val="21"/>
                <w:szCs w:val="21"/>
              </w:rPr>
            </w:pPr>
            <w:r>
              <w:rPr>
                <w:rFonts w:ascii="SimSun" w:eastAsia="SimSun" w:hAnsi="SimSun" w:cs="SimSun"/>
                <w:spacing w:val="-1"/>
                <w:sz w:val="21"/>
                <w:szCs w:val="21"/>
              </w:rPr>
              <w:t>二、营业利润</w:t>
            </w:r>
          </w:p>
        </w:tc>
        <w:tc>
          <w:tcPr>
            <w:tcW w:w="1810" w:type="dxa"/>
            <w:vAlign w:val="top"/>
          </w:tcPr>
          <w:p>
            <w:pPr>
              <w:spacing w:before="124" w:line="201"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6,311.62</w:t>
            </w:r>
          </w:p>
        </w:tc>
        <w:tc>
          <w:tcPr>
            <w:tcW w:w="1810" w:type="dxa"/>
            <w:vAlign w:val="top"/>
          </w:tcPr>
          <w:p>
            <w:pPr>
              <w:spacing w:before="124"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10,457.63</w:t>
            </w:r>
          </w:p>
        </w:tc>
        <w:tc>
          <w:tcPr>
            <w:tcW w:w="1810" w:type="dxa"/>
            <w:tcBorders>
              <w:right w:val="nil"/>
            </w:tcBorders>
            <w:vAlign w:val="top"/>
          </w:tcPr>
          <w:p>
            <w:pPr>
              <w:spacing w:before="124"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14,457.06</w:t>
            </w:r>
          </w:p>
        </w:tc>
      </w:tr>
      <w:tr>
        <w:tblPrEx>
          <w:tblW w:w="8523" w:type="dxa"/>
          <w:tblInd w:w="14" w:type="dxa"/>
          <w:tblLayout w:type="fixed"/>
        </w:tblPrEx>
        <w:trPr>
          <w:trHeight w:val="402"/>
        </w:trPr>
        <w:tc>
          <w:tcPr>
            <w:tcW w:w="3093" w:type="dxa"/>
            <w:tcBorders>
              <w:left w:val="nil"/>
            </w:tcBorders>
            <w:vAlign w:val="top"/>
          </w:tcPr>
          <w:p>
            <w:pPr>
              <w:spacing w:before="88" w:line="221" w:lineRule="auto"/>
              <w:ind w:left="133"/>
              <w:rPr>
                <w:rFonts w:ascii="SimSun" w:eastAsia="SimSun" w:hAnsi="SimSun" w:cs="SimSun"/>
                <w:sz w:val="21"/>
                <w:szCs w:val="21"/>
              </w:rPr>
            </w:pPr>
            <w:r>
              <w:rPr>
                <w:rFonts w:ascii="SimSun" w:eastAsia="SimSun" w:hAnsi="SimSun" w:cs="SimSun"/>
                <w:spacing w:val="-1"/>
                <w:sz w:val="21"/>
                <w:szCs w:val="21"/>
              </w:rPr>
              <w:t>加：营业外收入</w:t>
            </w:r>
          </w:p>
        </w:tc>
        <w:tc>
          <w:tcPr>
            <w:tcW w:w="1810" w:type="dxa"/>
            <w:vAlign w:val="top"/>
          </w:tcPr>
          <w:p>
            <w:pPr>
              <w:spacing w:before="122" w:line="187" w:lineRule="auto"/>
              <w:ind w:left="135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1.54</w:t>
            </w:r>
          </w:p>
        </w:tc>
        <w:tc>
          <w:tcPr>
            <w:tcW w:w="1810" w:type="dxa"/>
            <w:vAlign w:val="top"/>
          </w:tcPr>
          <w:p>
            <w:pPr>
              <w:spacing w:before="122" w:line="187" w:lineRule="auto"/>
              <w:ind w:left="115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131.99</w:t>
            </w:r>
          </w:p>
        </w:tc>
        <w:tc>
          <w:tcPr>
            <w:tcW w:w="1810" w:type="dxa"/>
            <w:tcBorders>
              <w:right w:val="nil"/>
            </w:tcBorders>
            <w:vAlign w:val="top"/>
          </w:tcPr>
          <w:p>
            <w:pPr>
              <w:spacing w:before="122" w:line="187" w:lineRule="auto"/>
              <w:ind w:left="13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2.94</w:t>
            </w:r>
          </w:p>
        </w:tc>
      </w:tr>
      <w:tr>
        <w:tblPrEx>
          <w:tblW w:w="8523" w:type="dxa"/>
          <w:tblInd w:w="14" w:type="dxa"/>
          <w:tblLayout w:type="fixed"/>
        </w:tblPrEx>
        <w:trPr>
          <w:trHeight w:val="402"/>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减：营业外支出</w:t>
            </w:r>
          </w:p>
        </w:tc>
        <w:tc>
          <w:tcPr>
            <w:tcW w:w="1810" w:type="dxa"/>
            <w:vAlign w:val="top"/>
          </w:tcPr>
          <w:p>
            <w:pPr>
              <w:spacing w:before="123" w:line="187" w:lineRule="auto"/>
              <w:ind w:left="135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1.38</w:t>
            </w:r>
          </w:p>
        </w:tc>
        <w:tc>
          <w:tcPr>
            <w:tcW w:w="1810" w:type="dxa"/>
            <w:vAlign w:val="top"/>
          </w:tcPr>
          <w:p>
            <w:pPr>
              <w:spacing w:before="123" w:line="187" w:lineRule="auto"/>
              <w:ind w:left="12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80.50</w:t>
            </w:r>
          </w:p>
        </w:tc>
        <w:tc>
          <w:tcPr>
            <w:tcW w:w="1810" w:type="dxa"/>
            <w:tcBorders>
              <w:right w:val="nil"/>
            </w:tcBorders>
            <w:vAlign w:val="top"/>
          </w:tcPr>
          <w:p>
            <w:pPr>
              <w:spacing w:before="123" w:line="187" w:lineRule="auto"/>
              <w:ind w:left="11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359.55</w:t>
            </w:r>
          </w:p>
        </w:tc>
      </w:tr>
      <w:tr>
        <w:tblPrEx>
          <w:tblW w:w="8523" w:type="dxa"/>
          <w:tblInd w:w="14" w:type="dxa"/>
          <w:tblLayout w:type="fixed"/>
        </w:tblPrEx>
        <w:trPr>
          <w:trHeight w:val="398"/>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三、利润总额</w:t>
            </w:r>
          </w:p>
        </w:tc>
        <w:tc>
          <w:tcPr>
            <w:tcW w:w="1810" w:type="dxa"/>
            <w:vAlign w:val="top"/>
          </w:tcPr>
          <w:p>
            <w:pPr>
              <w:spacing w:before="121" w:line="201"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6,311.78</w:t>
            </w:r>
          </w:p>
        </w:tc>
        <w:tc>
          <w:tcPr>
            <w:tcW w:w="1810" w:type="dxa"/>
            <w:vAlign w:val="top"/>
          </w:tcPr>
          <w:p>
            <w:pPr>
              <w:spacing w:before="121"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10,509.12</w:t>
            </w:r>
          </w:p>
        </w:tc>
        <w:tc>
          <w:tcPr>
            <w:tcW w:w="1810" w:type="dxa"/>
            <w:tcBorders>
              <w:right w:val="nil"/>
            </w:tcBorders>
            <w:vAlign w:val="top"/>
          </w:tcPr>
          <w:p>
            <w:pPr>
              <w:spacing w:before="121"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14,100.45</w:t>
            </w:r>
          </w:p>
        </w:tc>
      </w:tr>
      <w:tr>
        <w:tblPrEx>
          <w:tblW w:w="8523" w:type="dxa"/>
          <w:tblInd w:w="14" w:type="dxa"/>
          <w:tblLayout w:type="fixed"/>
        </w:tblPrEx>
        <w:trPr>
          <w:trHeight w:val="403"/>
        </w:trPr>
        <w:tc>
          <w:tcPr>
            <w:tcW w:w="3093" w:type="dxa"/>
            <w:tcBorders>
              <w:left w:val="nil"/>
            </w:tcBorders>
            <w:vAlign w:val="top"/>
          </w:tcPr>
          <w:p>
            <w:pPr>
              <w:spacing w:before="91" w:line="234" w:lineRule="auto"/>
              <w:ind w:left="133"/>
              <w:rPr>
                <w:rFonts w:ascii="SimSun" w:eastAsia="SimSun" w:hAnsi="SimSun" w:cs="SimSun"/>
                <w:sz w:val="21"/>
                <w:szCs w:val="21"/>
              </w:rPr>
            </w:pPr>
            <w:r>
              <w:rPr>
                <w:rFonts w:ascii="SimSun" w:eastAsia="SimSun" w:hAnsi="SimSun" w:cs="SimSun"/>
                <w:spacing w:val="-1"/>
                <w:sz w:val="21"/>
                <w:szCs w:val="21"/>
              </w:rPr>
              <w:t>减</w:t>
            </w:r>
            <w:r>
              <w:rPr>
                <w:rFonts w:ascii="Times New Roman" w:eastAsia="Times New Roman" w:hAnsi="Times New Roman" w:cs="Times New Roman"/>
                <w:spacing w:val="-1"/>
                <w:sz w:val="21"/>
                <w:szCs w:val="21"/>
              </w:rPr>
              <w:t>:</w:t>
            </w:r>
            <w:r>
              <w:rPr>
                <w:rFonts w:ascii="SimSun" w:eastAsia="SimSun" w:hAnsi="SimSun" w:cs="SimSun"/>
                <w:spacing w:val="-1"/>
                <w:sz w:val="21"/>
                <w:szCs w:val="21"/>
              </w:rPr>
              <w:t>所得税费用</w:t>
            </w:r>
          </w:p>
        </w:tc>
        <w:tc>
          <w:tcPr>
            <w:tcW w:w="1810" w:type="dxa"/>
            <w:vAlign w:val="top"/>
          </w:tcPr>
          <w:p>
            <w:pPr>
              <w:spacing w:before="126"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1,104.95</w:t>
            </w:r>
          </w:p>
        </w:tc>
        <w:tc>
          <w:tcPr>
            <w:tcW w:w="1810" w:type="dxa"/>
            <w:vAlign w:val="top"/>
          </w:tcPr>
          <w:p>
            <w:pPr>
              <w:spacing w:before="126"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1,327.34</w:t>
            </w:r>
          </w:p>
        </w:tc>
        <w:tc>
          <w:tcPr>
            <w:tcW w:w="1810" w:type="dxa"/>
            <w:tcBorders>
              <w:right w:val="nil"/>
            </w:tcBorders>
            <w:vAlign w:val="top"/>
          </w:tcPr>
          <w:p>
            <w:pPr>
              <w:spacing w:before="126" w:line="201" w:lineRule="auto"/>
              <w:ind w:left="9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1,760.15</w:t>
            </w:r>
          </w:p>
        </w:tc>
      </w:tr>
      <w:tr>
        <w:tblPrEx>
          <w:tblW w:w="8523" w:type="dxa"/>
          <w:tblInd w:w="14" w:type="dxa"/>
          <w:tblLayout w:type="fixed"/>
        </w:tblPrEx>
        <w:trPr>
          <w:trHeight w:val="426"/>
        </w:trPr>
        <w:tc>
          <w:tcPr>
            <w:tcW w:w="3093" w:type="dxa"/>
            <w:tcBorders>
              <w:left w:val="nil"/>
            </w:tcBorders>
            <w:vAlign w:val="top"/>
          </w:tcPr>
          <w:p>
            <w:pPr>
              <w:spacing w:before="91" w:line="221" w:lineRule="auto"/>
              <w:ind w:left="152"/>
              <w:rPr>
                <w:rFonts w:ascii="SimSun" w:eastAsia="SimSun" w:hAnsi="SimSun" w:cs="SimSun"/>
                <w:sz w:val="21"/>
                <w:szCs w:val="21"/>
              </w:rPr>
            </w:pPr>
            <w:r>
              <w:rPr>
                <w:rFonts w:ascii="SimSun" w:eastAsia="SimSun" w:hAnsi="SimSun" w:cs="SimSun"/>
                <w:spacing w:val="-4"/>
                <w:sz w:val="21"/>
                <w:szCs w:val="21"/>
              </w:rPr>
              <w:t>四、净利润</w:t>
            </w:r>
          </w:p>
        </w:tc>
        <w:tc>
          <w:tcPr>
            <w:tcW w:w="1810" w:type="dxa"/>
            <w:vAlign w:val="top"/>
          </w:tcPr>
          <w:p>
            <w:pPr>
              <w:spacing w:before="126"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5,206.84</w:t>
            </w:r>
          </w:p>
        </w:tc>
        <w:tc>
          <w:tcPr>
            <w:tcW w:w="1810" w:type="dxa"/>
            <w:vAlign w:val="top"/>
          </w:tcPr>
          <w:p>
            <w:pPr>
              <w:spacing w:before="126" w:line="201" w:lineRule="auto"/>
              <w:ind w:left="9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9,181.77</w:t>
            </w:r>
          </w:p>
        </w:tc>
        <w:tc>
          <w:tcPr>
            <w:tcW w:w="1810" w:type="dxa"/>
            <w:tcBorders>
              <w:right w:val="nil"/>
            </w:tcBorders>
            <w:vAlign w:val="top"/>
          </w:tcPr>
          <w:p>
            <w:pPr>
              <w:spacing w:before="126"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12,340.30</w:t>
            </w:r>
          </w:p>
        </w:tc>
      </w:tr>
    </w:tbl>
    <w:p>
      <w:pPr>
        <w:pStyle w:val="BodyText"/>
        <w:spacing w:before="168" w:line="451" w:lineRule="exact"/>
        <w:ind w:right="53"/>
        <w:jc w:val="right"/>
      </w:pPr>
      <w:r>
        <w:rPr>
          <w:spacing w:val="-12"/>
          <w:position w:val="15"/>
        </w:rPr>
        <w:t>上表中列示的财务数据，</w:t>
      </w:r>
      <w:r>
        <w:rPr>
          <w:spacing w:val="62"/>
          <w:position w:val="15"/>
        </w:rPr>
        <w:t xml:space="preserve"> </w:t>
      </w:r>
      <w:r>
        <w:rPr>
          <w:spacing w:val="-12"/>
          <w:position w:val="15"/>
        </w:rPr>
        <w:t>业经天职国际会计师事务所（特殊普通合伙）</w:t>
      </w:r>
      <w:r>
        <w:rPr>
          <w:spacing w:val="-35"/>
          <w:position w:val="15"/>
        </w:rPr>
        <w:t xml:space="preserve"> </w:t>
      </w:r>
      <w:r>
        <w:rPr>
          <w:spacing w:val="-12"/>
          <w:position w:val="15"/>
        </w:rPr>
        <w:t>审计并</w:t>
      </w:r>
    </w:p>
    <w:p>
      <w:pPr>
        <w:pStyle w:val="BodyText"/>
        <w:spacing w:line="215" w:lineRule="auto"/>
        <w:ind w:left="58"/>
      </w:pPr>
      <w:r>
        <w:rPr>
          <w:spacing w:val="-1"/>
        </w:rPr>
        <w:t>出具天职业字</w:t>
      </w:r>
      <w:r>
        <w:rPr>
          <w:rFonts w:ascii="Times New Roman" w:eastAsia="Times New Roman" w:hAnsi="Times New Roman" w:cs="Times New Roman"/>
          <w:spacing w:val="-1"/>
        </w:rPr>
        <w:t xml:space="preserve">[2023]51586 </w:t>
      </w:r>
      <w:r>
        <w:rPr>
          <w:spacing w:val="-1"/>
        </w:rPr>
        <w:t>号标准无保留意见审计报告。</w:t>
      </w:r>
    </w:p>
    <w:p>
      <w:pPr>
        <w:pStyle w:val="BodyText"/>
        <w:spacing w:before="229" w:line="218" w:lineRule="auto"/>
        <w:ind w:left="517"/>
      </w:pPr>
      <w:r>
        <w:rPr>
          <w:rFonts w:ascii="Times New Roman" w:eastAsia="Times New Roman" w:hAnsi="Times New Roman" w:cs="Times New Roman"/>
          <w:b/>
          <w:bCs/>
          <w:spacing w:val="-5"/>
        </w:rPr>
        <w:t>5</w:t>
      </w:r>
      <w:r>
        <w:rPr>
          <w:rFonts w:ascii="Times New Roman" w:eastAsia="Times New Roman" w:hAnsi="Times New Roman" w:cs="Times New Roman"/>
          <w:b/>
          <w:bCs/>
          <w:spacing w:val="-23"/>
        </w:rPr>
        <w:t xml:space="preserve"> </w:t>
      </w:r>
      <w:r>
        <w:rPr>
          <w:b/>
          <w:bCs/>
          <w:spacing w:val="-5"/>
        </w:rPr>
        <w:t>．委托人和被评估单位的关系</w:t>
      </w:r>
    </w:p>
    <w:p>
      <w:pPr>
        <w:pStyle w:val="BodyText"/>
        <w:spacing w:before="225" w:line="218" w:lineRule="auto"/>
        <w:ind w:left="517"/>
      </w:pPr>
      <w:r>
        <w:rPr>
          <w:spacing w:val="-1"/>
        </w:rPr>
        <w:t>委托人和被评估单位系同一实控人。</w:t>
      </w:r>
    </w:p>
    <w:p>
      <w:pPr>
        <w:pStyle w:val="BodyText"/>
        <w:spacing w:before="225" w:line="218" w:lineRule="auto"/>
        <w:ind w:left="525"/>
      </w:pPr>
      <w:r>
        <w:rPr>
          <w:b/>
          <w:bCs/>
          <w:spacing w:val="-2"/>
        </w:rPr>
        <w:t>（三）资产评估委托合同约定的其他资产评估报告</w:t>
      </w:r>
      <w:r>
        <w:rPr>
          <w:b/>
          <w:bCs/>
          <w:spacing w:val="-3"/>
        </w:rPr>
        <w:t>使用人概况</w:t>
      </w:r>
    </w:p>
    <w:p>
      <w:pPr>
        <w:pStyle w:val="BodyText"/>
        <w:spacing w:before="158" w:line="466" w:lineRule="exact"/>
        <w:ind w:left="518"/>
      </w:pPr>
      <w:r>
        <w:rPr>
          <w:spacing w:val="-8"/>
          <w:position w:val="17"/>
        </w:rPr>
        <w:t>根据资产评估委托合同的约定，</w:t>
      </w:r>
      <w:r>
        <w:rPr>
          <w:spacing w:val="-34"/>
          <w:position w:val="17"/>
        </w:rPr>
        <w:t xml:space="preserve"> </w:t>
      </w:r>
      <w:r>
        <w:rPr>
          <w:spacing w:val="-8"/>
          <w:position w:val="17"/>
        </w:rPr>
        <w:t>除委托人和法律、行政法</w:t>
      </w:r>
      <w:r>
        <w:rPr>
          <w:spacing w:val="-9"/>
          <w:position w:val="17"/>
        </w:rPr>
        <w:t>规规定的使用人外，</w:t>
      </w:r>
    </w:p>
    <w:p>
      <w:pPr>
        <w:pStyle w:val="BodyText"/>
        <w:spacing w:line="218" w:lineRule="auto"/>
        <w:ind w:left="39"/>
      </w:pPr>
      <w:r>
        <w:rPr>
          <w:spacing w:val="-1"/>
        </w:rPr>
        <w:t>本资产评估报告无其他使用人。</w:t>
      </w:r>
    </w:p>
    <w:p>
      <w:pPr>
        <w:pStyle w:val="BodyText"/>
        <w:spacing w:before="293" w:line="224" w:lineRule="auto"/>
        <w:ind w:left="471"/>
        <w:outlineLvl w:val="0"/>
        <w:rPr>
          <w:sz w:val="27"/>
          <w:szCs w:val="27"/>
        </w:rPr>
      </w:pPr>
      <w:r>
        <w:rPr>
          <w:b/>
          <w:bCs/>
          <w:spacing w:val="5"/>
          <w:sz w:val="27"/>
          <w:szCs w:val="27"/>
        </w:rPr>
        <w:t>二、评估目的</w:t>
      </w:r>
    </w:p>
    <w:p>
      <w:pPr>
        <w:pStyle w:val="BodyText"/>
        <w:spacing w:before="205" w:line="346" w:lineRule="auto"/>
        <w:ind w:left="40" w:right="52" w:firstLine="478"/>
        <w:jc w:val="both"/>
      </w:pPr>
      <w:r>
        <w:rPr>
          <w:spacing w:val="-3"/>
        </w:rPr>
        <w:t>根据</w:t>
      </w:r>
      <w:r>
        <w:rPr>
          <w:spacing w:val="-39"/>
        </w:rPr>
        <w:t xml:space="preserve"> </w:t>
      </w:r>
      <w:r>
        <w:rPr>
          <w:rFonts w:ascii="Times New Roman" w:eastAsia="Times New Roman" w:hAnsi="Times New Roman" w:cs="Times New Roman"/>
          <w:spacing w:val="-3"/>
        </w:rPr>
        <w:t>2023</w:t>
      </w:r>
      <w:r>
        <w:rPr>
          <w:rFonts w:ascii="Times New Roman" w:eastAsia="Times New Roman" w:hAnsi="Times New Roman" w:cs="Times New Roman"/>
          <w:spacing w:val="28"/>
        </w:rPr>
        <w:t xml:space="preserve"> </w:t>
      </w:r>
      <w:r>
        <w:rPr>
          <w:spacing w:val="-3"/>
        </w:rPr>
        <w:t xml:space="preserve">年 </w:t>
      </w:r>
      <w:r>
        <w:rPr>
          <w:rFonts w:ascii="Times New Roman" w:eastAsia="Times New Roman" w:hAnsi="Times New Roman" w:cs="Times New Roman"/>
          <w:spacing w:val="-3"/>
        </w:rPr>
        <w:t>11</w:t>
      </w:r>
      <w:r>
        <w:rPr>
          <w:rFonts w:ascii="Times New Roman" w:eastAsia="Times New Roman" w:hAnsi="Times New Roman" w:cs="Times New Roman"/>
          <w:spacing w:val="32"/>
        </w:rPr>
        <w:t xml:space="preserve"> </w:t>
      </w:r>
      <w:r>
        <w:rPr>
          <w:spacing w:val="-3"/>
        </w:rPr>
        <w:t>月</w:t>
      </w:r>
      <w:r>
        <w:rPr>
          <w:spacing w:val="-34"/>
        </w:rPr>
        <w:t xml:space="preserve"> </w:t>
      </w:r>
      <w:r>
        <w:rPr>
          <w:rFonts w:ascii="Times New Roman" w:eastAsia="Times New Roman" w:hAnsi="Times New Roman" w:cs="Times New Roman"/>
          <w:spacing w:val="-3"/>
        </w:rPr>
        <w:t xml:space="preserve">7  </w:t>
      </w:r>
      <w:r>
        <w:rPr>
          <w:spacing w:val="-3"/>
        </w:rPr>
        <w:t>日常州亚玛顿股份</w:t>
      </w:r>
      <w:r>
        <w:rPr>
          <w:spacing w:val="-4"/>
        </w:rPr>
        <w:t>有限公司《第五届董事会第十一次会</w:t>
      </w:r>
      <w:r>
        <w:t xml:space="preserve"> </w:t>
      </w:r>
      <w:r>
        <w:rPr>
          <w:spacing w:val="3"/>
        </w:rPr>
        <w:t>议》文件，常州亚玛顿股份有限公司拟发行股份及支付现金购买资产，</w:t>
      </w:r>
      <w:r>
        <w:rPr>
          <w:spacing w:val="2"/>
        </w:rPr>
        <w:t>需要对所</w:t>
      </w:r>
      <w:r>
        <w:t xml:space="preserve"> </w:t>
      </w:r>
      <w:r>
        <w:rPr>
          <w:spacing w:val="3"/>
        </w:rPr>
        <w:t>涉及的凤阳硅谷智能有限公司股东全部权益价值进行评估，为</w:t>
      </w:r>
      <w:r>
        <w:rPr>
          <w:spacing w:val="2"/>
        </w:rPr>
        <w:t>该经济行为提供价</w:t>
      </w:r>
    </w:p>
    <w:p>
      <w:pPr>
        <w:pStyle w:val="BodyText"/>
        <w:spacing w:before="1" w:line="218" w:lineRule="auto"/>
        <w:ind w:left="38"/>
      </w:pPr>
      <w:r>
        <w:rPr>
          <w:spacing w:val="-2"/>
        </w:rPr>
        <w:t>值参考依据。</w:t>
      </w:r>
    </w:p>
    <w:p>
      <w:pPr>
        <w:pStyle w:val="BodyText"/>
        <w:spacing w:before="206" w:line="224" w:lineRule="auto"/>
        <w:ind w:left="467"/>
        <w:outlineLvl w:val="0"/>
        <w:rPr>
          <w:sz w:val="27"/>
          <w:szCs w:val="27"/>
        </w:rPr>
      </w:pPr>
      <w:r>
        <w:rPr>
          <w:b/>
          <w:bCs/>
          <w:spacing w:val="-3"/>
          <w:sz w:val="27"/>
          <w:szCs w:val="27"/>
        </w:rPr>
        <w:t>三、</w:t>
      </w:r>
      <w:r>
        <w:rPr>
          <w:spacing w:val="-25"/>
          <w:sz w:val="27"/>
          <w:szCs w:val="27"/>
        </w:rPr>
        <w:t xml:space="preserve"> </w:t>
      </w:r>
      <w:r>
        <w:rPr>
          <w:b/>
          <w:bCs/>
          <w:spacing w:val="-3"/>
          <w:sz w:val="27"/>
          <w:szCs w:val="27"/>
        </w:rPr>
        <w:t>评估对象和评估范围</w:t>
      </w:r>
    </w:p>
    <w:p>
      <w:pPr>
        <w:pStyle w:val="BodyText"/>
        <w:spacing w:before="205" w:line="508" w:lineRule="exact"/>
        <w:ind w:left="525"/>
      </w:pPr>
      <w:r>
        <w:rPr>
          <w:spacing w:val="-2"/>
          <w:position w:val="20"/>
        </w:rPr>
        <w:t>（一）评估对象与评估范围内容</w:t>
      </w:r>
    </w:p>
    <w:p>
      <w:pPr>
        <w:pStyle w:val="BodyText"/>
        <w:spacing w:line="218" w:lineRule="auto"/>
        <w:ind w:left="537"/>
      </w:pPr>
      <w:r>
        <w:rPr>
          <w:rFonts w:ascii="Times New Roman" w:eastAsia="Times New Roman" w:hAnsi="Times New Roman" w:cs="Times New Roman"/>
          <w:spacing w:val="-5"/>
        </w:rPr>
        <w:t>1.</w:t>
      </w:r>
      <w:r>
        <w:rPr>
          <w:spacing w:val="-5"/>
        </w:rPr>
        <w:t>评估对象</w:t>
      </w:r>
    </w:p>
    <w:p>
      <w:pPr>
        <w:pStyle w:val="BodyText"/>
        <w:spacing w:before="226" w:line="509" w:lineRule="exact"/>
        <w:ind w:left="517"/>
      </w:pPr>
      <w:r>
        <w:rPr>
          <w:spacing w:val="-1"/>
          <w:position w:val="20"/>
        </w:rPr>
        <w:t>评估对象为凤阳硅谷智能有限公司的股东全部权益价值。</w:t>
      </w:r>
    </w:p>
    <w:p>
      <w:pPr>
        <w:pStyle w:val="BodyText"/>
        <w:spacing w:line="218" w:lineRule="auto"/>
        <w:ind w:left="514"/>
        <w:sectPr>
          <w:headerReference w:type="default" r:id="rId69"/>
          <w:footerReference w:type="default" r:id="rId70"/>
          <w:pgSz w:w="11905" w:h="16839"/>
          <w:pgMar w:top="1637" w:right="1638" w:bottom="1579" w:left="1670" w:header="1154" w:footer="1314" w:gutter="0"/>
          <w:pgNumType w:start="33"/>
          <w:cols w:space="708"/>
        </w:sectPr>
      </w:pPr>
      <w:r>
        <w:rPr>
          <w:rFonts w:ascii="Times New Roman" w:eastAsia="Times New Roman" w:hAnsi="Times New Roman" w:cs="Times New Roman"/>
          <w:spacing w:val="-1"/>
        </w:rPr>
        <w:t>2.</w:t>
      </w:r>
      <w:r>
        <w:rPr>
          <w:spacing w:val="-1"/>
        </w:rPr>
        <w:t>评估范围</w:t>
      </w:r>
    </w:p>
    <w:p>
      <w:pPr>
        <w:pStyle w:val="BodyText"/>
        <w:spacing w:before="231" w:line="345" w:lineRule="auto"/>
        <w:ind w:left="41" w:right="53" w:firstLine="476"/>
      </w:pPr>
      <w:r>
        <w:rPr>
          <w:spacing w:val="3"/>
        </w:rPr>
        <w:t xml:space="preserve">评估范围为凤阳硅谷智能有限公司于评估基准日的全部资产及负债，其中， </w:t>
      </w:r>
      <w:r>
        <w:rPr>
          <w:spacing w:val="-2"/>
        </w:rPr>
        <w:t>总资产账面价值</w:t>
      </w:r>
      <w:r>
        <w:rPr>
          <w:spacing w:val="-14"/>
        </w:rPr>
        <w:t xml:space="preserve"> </w:t>
      </w:r>
      <w:r>
        <w:rPr>
          <w:rFonts w:ascii="Times New Roman" w:eastAsia="Times New Roman" w:hAnsi="Times New Roman" w:cs="Times New Roman"/>
          <w:spacing w:val="-2"/>
        </w:rPr>
        <w:t>202,614.04</w:t>
      </w:r>
      <w:r>
        <w:rPr>
          <w:rFonts w:ascii="Times New Roman" w:eastAsia="Times New Roman" w:hAnsi="Times New Roman" w:cs="Times New Roman"/>
          <w:spacing w:val="43"/>
        </w:rPr>
        <w:t xml:space="preserve"> </w:t>
      </w:r>
      <w:r>
        <w:rPr>
          <w:spacing w:val="-2"/>
        </w:rPr>
        <w:t xml:space="preserve">万元，负债账面价值 </w:t>
      </w:r>
      <w:r>
        <w:rPr>
          <w:rFonts w:ascii="Times New Roman" w:eastAsia="Times New Roman" w:hAnsi="Times New Roman" w:cs="Times New Roman"/>
          <w:spacing w:val="-2"/>
        </w:rPr>
        <w:t>155,909.90</w:t>
      </w:r>
      <w:r>
        <w:rPr>
          <w:rFonts w:ascii="Times New Roman" w:eastAsia="Times New Roman" w:hAnsi="Times New Roman" w:cs="Times New Roman"/>
          <w:spacing w:val="42"/>
        </w:rPr>
        <w:t xml:space="preserve"> </w:t>
      </w:r>
      <w:r>
        <w:rPr>
          <w:spacing w:val="-2"/>
        </w:rPr>
        <w:t>万元，净资产账面价</w:t>
      </w:r>
    </w:p>
    <w:p>
      <w:pPr>
        <w:pStyle w:val="BodyText"/>
        <w:spacing w:before="1" w:line="221" w:lineRule="auto"/>
        <w:ind w:left="38"/>
      </w:pPr>
      <w:r>
        <w:rPr>
          <w:spacing w:val="-2"/>
        </w:rPr>
        <w:t>值</w:t>
      </w:r>
      <w:r>
        <w:rPr>
          <w:spacing w:val="-58"/>
        </w:rPr>
        <w:t xml:space="preserve"> </w:t>
      </w:r>
      <w:r>
        <w:rPr>
          <w:rFonts w:ascii="Times New Roman" w:eastAsia="Times New Roman" w:hAnsi="Times New Roman" w:cs="Times New Roman"/>
          <w:spacing w:val="-2"/>
        </w:rPr>
        <w:t xml:space="preserve">46,704.15 </w:t>
      </w:r>
      <w:r>
        <w:rPr>
          <w:spacing w:val="-2"/>
        </w:rPr>
        <w:t>万元。各类资产及负债的账面价值</w:t>
      </w:r>
      <w:r>
        <w:rPr>
          <w:spacing w:val="-3"/>
        </w:rPr>
        <w:t>见下表：</w:t>
      </w:r>
    </w:p>
    <w:p>
      <w:pPr>
        <w:pStyle w:val="BodyText"/>
        <w:spacing w:before="236" w:line="220" w:lineRule="auto"/>
        <w:jc w:val="right"/>
        <w:rPr>
          <w:sz w:val="21"/>
          <w:szCs w:val="21"/>
        </w:rPr>
      </w:pPr>
      <w:r>
        <w:rPr>
          <w:spacing w:val="-15"/>
          <w:sz w:val="21"/>
          <w:szCs w:val="21"/>
        </w:rPr>
        <w:t>金额单位</w:t>
      </w:r>
      <w:r>
        <w:rPr>
          <w:spacing w:val="-14"/>
          <w:sz w:val="21"/>
          <w:szCs w:val="21"/>
        </w:rPr>
        <w:t>：</w:t>
      </w:r>
      <w:r>
        <w:rPr>
          <w:spacing w:val="26"/>
          <w:sz w:val="21"/>
          <w:szCs w:val="21"/>
        </w:rPr>
        <w:t xml:space="preserve"> </w:t>
      </w:r>
      <w:r>
        <w:rPr>
          <w:spacing w:val="-14"/>
          <w:sz w:val="21"/>
          <w:szCs w:val="21"/>
        </w:rPr>
        <w:t>人民币万</w:t>
      </w:r>
      <w:r>
        <w:rPr>
          <w:spacing w:val="-10"/>
          <w:sz w:val="21"/>
          <w:szCs w:val="21"/>
        </w:rPr>
        <w:t>元</w:t>
      </w:r>
    </w:p>
    <w:p>
      <w:pPr>
        <w:spacing w:line="220" w:lineRule="auto"/>
        <w:rPr>
          <w:sz w:val="21"/>
          <w:szCs w:val="21"/>
        </w:rPr>
        <w:sectPr>
          <w:headerReference w:type="default" r:id="rId71"/>
          <w:footerReference w:type="default" r:id="rId72"/>
          <w:type w:val="nextPage"/>
          <w:pgSz w:w="11905" w:h="16839"/>
          <w:pgMar w:top="1637" w:right="1638" w:bottom="1579" w:left="1670" w:header="1154" w:footer="1314" w:gutter="0"/>
          <w:pgNumType w:start="34"/>
          <w:cols w:space="708"/>
          <w:titlePg w:val="0"/>
        </w:sectPr>
      </w:pPr>
    </w:p>
    <w:p>
      <w:pPr>
        <w:spacing w:before="32"/>
      </w:pPr>
    </w:p>
    <w:tbl>
      <w:tblPr>
        <w:tblStyle w:val="TableNormal14"/>
        <w:tblW w:w="8523"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9"/>
        <w:gridCol w:w="4254"/>
      </w:tblGrid>
      <w:tr>
        <w:tblPrEx>
          <w:tblW w:w="8523"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4269" w:type="dxa"/>
            <w:tcBorders>
              <w:left w:val="nil"/>
            </w:tcBorders>
            <w:vAlign w:val="top"/>
          </w:tcPr>
          <w:p>
            <w:pPr>
              <w:spacing w:before="87" w:line="221" w:lineRule="auto"/>
              <w:ind w:left="1735"/>
              <w:rPr>
                <w:rFonts w:ascii="SimSun" w:eastAsia="SimSun" w:hAnsi="SimSun" w:cs="SimSun"/>
                <w:sz w:val="21"/>
                <w:szCs w:val="21"/>
              </w:rPr>
            </w:pPr>
            <w:r>
              <w:rPr>
                <w:rFonts w:ascii="SimSun" w:eastAsia="SimSun" w:hAnsi="SimSun" w:cs="SimSun"/>
                <w:spacing w:val="-2"/>
                <w:sz w:val="21"/>
                <w:szCs w:val="21"/>
              </w:rPr>
              <w:t>项目名称</w:t>
            </w:r>
          </w:p>
        </w:tc>
        <w:tc>
          <w:tcPr>
            <w:tcW w:w="4254" w:type="dxa"/>
            <w:tcBorders>
              <w:right w:val="nil"/>
            </w:tcBorders>
            <w:vAlign w:val="top"/>
          </w:tcPr>
          <w:p>
            <w:pPr>
              <w:spacing w:before="87" w:line="219" w:lineRule="auto"/>
              <w:ind w:left="1718"/>
              <w:rPr>
                <w:rFonts w:ascii="SimSun" w:eastAsia="SimSun" w:hAnsi="SimSun" w:cs="SimSun"/>
                <w:sz w:val="21"/>
                <w:szCs w:val="21"/>
              </w:rPr>
            </w:pPr>
            <w:r>
              <w:rPr>
                <w:rFonts w:ascii="SimSun" w:eastAsia="SimSun" w:hAnsi="SimSun" w:cs="SimSun"/>
                <w:spacing w:val="-2"/>
                <w:sz w:val="21"/>
                <w:szCs w:val="21"/>
              </w:rPr>
              <w:t>账面价值</w:t>
            </w:r>
          </w:p>
        </w:tc>
      </w:tr>
      <w:tr>
        <w:tblPrEx>
          <w:tblW w:w="8523" w:type="dxa"/>
          <w:tblInd w:w="230" w:type="dxa"/>
          <w:tblLayout w:type="fixed"/>
        </w:tblPrEx>
        <w:trPr>
          <w:trHeight w:val="346"/>
        </w:trPr>
        <w:tc>
          <w:tcPr>
            <w:tcW w:w="4269" w:type="dxa"/>
            <w:tcBorders>
              <w:left w:val="nil"/>
            </w:tcBorders>
            <w:vAlign w:val="top"/>
          </w:tcPr>
          <w:p>
            <w:pPr>
              <w:spacing w:before="63" w:line="221" w:lineRule="auto"/>
              <w:ind w:left="133"/>
              <w:rPr>
                <w:rFonts w:ascii="SimSun" w:eastAsia="SimSun" w:hAnsi="SimSun" w:cs="SimSun"/>
                <w:sz w:val="21"/>
                <w:szCs w:val="21"/>
              </w:rPr>
            </w:pPr>
            <w:r>
              <w:rPr>
                <w:rFonts w:ascii="SimSun" w:eastAsia="SimSun" w:hAnsi="SimSun" w:cs="SimSun"/>
                <w:spacing w:val="-1"/>
                <w:sz w:val="21"/>
                <w:szCs w:val="21"/>
              </w:rPr>
              <w:t>流动资产</w:t>
            </w:r>
          </w:p>
        </w:tc>
        <w:tc>
          <w:tcPr>
            <w:tcW w:w="4254" w:type="dxa"/>
            <w:tcBorders>
              <w:right w:val="nil"/>
            </w:tcBorders>
            <w:vAlign w:val="top"/>
          </w:tcPr>
          <w:p>
            <w:pPr>
              <w:spacing w:before="94" w:line="201" w:lineRule="auto"/>
              <w:ind w:left="33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64,361.00</w:t>
            </w:r>
          </w:p>
        </w:tc>
      </w:tr>
      <w:tr>
        <w:tblPrEx>
          <w:tblW w:w="8523" w:type="dxa"/>
          <w:tblInd w:w="230" w:type="dxa"/>
          <w:tblLayout w:type="fixed"/>
        </w:tblPrEx>
        <w:trPr>
          <w:trHeight w:val="345"/>
        </w:trPr>
        <w:tc>
          <w:tcPr>
            <w:tcW w:w="4269" w:type="dxa"/>
            <w:tcBorders>
              <w:left w:val="nil"/>
            </w:tcBorders>
            <w:vAlign w:val="top"/>
          </w:tcPr>
          <w:p>
            <w:pPr>
              <w:spacing w:before="58" w:line="221" w:lineRule="auto"/>
              <w:ind w:left="136"/>
              <w:rPr>
                <w:rFonts w:ascii="SimSun" w:eastAsia="SimSun" w:hAnsi="SimSun" w:cs="SimSun"/>
                <w:sz w:val="21"/>
                <w:szCs w:val="21"/>
              </w:rPr>
            </w:pPr>
            <w:r>
              <w:rPr>
                <w:rFonts w:ascii="SimSun" w:eastAsia="SimSun" w:hAnsi="SimSun" w:cs="SimSun"/>
                <w:spacing w:val="-1"/>
                <w:sz w:val="21"/>
                <w:szCs w:val="21"/>
              </w:rPr>
              <w:t>非流动资产</w:t>
            </w:r>
          </w:p>
        </w:tc>
        <w:tc>
          <w:tcPr>
            <w:tcW w:w="4254" w:type="dxa"/>
            <w:tcBorders>
              <w:right w:val="nil"/>
            </w:tcBorders>
            <w:vAlign w:val="top"/>
          </w:tcPr>
          <w:p>
            <w:pPr>
              <w:spacing w:before="94"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138,253.04</w:t>
            </w:r>
          </w:p>
        </w:tc>
      </w:tr>
      <w:tr>
        <w:tblPrEx>
          <w:tblW w:w="8523" w:type="dxa"/>
          <w:tblInd w:w="230" w:type="dxa"/>
          <w:tblLayout w:type="fixed"/>
        </w:tblPrEx>
        <w:trPr>
          <w:trHeight w:val="345"/>
        </w:trPr>
        <w:tc>
          <w:tcPr>
            <w:tcW w:w="4269" w:type="dxa"/>
            <w:tcBorders>
              <w:left w:val="nil"/>
            </w:tcBorders>
            <w:vAlign w:val="top"/>
          </w:tcPr>
          <w:p>
            <w:pPr>
              <w:spacing w:before="58" w:line="221" w:lineRule="auto"/>
              <w:ind w:left="133"/>
              <w:rPr>
                <w:rFonts w:ascii="SimSun" w:eastAsia="SimSun" w:hAnsi="SimSun" w:cs="SimSun"/>
                <w:sz w:val="21"/>
                <w:szCs w:val="21"/>
              </w:rPr>
            </w:pPr>
            <w:r>
              <w:rPr>
                <w:rFonts w:ascii="SimSun" w:eastAsia="SimSun" w:hAnsi="SimSun" w:cs="SimSun"/>
                <w:spacing w:val="-1"/>
                <w:sz w:val="21"/>
                <w:szCs w:val="21"/>
              </w:rPr>
              <w:t>其中：长期股权投资</w:t>
            </w:r>
          </w:p>
        </w:tc>
        <w:tc>
          <w:tcPr>
            <w:tcW w:w="4254" w:type="dxa"/>
            <w:tcBorders>
              <w:right w:val="nil"/>
            </w:tcBorders>
            <w:vAlign w:val="top"/>
          </w:tcPr>
          <w:p>
            <w:pPr>
              <w:spacing w:before="94" w:line="201" w:lineRule="auto"/>
              <w:ind w:left="34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6,657.61</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764"/>
              <w:rPr>
                <w:rFonts w:ascii="SimSun" w:eastAsia="SimSun" w:hAnsi="SimSun" w:cs="SimSun"/>
                <w:sz w:val="21"/>
                <w:szCs w:val="21"/>
              </w:rPr>
            </w:pPr>
            <w:r>
              <w:rPr>
                <w:rFonts w:ascii="SimSun" w:eastAsia="SimSun" w:hAnsi="SimSun" w:cs="SimSun"/>
                <w:spacing w:val="-1"/>
                <w:sz w:val="21"/>
                <w:szCs w:val="21"/>
              </w:rPr>
              <w:t>投资性房地产</w:t>
            </w:r>
          </w:p>
        </w:tc>
        <w:tc>
          <w:tcPr>
            <w:tcW w:w="4254" w:type="dxa"/>
            <w:tcBorders>
              <w:right w:val="nil"/>
            </w:tcBorders>
            <w:vAlign w:val="top"/>
          </w:tcPr>
          <w:p>
            <w:pPr>
              <w:spacing w:before="90" w:line="201" w:lineRule="auto"/>
              <w:ind w:left="33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13,960.50</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785"/>
              <w:rPr>
                <w:rFonts w:ascii="SimSun" w:eastAsia="SimSun" w:hAnsi="SimSun" w:cs="SimSun"/>
                <w:sz w:val="21"/>
                <w:szCs w:val="21"/>
              </w:rPr>
            </w:pPr>
            <w:r>
              <w:rPr>
                <w:rFonts w:ascii="SimSun" w:eastAsia="SimSun" w:hAnsi="SimSun" w:cs="SimSun"/>
                <w:spacing w:val="-7"/>
                <w:sz w:val="21"/>
                <w:szCs w:val="21"/>
              </w:rPr>
              <w:t>固定资产</w:t>
            </w:r>
          </w:p>
        </w:tc>
        <w:tc>
          <w:tcPr>
            <w:tcW w:w="4254" w:type="dxa"/>
            <w:tcBorders>
              <w:right w:val="nil"/>
            </w:tcBorders>
            <w:vAlign w:val="top"/>
          </w:tcPr>
          <w:p>
            <w:pPr>
              <w:spacing w:before="90"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107,197.34</w:t>
            </w:r>
          </w:p>
        </w:tc>
      </w:tr>
      <w:tr>
        <w:tblPrEx>
          <w:tblW w:w="8523" w:type="dxa"/>
          <w:tblInd w:w="230" w:type="dxa"/>
          <w:tblLayout w:type="fixed"/>
        </w:tblPrEx>
        <w:trPr>
          <w:trHeight w:val="346"/>
        </w:trPr>
        <w:tc>
          <w:tcPr>
            <w:tcW w:w="4269" w:type="dxa"/>
            <w:tcBorders>
              <w:left w:val="nil"/>
            </w:tcBorders>
            <w:vAlign w:val="top"/>
          </w:tcPr>
          <w:p>
            <w:pPr>
              <w:spacing w:before="60" w:line="221" w:lineRule="auto"/>
              <w:ind w:left="763"/>
              <w:rPr>
                <w:rFonts w:ascii="SimSun" w:eastAsia="SimSun" w:hAnsi="SimSun" w:cs="SimSun"/>
                <w:sz w:val="21"/>
                <w:szCs w:val="21"/>
              </w:rPr>
            </w:pPr>
            <w:r>
              <w:rPr>
                <w:rFonts w:ascii="SimSun" w:eastAsia="SimSun" w:hAnsi="SimSun" w:cs="SimSun"/>
                <w:spacing w:val="-1"/>
                <w:sz w:val="21"/>
                <w:szCs w:val="21"/>
              </w:rPr>
              <w:t>其中：房屋建筑物类</w:t>
            </w:r>
          </w:p>
        </w:tc>
        <w:tc>
          <w:tcPr>
            <w:tcW w:w="4254" w:type="dxa"/>
            <w:tcBorders>
              <w:right w:val="nil"/>
            </w:tcBorders>
            <w:vAlign w:val="top"/>
          </w:tcPr>
          <w:p>
            <w:pPr>
              <w:spacing w:before="91" w:line="201" w:lineRule="auto"/>
              <w:ind w:left="3309"/>
              <w:rPr>
                <w:rFonts w:ascii="Times New Roman" w:eastAsia="Times New Roman" w:hAnsi="Times New Roman" w:cs="Times New Roman"/>
                <w:sz w:val="21"/>
                <w:szCs w:val="21"/>
              </w:rPr>
            </w:pPr>
            <w:r>
              <w:rPr>
                <w:rFonts w:ascii="Times New Roman" w:eastAsia="Times New Roman" w:hAnsi="Times New Roman" w:cs="Times New Roman"/>
                <w:sz w:val="21"/>
                <w:szCs w:val="21"/>
              </w:rPr>
              <w:t>44,761.09</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1399"/>
              <w:rPr>
                <w:rFonts w:ascii="SimSun" w:eastAsia="SimSun" w:hAnsi="SimSun" w:cs="SimSun"/>
                <w:sz w:val="21"/>
                <w:szCs w:val="21"/>
              </w:rPr>
            </w:pPr>
            <w:r>
              <w:rPr>
                <w:rFonts w:ascii="SimSun" w:eastAsia="SimSun" w:hAnsi="SimSun" w:cs="SimSun"/>
                <w:spacing w:val="-2"/>
                <w:sz w:val="21"/>
                <w:szCs w:val="21"/>
              </w:rPr>
              <w:t>设备类</w:t>
            </w:r>
          </w:p>
        </w:tc>
        <w:tc>
          <w:tcPr>
            <w:tcW w:w="4254" w:type="dxa"/>
            <w:tcBorders>
              <w:right w:val="nil"/>
            </w:tcBorders>
            <w:vAlign w:val="top"/>
          </w:tcPr>
          <w:p>
            <w:pPr>
              <w:spacing w:before="90" w:line="201" w:lineRule="auto"/>
              <w:ind w:left="33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62,436.25</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6"/>
              <w:rPr>
                <w:rFonts w:ascii="SimSun" w:eastAsia="SimSun" w:hAnsi="SimSun" w:cs="SimSun"/>
                <w:sz w:val="21"/>
                <w:szCs w:val="21"/>
              </w:rPr>
            </w:pPr>
            <w:r>
              <w:rPr>
                <w:rFonts w:ascii="SimSun" w:eastAsia="SimSun" w:hAnsi="SimSun" w:cs="SimSun"/>
                <w:spacing w:val="-2"/>
                <w:sz w:val="21"/>
                <w:szCs w:val="21"/>
              </w:rPr>
              <w:t>在建工程</w:t>
            </w:r>
          </w:p>
        </w:tc>
        <w:tc>
          <w:tcPr>
            <w:tcW w:w="4254" w:type="dxa"/>
            <w:tcBorders>
              <w:right w:val="nil"/>
            </w:tcBorders>
            <w:vAlign w:val="top"/>
          </w:tcPr>
          <w:p>
            <w:pPr>
              <w:spacing w:before="92" w:line="189" w:lineRule="auto"/>
              <w:ind w:left="3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362.31</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8"/>
              <w:rPr>
                <w:rFonts w:ascii="SimSun" w:eastAsia="SimSun" w:hAnsi="SimSun" w:cs="SimSun"/>
                <w:sz w:val="21"/>
                <w:szCs w:val="21"/>
              </w:rPr>
            </w:pPr>
            <w:r>
              <w:rPr>
                <w:rFonts w:ascii="SimSun" w:eastAsia="SimSun" w:hAnsi="SimSun" w:cs="SimSun"/>
                <w:spacing w:val="-3"/>
                <w:sz w:val="21"/>
                <w:szCs w:val="21"/>
              </w:rPr>
              <w:t>无形资产</w:t>
            </w:r>
          </w:p>
        </w:tc>
        <w:tc>
          <w:tcPr>
            <w:tcW w:w="4254" w:type="dxa"/>
            <w:tcBorders>
              <w:right w:val="nil"/>
            </w:tcBorders>
            <w:vAlign w:val="top"/>
          </w:tcPr>
          <w:p>
            <w:pPr>
              <w:spacing w:before="91" w:line="201" w:lineRule="auto"/>
              <w:ind w:left="34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8"/>
              <w:rPr>
                <w:rFonts w:ascii="SimSun" w:eastAsia="SimSun" w:hAnsi="SimSun" w:cs="SimSun"/>
                <w:sz w:val="21"/>
                <w:szCs w:val="21"/>
              </w:rPr>
            </w:pPr>
            <w:r>
              <w:rPr>
                <w:rFonts w:ascii="SimSun" w:eastAsia="SimSun" w:hAnsi="SimSun" w:cs="SimSun"/>
                <w:spacing w:val="-2"/>
                <w:sz w:val="21"/>
                <w:szCs w:val="21"/>
              </w:rPr>
              <w:t>其中：土地使用权</w:t>
            </w:r>
          </w:p>
        </w:tc>
        <w:tc>
          <w:tcPr>
            <w:tcW w:w="4254" w:type="dxa"/>
            <w:tcBorders>
              <w:right w:val="nil"/>
            </w:tcBorders>
            <w:vAlign w:val="top"/>
          </w:tcPr>
          <w:p>
            <w:pPr>
              <w:spacing w:before="91" w:line="201" w:lineRule="auto"/>
              <w:ind w:left="34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230" w:type="dxa"/>
          <w:tblLayout w:type="fixed"/>
        </w:tblPrEx>
        <w:trPr>
          <w:trHeight w:val="341"/>
        </w:trPr>
        <w:tc>
          <w:tcPr>
            <w:tcW w:w="4269" w:type="dxa"/>
            <w:tcBorders>
              <w:left w:val="nil"/>
            </w:tcBorders>
            <w:vAlign w:val="top"/>
          </w:tcPr>
          <w:p>
            <w:pPr>
              <w:spacing w:before="61" w:line="221" w:lineRule="auto"/>
              <w:ind w:left="768"/>
              <w:rPr>
                <w:rFonts w:ascii="SimSun" w:eastAsia="SimSun" w:hAnsi="SimSun" w:cs="SimSun"/>
                <w:sz w:val="21"/>
                <w:szCs w:val="21"/>
              </w:rPr>
            </w:pPr>
            <w:r>
              <w:rPr>
                <w:rFonts w:ascii="SimSun" w:eastAsia="SimSun" w:hAnsi="SimSun" w:cs="SimSun"/>
                <w:spacing w:val="-1"/>
                <w:sz w:val="21"/>
                <w:szCs w:val="21"/>
              </w:rPr>
              <w:t>递延所得税资产</w:t>
            </w:r>
          </w:p>
        </w:tc>
        <w:tc>
          <w:tcPr>
            <w:tcW w:w="4254" w:type="dxa"/>
            <w:tcBorders>
              <w:right w:val="nil"/>
            </w:tcBorders>
            <w:vAlign w:val="top"/>
          </w:tcPr>
          <w:p>
            <w:pPr>
              <w:spacing w:before="92" w:line="201" w:lineRule="auto"/>
              <w:ind w:left="34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2,519.93</w:t>
            </w:r>
          </w:p>
        </w:tc>
      </w:tr>
      <w:tr>
        <w:tblPrEx>
          <w:tblW w:w="8523" w:type="dxa"/>
          <w:tblInd w:w="230" w:type="dxa"/>
          <w:tblLayout w:type="fixed"/>
        </w:tblPrEx>
        <w:trPr>
          <w:trHeight w:val="345"/>
        </w:trPr>
        <w:tc>
          <w:tcPr>
            <w:tcW w:w="4269" w:type="dxa"/>
            <w:tcBorders>
              <w:left w:val="nil"/>
            </w:tcBorders>
            <w:vAlign w:val="top"/>
          </w:tcPr>
          <w:p>
            <w:pPr>
              <w:spacing w:before="66" w:line="221" w:lineRule="auto"/>
              <w:ind w:left="768"/>
              <w:rPr>
                <w:rFonts w:ascii="SimSun" w:eastAsia="SimSun" w:hAnsi="SimSun" w:cs="SimSun"/>
                <w:sz w:val="21"/>
                <w:szCs w:val="21"/>
              </w:rPr>
            </w:pPr>
            <w:r>
              <w:rPr>
                <w:rFonts w:ascii="SimSun" w:eastAsia="SimSun" w:hAnsi="SimSun" w:cs="SimSun"/>
                <w:spacing w:val="-1"/>
                <w:sz w:val="21"/>
                <w:szCs w:val="21"/>
              </w:rPr>
              <w:t>其他非流动资产</w:t>
            </w:r>
          </w:p>
        </w:tc>
        <w:tc>
          <w:tcPr>
            <w:tcW w:w="4254" w:type="dxa"/>
            <w:tcBorders>
              <w:right w:val="nil"/>
            </w:tcBorders>
            <w:vAlign w:val="top"/>
          </w:tcPr>
          <w:p>
            <w:pPr>
              <w:spacing w:before="98" w:line="189" w:lineRule="auto"/>
              <w:ind w:left="3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224.05</w:t>
            </w:r>
          </w:p>
        </w:tc>
      </w:tr>
      <w:tr>
        <w:tblPrEx>
          <w:tblW w:w="8523" w:type="dxa"/>
          <w:tblInd w:w="230" w:type="dxa"/>
          <w:tblLayout w:type="fixed"/>
        </w:tblPrEx>
        <w:trPr>
          <w:trHeight w:val="345"/>
        </w:trPr>
        <w:tc>
          <w:tcPr>
            <w:tcW w:w="4269" w:type="dxa"/>
            <w:tcBorders>
              <w:left w:val="nil"/>
            </w:tcBorders>
            <w:vAlign w:val="top"/>
          </w:tcPr>
          <w:p>
            <w:pPr>
              <w:spacing w:before="66" w:line="221" w:lineRule="auto"/>
              <w:ind w:left="1741"/>
              <w:rPr>
                <w:rFonts w:ascii="SimSun" w:eastAsia="SimSun" w:hAnsi="SimSun" w:cs="SimSun"/>
                <w:sz w:val="21"/>
                <w:szCs w:val="21"/>
              </w:rPr>
            </w:pPr>
            <w:hyperlink r:id="rId64" w:history="1">
              <w:r>
                <w:rPr>
                  <w:rFonts w:ascii="SimSun" w:eastAsia="SimSun" w:hAnsi="SimSun" w:cs="SimSun"/>
                  <w:spacing w:val="-3"/>
                  <w:sz w:val="21"/>
                  <w:szCs w:val="21"/>
                </w:rPr>
                <w:t>资产总计</w:t>
              </w:r>
            </w:hyperlink>
          </w:p>
        </w:tc>
        <w:tc>
          <w:tcPr>
            <w:tcW w:w="4254" w:type="dxa"/>
            <w:tcBorders>
              <w:right w:val="nil"/>
            </w:tcBorders>
            <w:vAlign w:val="top"/>
          </w:tcPr>
          <w:p>
            <w:pPr>
              <w:spacing w:before="97" w:line="201" w:lineRule="auto"/>
              <w:ind w:left="3199"/>
              <w:rPr>
                <w:rFonts w:ascii="Times New Roman" w:eastAsia="Times New Roman" w:hAnsi="Times New Roman" w:cs="Times New Roman"/>
                <w:sz w:val="21"/>
                <w:szCs w:val="21"/>
              </w:rPr>
            </w:pPr>
            <w:r>
              <w:rPr>
                <w:rFonts w:ascii="Times New Roman" w:eastAsia="Times New Roman" w:hAnsi="Times New Roman" w:cs="Times New Roman"/>
                <w:sz w:val="21"/>
                <w:szCs w:val="21"/>
              </w:rPr>
              <w:t>202,614.04</w:t>
            </w:r>
          </w:p>
        </w:tc>
      </w:tr>
      <w:tr>
        <w:tblPrEx>
          <w:tblW w:w="8523" w:type="dxa"/>
          <w:tblInd w:w="230" w:type="dxa"/>
          <w:tblLayout w:type="fixed"/>
        </w:tblPrEx>
        <w:trPr>
          <w:trHeight w:val="345"/>
        </w:trPr>
        <w:tc>
          <w:tcPr>
            <w:tcW w:w="4269" w:type="dxa"/>
            <w:tcBorders>
              <w:left w:val="nil"/>
            </w:tcBorders>
            <w:vAlign w:val="top"/>
          </w:tcPr>
          <w:p>
            <w:pPr>
              <w:spacing w:before="62" w:line="221" w:lineRule="auto"/>
              <w:ind w:left="133"/>
              <w:rPr>
                <w:rFonts w:ascii="SimSun" w:eastAsia="SimSun" w:hAnsi="SimSun" w:cs="SimSun"/>
                <w:sz w:val="21"/>
                <w:szCs w:val="21"/>
              </w:rPr>
            </w:pPr>
            <w:r>
              <w:rPr>
                <w:rFonts w:ascii="SimSun" w:eastAsia="SimSun" w:hAnsi="SimSun" w:cs="SimSun"/>
                <w:spacing w:val="-1"/>
                <w:sz w:val="21"/>
                <w:szCs w:val="21"/>
              </w:rPr>
              <w:t>流动负债</w:t>
            </w:r>
          </w:p>
        </w:tc>
        <w:tc>
          <w:tcPr>
            <w:tcW w:w="4254" w:type="dxa"/>
            <w:tcBorders>
              <w:right w:val="nil"/>
            </w:tcBorders>
            <w:vAlign w:val="top"/>
          </w:tcPr>
          <w:p>
            <w:pPr>
              <w:spacing w:before="98" w:line="201" w:lineRule="auto"/>
              <w:ind w:left="33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85,437.50</w:t>
            </w:r>
          </w:p>
        </w:tc>
      </w:tr>
      <w:tr>
        <w:tblPrEx>
          <w:tblW w:w="8523" w:type="dxa"/>
          <w:tblInd w:w="230" w:type="dxa"/>
          <w:tblLayout w:type="fixed"/>
        </w:tblPrEx>
        <w:trPr>
          <w:trHeight w:val="346"/>
        </w:trPr>
        <w:tc>
          <w:tcPr>
            <w:tcW w:w="4269" w:type="dxa"/>
            <w:tcBorders>
              <w:left w:val="nil"/>
            </w:tcBorders>
            <w:vAlign w:val="top"/>
          </w:tcPr>
          <w:p>
            <w:pPr>
              <w:spacing w:before="62" w:line="221" w:lineRule="auto"/>
              <w:ind w:left="136"/>
              <w:rPr>
                <w:rFonts w:ascii="SimSun" w:eastAsia="SimSun" w:hAnsi="SimSun" w:cs="SimSun"/>
                <w:sz w:val="21"/>
                <w:szCs w:val="21"/>
              </w:rPr>
            </w:pPr>
            <w:r>
              <w:rPr>
                <w:rFonts w:ascii="SimSun" w:eastAsia="SimSun" w:hAnsi="SimSun" w:cs="SimSun"/>
                <w:spacing w:val="-1"/>
                <w:sz w:val="21"/>
                <w:szCs w:val="21"/>
              </w:rPr>
              <w:t>非流动负债</w:t>
            </w:r>
          </w:p>
        </w:tc>
        <w:tc>
          <w:tcPr>
            <w:tcW w:w="4254" w:type="dxa"/>
            <w:tcBorders>
              <w:right w:val="nil"/>
            </w:tcBorders>
            <w:vAlign w:val="top"/>
          </w:tcPr>
          <w:p>
            <w:pPr>
              <w:spacing w:before="98" w:line="201" w:lineRule="auto"/>
              <w:ind w:left="3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70,472.40</w:t>
            </w:r>
          </w:p>
        </w:tc>
      </w:tr>
      <w:tr>
        <w:tblPrEx>
          <w:tblW w:w="8523" w:type="dxa"/>
          <w:tblInd w:w="230" w:type="dxa"/>
          <w:tblLayout w:type="fixed"/>
        </w:tblPrEx>
        <w:trPr>
          <w:trHeight w:val="345"/>
        </w:trPr>
        <w:tc>
          <w:tcPr>
            <w:tcW w:w="4269" w:type="dxa"/>
            <w:tcBorders>
              <w:left w:val="nil"/>
            </w:tcBorders>
            <w:vAlign w:val="top"/>
          </w:tcPr>
          <w:p>
            <w:pPr>
              <w:spacing w:before="62" w:line="221" w:lineRule="auto"/>
              <w:ind w:left="1740"/>
              <w:rPr>
                <w:rFonts w:ascii="SimSun" w:eastAsia="SimSun" w:hAnsi="SimSun" w:cs="SimSun"/>
                <w:sz w:val="21"/>
                <w:szCs w:val="21"/>
              </w:rPr>
            </w:pPr>
            <w:r>
              <w:rPr>
                <w:rFonts w:ascii="SimSun" w:eastAsia="SimSun" w:hAnsi="SimSun" w:cs="SimSun"/>
                <w:spacing w:val="-3"/>
                <w:sz w:val="21"/>
                <w:szCs w:val="21"/>
              </w:rPr>
              <w:t>负债总计</w:t>
            </w:r>
          </w:p>
        </w:tc>
        <w:tc>
          <w:tcPr>
            <w:tcW w:w="4254" w:type="dxa"/>
            <w:tcBorders>
              <w:right w:val="nil"/>
            </w:tcBorders>
            <w:vAlign w:val="top"/>
          </w:tcPr>
          <w:p>
            <w:pPr>
              <w:spacing w:before="93"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155,909.90</w:t>
            </w:r>
          </w:p>
        </w:tc>
      </w:tr>
      <w:tr>
        <w:tblPrEx>
          <w:tblW w:w="8523" w:type="dxa"/>
          <w:tblInd w:w="230" w:type="dxa"/>
          <w:tblLayout w:type="fixed"/>
        </w:tblPrEx>
        <w:trPr>
          <w:trHeight w:val="369"/>
        </w:trPr>
        <w:tc>
          <w:tcPr>
            <w:tcW w:w="4269" w:type="dxa"/>
            <w:tcBorders>
              <w:left w:val="nil"/>
            </w:tcBorders>
            <w:vAlign w:val="top"/>
          </w:tcPr>
          <w:p>
            <w:pPr>
              <w:spacing w:before="62" w:line="221" w:lineRule="auto"/>
              <w:ind w:left="1840"/>
              <w:rPr>
                <w:rFonts w:ascii="SimSun" w:eastAsia="SimSun" w:hAnsi="SimSun" w:cs="SimSun"/>
                <w:sz w:val="21"/>
                <w:szCs w:val="21"/>
              </w:rPr>
            </w:pPr>
            <w:r>
              <w:pict>
                <v:shape id="_x0000_s1042" style="width:213.25pt;height:0.5pt;margin-top:17.28pt;margin-left:-213.32pt;mso-position-horizontal-relative:right-margin-area;mso-position-vertical-relative:top-margin-area;position:absolute;z-index:251666432" coordorigin="0,0" coordsize="4265,10" path="m,9l4264,9l4264,l,l,9xe" filled="t" fillcolor="black" stroked="f"/>
              </w:pict>
            </w:r>
            <w:r>
              <w:rPr>
                <w:rFonts w:ascii="SimSun" w:eastAsia="SimSun" w:hAnsi="SimSun" w:cs="SimSun"/>
                <w:spacing w:val="-2"/>
                <w:sz w:val="21"/>
                <w:szCs w:val="21"/>
              </w:rPr>
              <w:t>净资产</w:t>
            </w:r>
          </w:p>
        </w:tc>
        <w:tc>
          <w:tcPr>
            <w:tcW w:w="4254" w:type="dxa"/>
            <w:tcBorders>
              <w:right w:val="nil"/>
            </w:tcBorders>
            <w:vAlign w:val="top"/>
          </w:tcPr>
          <w:p>
            <w:pPr>
              <w:spacing w:before="93" w:line="201" w:lineRule="auto"/>
              <w:ind w:left="3304"/>
              <w:rPr>
                <w:rFonts w:ascii="Times New Roman" w:eastAsia="Times New Roman" w:hAnsi="Times New Roman" w:cs="Times New Roman"/>
                <w:sz w:val="21"/>
                <w:szCs w:val="21"/>
              </w:rPr>
            </w:pPr>
            <w:r>
              <w:pict>
                <v:shape id="_x0000_s1043" style="width:211.55pt;height:0.5pt;margin-top:17.28pt;margin-left:-211.49pt;mso-position-horizontal-relative:right-margin-area;mso-position-vertical-relative:top-margin-area;position:absolute;z-index:251667456" coordorigin="0,0" coordsize="4231,10" path="m,9l4230,9l4230,l,l,9xe" filled="t" fillcolor="black" stroked="f"/>
              </w:pict>
            </w:r>
            <w:r>
              <w:rPr>
                <w:rFonts w:ascii="Times New Roman" w:eastAsia="Times New Roman" w:hAnsi="Times New Roman" w:cs="Times New Roman"/>
                <w:sz w:val="21"/>
                <w:szCs w:val="21"/>
              </w:rPr>
              <w:t>46,704.15</w:t>
            </w:r>
          </w:p>
        </w:tc>
      </w:tr>
    </w:tbl>
    <w:p>
      <w:pPr>
        <w:pStyle w:val="BodyText"/>
        <w:spacing w:before="169" w:line="345" w:lineRule="auto"/>
        <w:ind w:left="254" w:right="235" w:firstLine="479"/>
      </w:pPr>
      <w:r>
        <w:rPr>
          <w:spacing w:val="3"/>
        </w:rPr>
        <w:t>委托人和被评估单位已承诺，委托评估对象和评估范围与经济行</w:t>
      </w:r>
      <w:r>
        <w:rPr>
          <w:spacing w:val="2"/>
        </w:rPr>
        <w:t>为涉及的评</w:t>
      </w:r>
      <w:r>
        <w:t xml:space="preserve"> </w:t>
      </w:r>
      <w:r>
        <w:rPr>
          <w:spacing w:val="-6"/>
        </w:rPr>
        <w:t>估对象和评估范围一致，且表列数据经天职国际会计</w:t>
      </w:r>
      <w:r>
        <w:rPr>
          <w:spacing w:val="-7"/>
        </w:rPr>
        <w:t>师事务所（特殊普通合伙）</w:t>
      </w:r>
      <w:r>
        <w:rPr>
          <w:spacing w:val="-33"/>
        </w:rPr>
        <w:t xml:space="preserve"> </w:t>
      </w:r>
      <w:r>
        <w:rPr>
          <w:spacing w:val="-7"/>
        </w:rPr>
        <w:t>审</w:t>
      </w:r>
    </w:p>
    <w:p>
      <w:pPr>
        <w:pStyle w:val="BodyText"/>
        <w:spacing w:line="215" w:lineRule="auto"/>
        <w:ind w:left="254"/>
      </w:pPr>
      <w:r>
        <w:rPr>
          <w:spacing w:val="-4"/>
        </w:rPr>
        <w:t>计，</w:t>
      </w:r>
      <w:r>
        <w:rPr>
          <w:spacing w:val="-23"/>
        </w:rPr>
        <w:t xml:space="preserve"> </w:t>
      </w:r>
      <w:r>
        <w:rPr>
          <w:spacing w:val="-4"/>
        </w:rPr>
        <w:t>并出具天职业字</w:t>
      </w:r>
      <w:r>
        <w:rPr>
          <w:rFonts w:ascii="Times New Roman" w:eastAsia="Times New Roman" w:hAnsi="Times New Roman" w:cs="Times New Roman"/>
          <w:spacing w:val="-4"/>
        </w:rPr>
        <w:t xml:space="preserve">[2023]51586 </w:t>
      </w:r>
      <w:r>
        <w:rPr>
          <w:spacing w:val="-4"/>
        </w:rPr>
        <w:t>号无保</w:t>
      </w:r>
      <w:r>
        <w:rPr>
          <w:spacing w:val="-5"/>
        </w:rPr>
        <w:t>留意见审计报告。</w:t>
      </w:r>
    </w:p>
    <w:p>
      <w:pPr>
        <w:pStyle w:val="BodyText"/>
        <w:spacing w:before="228" w:line="218" w:lineRule="auto"/>
        <w:ind w:left="741"/>
      </w:pPr>
      <w:r>
        <w:rPr>
          <w:spacing w:val="-1"/>
        </w:rPr>
        <w:t>（二）被评估单位申报的表外资产的类型、数量</w:t>
      </w:r>
    </w:p>
    <w:p>
      <w:pPr>
        <w:pStyle w:val="BodyText"/>
        <w:spacing w:before="230" w:line="447" w:lineRule="exact"/>
        <w:ind w:left="735"/>
      </w:pPr>
      <w:r>
        <w:rPr>
          <w:spacing w:val="-2"/>
          <w:position w:val="15"/>
        </w:rPr>
        <w:t>凤阳硅谷申报的表外资产为</w:t>
      </w:r>
      <w:r>
        <w:rPr>
          <w:spacing w:val="-30"/>
          <w:position w:val="15"/>
        </w:rPr>
        <w:t xml:space="preserve"> </w:t>
      </w:r>
      <w:r>
        <w:rPr>
          <w:rFonts w:ascii="Times New Roman" w:eastAsia="Times New Roman" w:hAnsi="Times New Roman" w:cs="Times New Roman"/>
          <w:spacing w:val="-2"/>
          <w:position w:val="15"/>
        </w:rPr>
        <w:t>28</w:t>
      </w:r>
      <w:r>
        <w:rPr>
          <w:rFonts w:ascii="Times New Roman" w:eastAsia="Times New Roman" w:hAnsi="Times New Roman" w:cs="Times New Roman"/>
          <w:spacing w:val="30"/>
          <w:position w:val="15"/>
        </w:rPr>
        <w:t xml:space="preserve"> </w:t>
      </w:r>
      <w:r>
        <w:rPr>
          <w:spacing w:val="-2"/>
          <w:position w:val="15"/>
        </w:rPr>
        <w:t>项专利权、</w:t>
      </w:r>
      <w:r>
        <w:rPr>
          <w:rFonts w:ascii="Times New Roman" w:eastAsia="Times New Roman" w:hAnsi="Times New Roman" w:cs="Times New Roman"/>
          <w:spacing w:val="-2"/>
          <w:position w:val="15"/>
        </w:rPr>
        <w:t>8</w:t>
      </w:r>
      <w:r>
        <w:rPr>
          <w:rFonts w:ascii="Times New Roman" w:eastAsia="Times New Roman" w:hAnsi="Times New Roman" w:cs="Times New Roman"/>
          <w:spacing w:val="30"/>
          <w:position w:val="15"/>
        </w:rPr>
        <w:t xml:space="preserve"> </w:t>
      </w:r>
      <w:r>
        <w:rPr>
          <w:spacing w:val="-2"/>
          <w:position w:val="15"/>
        </w:rPr>
        <w:t>项商标权及合同权益，具体信息</w:t>
      </w:r>
    </w:p>
    <w:p>
      <w:pPr>
        <w:pStyle w:val="BodyText"/>
        <w:spacing w:line="220" w:lineRule="auto"/>
        <w:ind w:left="258"/>
      </w:pPr>
      <w:r>
        <w:rPr>
          <w:spacing w:val="-16"/>
        </w:rPr>
        <w:t>如下：</w:t>
      </w:r>
    </w:p>
    <w:p>
      <w:pPr>
        <w:pStyle w:val="BodyText"/>
        <w:spacing w:before="227" w:line="446" w:lineRule="exact"/>
        <w:ind w:left="735"/>
        <w:sectPr>
          <w:headerReference w:type="default" r:id="rId73"/>
          <w:footerReference w:type="default" r:id="rId74"/>
          <w:pgSz w:w="11905" w:h="16839"/>
          <w:pgMar w:top="1637" w:right="1460" w:bottom="1579" w:left="1454" w:header="1154" w:footer="1314" w:gutter="0"/>
          <w:pgNumType w:start="35"/>
          <w:cols w:space="708"/>
        </w:sectPr>
      </w:pPr>
      <w:r>
        <w:rPr>
          <w:spacing w:val="-3"/>
          <w:position w:val="15"/>
        </w:rPr>
        <w:t>凤阳硅谷申报的账面未记录的专利权共</w:t>
      </w:r>
      <w:r>
        <w:rPr>
          <w:spacing w:val="-57"/>
          <w:position w:val="15"/>
        </w:rPr>
        <w:t xml:space="preserve"> </w:t>
      </w:r>
      <w:r>
        <w:rPr>
          <w:rFonts w:ascii="Times New Roman" w:eastAsia="Times New Roman" w:hAnsi="Times New Roman" w:cs="Times New Roman"/>
          <w:spacing w:val="-3"/>
          <w:position w:val="15"/>
        </w:rPr>
        <w:t xml:space="preserve">28 </w:t>
      </w:r>
      <w:r>
        <w:rPr>
          <w:spacing w:val="-3"/>
          <w:position w:val="15"/>
        </w:rPr>
        <w:t>项，</w:t>
      </w:r>
      <w:r>
        <w:rPr>
          <w:spacing w:val="-36"/>
          <w:position w:val="15"/>
        </w:rPr>
        <w:t xml:space="preserve"> </w:t>
      </w:r>
      <w:r>
        <w:rPr>
          <w:spacing w:val="-3"/>
          <w:position w:val="15"/>
        </w:rPr>
        <w:t>包括发明专利</w:t>
      </w:r>
      <w:r>
        <w:rPr>
          <w:spacing w:val="-57"/>
          <w:position w:val="15"/>
        </w:rPr>
        <w:t xml:space="preserve"> </w:t>
      </w:r>
      <w:r>
        <w:rPr>
          <w:rFonts w:ascii="Times New Roman" w:eastAsia="Times New Roman" w:hAnsi="Times New Roman" w:cs="Times New Roman"/>
          <w:spacing w:val="-3"/>
          <w:position w:val="15"/>
        </w:rPr>
        <w:t xml:space="preserve">2 </w:t>
      </w:r>
      <w:r>
        <w:rPr>
          <w:spacing w:val="-3"/>
          <w:position w:val="15"/>
        </w:rPr>
        <w:t>项，</w:t>
      </w:r>
      <w:r>
        <w:rPr>
          <w:spacing w:val="-4"/>
          <w:position w:val="15"/>
        </w:rPr>
        <w:t>实用新型</w:t>
      </w:r>
    </w:p>
    <w:p>
      <w:pPr>
        <w:pStyle w:val="BodyText"/>
        <w:spacing w:before="1" w:line="220" w:lineRule="auto"/>
        <w:ind w:left="249"/>
      </w:pPr>
      <w:r>
        <w:rPr>
          <w:rFonts w:ascii="Times New Roman" w:eastAsia="Times New Roman" w:hAnsi="Times New Roman" w:cs="Times New Roman"/>
          <w:spacing w:val="-5"/>
        </w:rPr>
        <w:t xml:space="preserve">26 </w:t>
      </w:r>
      <w:r>
        <w:rPr>
          <w:spacing w:val="-5"/>
        </w:rPr>
        <w:t>项，具体如下表所示：</w:t>
      </w:r>
    </w:p>
    <w:p>
      <w:pPr>
        <w:spacing w:line="121" w:lineRule="exact"/>
      </w:pPr>
    </w:p>
    <w:tbl>
      <w:tblPr>
        <w:tblStyle w:val="TableNormal15"/>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4"/>
        <w:gridCol w:w="734"/>
        <w:gridCol w:w="749"/>
        <w:gridCol w:w="4057"/>
        <w:gridCol w:w="860"/>
        <w:gridCol w:w="859"/>
        <w:gridCol w:w="1335"/>
      </w:tblGrid>
      <w:tr>
        <w:tblPrEx>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394" w:type="dxa"/>
            <w:tcBorders>
              <w:left w:val="nil"/>
              <w:right w:val="single" w:sz="4" w:space="0" w:color="000000"/>
            </w:tcBorders>
            <w:textDirection w:val="tbRlV"/>
            <w:vAlign w:val="top"/>
          </w:tcPr>
          <w:p>
            <w:pPr>
              <w:spacing w:before="110" w:line="220" w:lineRule="auto"/>
              <w:ind w:left="46"/>
              <w:rPr>
                <w:rFonts w:ascii="SimSun" w:eastAsia="SimSun" w:hAnsi="SimSun" w:cs="SimSun"/>
                <w:sz w:val="15"/>
                <w:szCs w:val="15"/>
              </w:rPr>
            </w:pPr>
            <w:r>
              <w:rPr>
                <w:rFonts w:ascii="SimSun" w:eastAsia="SimSun" w:hAnsi="SimSun" w:cs="SimSun"/>
                <w:b/>
                <w:bCs/>
                <w:spacing w:val="6"/>
                <w:sz w:val="15"/>
                <w:szCs w:val="15"/>
              </w:rPr>
              <w:t>序</w:t>
            </w:r>
            <w:r>
              <w:rPr>
                <w:rFonts w:ascii="SimSun" w:eastAsia="SimSun" w:hAnsi="SimSun" w:cs="SimSun"/>
                <w:spacing w:val="-27"/>
                <w:sz w:val="15"/>
                <w:szCs w:val="15"/>
              </w:rPr>
              <w:t xml:space="preserve"> </w:t>
            </w:r>
            <w:r>
              <w:rPr>
                <w:rFonts w:ascii="SimSun" w:eastAsia="SimSun" w:hAnsi="SimSun" w:cs="SimSun"/>
                <w:b/>
                <w:bCs/>
                <w:spacing w:val="6"/>
                <w:sz w:val="15"/>
                <w:szCs w:val="15"/>
              </w:rPr>
              <w:t>号</w:t>
            </w:r>
          </w:p>
        </w:tc>
        <w:tc>
          <w:tcPr>
            <w:tcW w:w="734" w:type="dxa"/>
            <w:tcBorders>
              <w:left w:val="single" w:sz="4" w:space="0" w:color="000000"/>
            </w:tcBorders>
            <w:vAlign w:val="top"/>
          </w:tcPr>
          <w:p>
            <w:pPr>
              <w:spacing w:before="151" w:line="230" w:lineRule="auto"/>
              <w:ind w:left="146"/>
              <w:rPr>
                <w:rFonts w:ascii="SimSun" w:eastAsia="SimSun" w:hAnsi="SimSun" w:cs="SimSun"/>
                <w:sz w:val="15"/>
                <w:szCs w:val="15"/>
              </w:rPr>
            </w:pPr>
            <w:r>
              <w:rPr>
                <w:rFonts w:ascii="SimSun" w:eastAsia="SimSun" w:hAnsi="SimSun" w:cs="SimSun"/>
                <w:b/>
                <w:bCs/>
                <w:spacing w:val="-1"/>
                <w:sz w:val="15"/>
                <w:szCs w:val="15"/>
              </w:rPr>
              <w:t>申请日</w:t>
            </w:r>
          </w:p>
        </w:tc>
        <w:tc>
          <w:tcPr>
            <w:tcW w:w="749" w:type="dxa"/>
            <w:vAlign w:val="top"/>
          </w:tcPr>
          <w:p>
            <w:pPr>
              <w:spacing w:before="45" w:line="237" w:lineRule="auto"/>
              <w:ind w:left="138" w:right="136" w:firstLine="76"/>
              <w:rPr>
                <w:rFonts w:ascii="SimSun" w:eastAsia="SimSun" w:hAnsi="SimSun" w:cs="SimSun"/>
                <w:sz w:val="15"/>
                <w:szCs w:val="15"/>
              </w:rPr>
            </w:pPr>
            <w:r>
              <w:rPr>
                <w:rFonts w:ascii="SimSun" w:eastAsia="SimSun" w:hAnsi="SimSun" w:cs="SimSun"/>
                <w:b/>
                <w:bCs/>
                <w:spacing w:val="6"/>
                <w:sz w:val="15"/>
                <w:szCs w:val="15"/>
              </w:rPr>
              <w:t>授权</w:t>
            </w:r>
            <w:r>
              <w:rPr>
                <w:rFonts w:ascii="SimSun" w:eastAsia="SimSun" w:hAnsi="SimSun" w:cs="SimSun"/>
                <w:sz w:val="15"/>
                <w:szCs w:val="15"/>
              </w:rPr>
              <w:t xml:space="preserve">  </w:t>
            </w:r>
            <w:r>
              <w:rPr>
                <w:rFonts w:ascii="SimSun" w:eastAsia="SimSun" w:hAnsi="SimSun" w:cs="SimSun"/>
                <w:b/>
                <w:bCs/>
                <w:spacing w:val="4"/>
                <w:sz w:val="15"/>
                <w:szCs w:val="15"/>
              </w:rPr>
              <w:t>公告日</w:t>
            </w:r>
          </w:p>
        </w:tc>
        <w:tc>
          <w:tcPr>
            <w:tcW w:w="4057" w:type="dxa"/>
            <w:vAlign w:val="top"/>
          </w:tcPr>
          <w:p>
            <w:pPr>
              <w:spacing w:before="151" w:line="231" w:lineRule="auto"/>
              <w:ind w:left="1714"/>
              <w:rPr>
                <w:rFonts w:ascii="SimSun" w:eastAsia="SimSun" w:hAnsi="SimSun" w:cs="SimSun"/>
                <w:sz w:val="15"/>
                <w:szCs w:val="15"/>
              </w:rPr>
            </w:pPr>
            <w:r>
              <w:rPr>
                <w:rFonts w:ascii="SimSun" w:eastAsia="SimSun" w:hAnsi="SimSun" w:cs="SimSun"/>
                <w:b/>
                <w:bCs/>
                <w:spacing w:val="7"/>
                <w:sz w:val="15"/>
                <w:szCs w:val="15"/>
              </w:rPr>
              <w:t>专利名称</w:t>
            </w:r>
          </w:p>
        </w:tc>
        <w:tc>
          <w:tcPr>
            <w:tcW w:w="860" w:type="dxa"/>
            <w:vAlign w:val="top"/>
          </w:tcPr>
          <w:p>
            <w:pPr>
              <w:spacing w:before="151" w:line="230" w:lineRule="auto"/>
              <w:ind w:left="115"/>
              <w:rPr>
                <w:rFonts w:ascii="SimSun" w:eastAsia="SimSun" w:hAnsi="SimSun" w:cs="SimSun"/>
                <w:sz w:val="15"/>
                <w:szCs w:val="15"/>
              </w:rPr>
            </w:pPr>
            <w:r>
              <w:rPr>
                <w:rFonts w:ascii="SimSun" w:eastAsia="SimSun" w:hAnsi="SimSun" w:cs="SimSun"/>
                <w:b/>
                <w:bCs/>
                <w:spacing w:val="7"/>
                <w:sz w:val="15"/>
                <w:szCs w:val="15"/>
              </w:rPr>
              <w:t>专利类型</w:t>
            </w:r>
          </w:p>
        </w:tc>
        <w:tc>
          <w:tcPr>
            <w:tcW w:w="859" w:type="dxa"/>
            <w:vAlign w:val="top"/>
          </w:tcPr>
          <w:p>
            <w:pPr>
              <w:spacing w:before="151" w:line="230" w:lineRule="auto"/>
              <w:ind w:left="115"/>
              <w:rPr>
                <w:rFonts w:ascii="SimSun" w:eastAsia="SimSun" w:hAnsi="SimSun" w:cs="SimSun"/>
                <w:sz w:val="15"/>
                <w:szCs w:val="15"/>
              </w:rPr>
            </w:pPr>
            <w:r>
              <w:rPr>
                <w:rFonts w:ascii="SimSun" w:eastAsia="SimSun" w:hAnsi="SimSun" w:cs="SimSun"/>
                <w:b/>
                <w:bCs/>
                <w:spacing w:val="7"/>
                <w:sz w:val="15"/>
                <w:szCs w:val="15"/>
              </w:rPr>
              <w:t>法律状态</w:t>
            </w:r>
          </w:p>
        </w:tc>
        <w:tc>
          <w:tcPr>
            <w:tcW w:w="1335" w:type="dxa"/>
            <w:tcBorders>
              <w:right w:val="nil"/>
            </w:tcBorders>
            <w:vAlign w:val="top"/>
          </w:tcPr>
          <w:p>
            <w:pPr>
              <w:spacing w:before="151" w:line="231" w:lineRule="auto"/>
              <w:ind w:left="428"/>
              <w:rPr>
                <w:rFonts w:ascii="SimSun" w:eastAsia="SimSun" w:hAnsi="SimSun" w:cs="SimSun"/>
                <w:sz w:val="15"/>
                <w:szCs w:val="15"/>
              </w:rPr>
            </w:pPr>
            <w:r>
              <w:rPr>
                <w:rFonts w:ascii="SimSun" w:eastAsia="SimSun" w:hAnsi="SimSun" w:cs="SimSun"/>
                <w:b/>
                <w:bCs/>
                <w:spacing w:val="6"/>
                <w:sz w:val="15"/>
                <w:szCs w:val="15"/>
              </w:rPr>
              <w:t>专利号</w:t>
            </w:r>
          </w:p>
        </w:tc>
      </w:tr>
      <w:tr>
        <w:tblPrEx>
          <w:tblW w:w="8988" w:type="dxa"/>
          <w:tblInd w:w="0" w:type="dxa"/>
          <w:tblLayout w:type="fixed"/>
        </w:tblPrEx>
        <w:trPr>
          <w:trHeight w:val="373"/>
        </w:trPr>
        <w:tc>
          <w:tcPr>
            <w:tcW w:w="394" w:type="dxa"/>
            <w:tcBorders>
              <w:left w:val="nil"/>
              <w:right w:val="single" w:sz="4" w:space="0" w:color="000000"/>
            </w:tcBorders>
            <w:vAlign w:val="top"/>
          </w:tcPr>
          <w:p>
            <w:pPr>
              <w:spacing w:before="40" w:line="196" w:lineRule="auto"/>
              <w:ind w:left="176"/>
              <w:rPr>
                <w:rFonts w:ascii="Times New Roman" w:eastAsia="Times New Roman" w:hAnsi="Times New Roman" w:cs="Times New Roman"/>
                <w:sz w:val="15"/>
                <w:szCs w:val="15"/>
              </w:rPr>
            </w:pPr>
            <w:r>
              <w:rPr>
                <w:rFonts w:ascii="Times New Roman" w:eastAsia="Times New Roman" w:hAnsi="Times New Roman" w:cs="Times New Roman"/>
                <w:sz w:val="15"/>
                <w:szCs w:val="15"/>
              </w:rPr>
              <w:t>1</w:t>
            </w:r>
          </w:p>
        </w:tc>
        <w:tc>
          <w:tcPr>
            <w:tcW w:w="734" w:type="dxa"/>
            <w:tcBorders>
              <w:left w:val="single" w:sz="4" w:space="0" w:color="000000"/>
            </w:tcBorders>
            <w:vAlign w:val="top"/>
          </w:tcPr>
          <w:p>
            <w:pPr>
              <w:spacing w:before="40"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2019-</w:t>
            </w:r>
          </w:p>
          <w:p>
            <w:pPr>
              <w:spacing w:before="41" w:line="195"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01</w:t>
            </w:r>
          </w:p>
        </w:tc>
        <w:tc>
          <w:tcPr>
            <w:tcW w:w="749" w:type="dxa"/>
            <w:vAlign w:val="top"/>
          </w:tcPr>
          <w:p>
            <w:pPr>
              <w:spacing w:before="132"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2021-04</w:t>
            </w:r>
          </w:p>
        </w:tc>
        <w:tc>
          <w:tcPr>
            <w:tcW w:w="4057" w:type="dxa"/>
            <w:vAlign w:val="top"/>
          </w:tcPr>
          <w:p>
            <w:pPr>
              <w:spacing w:before="104" w:line="229" w:lineRule="auto"/>
              <w:ind w:left="117"/>
              <w:rPr>
                <w:rFonts w:ascii="SimSun" w:eastAsia="SimSun" w:hAnsi="SimSun" w:cs="SimSun"/>
                <w:sz w:val="15"/>
                <w:szCs w:val="15"/>
              </w:rPr>
            </w:pPr>
            <w:r>
              <w:rPr>
                <w:rFonts w:ascii="SimSun" w:eastAsia="SimSun" w:hAnsi="SimSun" w:cs="SimSun"/>
                <w:spacing w:val="8"/>
                <w:sz w:val="15"/>
                <w:szCs w:val="15"/>
              </w:rPr>
              <w:t>一种玻璃导光板的制备方法</w:t>
            </w:r>
          </w:p>
        </w:tc>
        <w:tc>
          <w:tcPr>
            <w:tcW w:w="860" w:type="dxa"/>
            <w:vAlign w:val="top"/>
          </w:tcPr>
          <w:p>
            <w:pPr>
              <w:spacing w:before="104" w:line="230" w:lineRule="auto"/>
              <w:ind w:left="117"/>
              <w:rPr>
                <w:rFonts w:ascii="SimSun" w:eastAsia="SimSun" w:hAnsi="SimSun" w:cs="SimSun"/>
                <w:sz w:val="15"/>
                <w:szCs w:val="15"/>
              </w:rPr>
            </w:pPr>
            <w:r>
              <w:rPr>
                <w:rFonts w:ascii="SimSun" w:eastAsia="SimSun" w:hAnsi="SimSun" w:cs="SimSun"/>
                <w:spacing w:val="6"/>
                <w:sz w:val="15"/>
                <w:szCs w:val="15"/>
              </w:rPr>
              <w:t>发明专利</w:t>
            </w:r>
          </w:p>
        </w:tc>
        <w:tc>
          <w:tcPr>
            <w:tcW w:w="859" w:type="dxa"/>
            <w:vAlign w:val="top"/>
          </w:tcPr>
          <w:p>
            <w:pPr>
              <w:spacing w:before="104"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2"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201910082875.3</w:t>
            </w:r>
          </w:p>
        </w:tc>
      </w:tr>
      <w:tr>
        <w:tblPrEx>
          <w:tblW w:w="8988" w:type="dxa"/>
          <w:tblInd w:w="0" w:type="dxa"/>
          <w:tblLayout w:type="fixed"/>
        </w:tblPrEx>
        <w:trPr>
          <w:trHeight w:val="373"/>
        </w:trPr>
        <w:tc>
          <w:tcPr>
            <w:tcW w:w="394" w:type="dxa"/>
            <w:tcBorders>
              <w:left w:val="nil"/>
              <w:right w:val="single" w:sz="4" w:space="0" w:color="000000"/>
            </w:tcBorders>
            <w:vAlign w:val="top"/>
          </w:tcPr>
          <w:p>
            <w:pPr>
              <w:spacing w:before="37" w:line="196" w:lineRule="auto"/>
              <w:ind w:left="161"/>
              <w:rPr>
                <w:rFonts w:ascii="Times New Roman" w:eastAsia="Times New Roman" w:hAnsi="Times New Roman" w:cs="Times New Roman"/>
                <w:sz w:val="15"/>
                <w:szCs w:val="15"/>
              </w:rPr>
            </w:pPr>
            <w:r>
              <w:rPr>
                <w:rFonts w:ascii="Times New Roman" w:eastAsia="Times New Roman" w:hAnsi="Times New Roman" w:cs="Times New Roman"/>
                <w:sz w:val="15"/>
                <w:szCs w:val="15"/>
              </w:rPr>
              <w:t>2</w:t>
            </w:r>
          </w:p>
        </w:tc>
        <w:tc>
          <w:tcPr>
            <w:tcW w:w="734" w:type="dxa"/>
            <w:tcBorders>
              <w:left w:val="single" w:sz="4" w:space="0" w:color="000000"/>
            </w:tcBorders>
            <w:vAlign w:val="top"/>
          </w:tcPr>
          <w:p>
            <w:pPr>
              <w:spacing w:before="37"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3"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03</w:t>
            </w:r>
          </w:p>
        </w:tc>
        <w:tc>
          <w:tcPr>
            <w:tcW w:w="749" w:type="dxa"/>
            <w:vAlign w:val="top"/>
          </w:tcPr>
          <w:p>
            <w:pPr>
              <w:spacing w:before="128"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4057" w:type="dxa"/>
            <w:vAlign w:val="top"/>
          </w:tcPr>
          <w:p>
            <w:pPr>
              <w:spacing w:before="105" w:line="229" w:lineRule="auto"/>
              <w:ind w:left="117"/>
              <w:rPr>
                <w:rFonts w:ascii="SimSun" w:eastAsia="SimSun" w:hAnsi="SimSun" w:cs="SimSun"/>
                <w:sz w:val="15"/>
                <w:szCs w:val="15"/>
              </w:rPr>
            </w:pPr>
            <w:r>
              <w:rPr>
                <w:rFonts w:ascii="SimSun" w:eastAsia="SimSun" w:hAnsi="SimSun" w:cs="SimSun"/>
                <w:spacing w:val="9"/>
                <w:sz w:val="15"/>
                <w:szCs w:val="15"/>
              </w:rPr>
              <w:t>一种高花纹精度、耐高温压花辊结构及制备方法</w:t>
            </w:r>
          </w:p>
        </w:tc>
        <w:tc>
          <w:tcPr>
            <w:tcW w:w="860" w:type="dxa"/>
            <w:vAlign w:val="top"/>
          </w:tcPr>
          <w:p>
            <w:pPr>
              <w:spacing w:before="105" w:line="230" w:lineRule="auto"/>
              <w:ind w:left="117"/>
              <w:rPr>
                <w:rFonts w:ascii="SimSun" w:eastAsia="SimSun" w:hAnsi="SimSun" w:cs="SimSun"/>
                <w:sz w:val="15"/>
                <w:szCs w:val="15"/>
              </w:rPr>
            </w:pPr>
            <w:r>
              <w:rPr>
                <w:rFonts w:ascii="SimSun" w:eastAsia="SimSun" w:hAnsi="SimSun" w:cs="SimSun"/>
                <w:spacing w:val="6"/>
                <w:sz w:val="15"/>
                <w:szCs w:val="15"/>
              </w:rPr>
              <w:t>发明专利</w:t>
            </w:r>
          </w:p>
        </w:tc>
        <w:tc>
          <w:tcPr>
            <w:tcW w:w="859" w:type="dxa"/>
            <w:vAlign w:val="top"/>
          </w:tcPr>
          <w:p>
            <w:pPr>
              <w:spacing w:before="105"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8"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202010244660.X</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8" w:line="196" w:lineRule="auto"/>
              <w:ind w:left="164"/>
              <w:rPr>
                <w:rFonts w:ascii="Times New Roman" w:eastAsia="Times New Roman" w:hAnsi="Times New Roman" w:cs="Times New Roman"/>
                <w:sz w:val="15"/>
                <w:szCs w:val="15"/>
              </w:rPr>
            </w:pPr>
            <w:r>
              <w:rPr>
                <w:rFonts w:ascii="Times New Roman" w:eastAsia="Times New Roman" w:hAnsi="Times New Roman" w:cs="Times New Roman"/>
                <w:sz w:val="15"/>
                <w:szCs w:val="15"/>
              </w:rPr>
              <w:t>3</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6"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2023-02</w:t>
            </w:r>
          </w:p>
        </w:tc>
        <w:tc>
          <w:tcPr>
            <w:tcW w:w="4057" w:type="dxa"/>
            <w:vAlign w:val="top"/>
          </w:tcPr>
          <w:p>
            <w:pPr>
              <w:spacing w:before="106" w:line="230" w:lineRule="auto"/>
              <w:ind w:left="117"/>
              <w:rPr>
                <w:rFonts w:ascii="SimSun" w:eastAsia="SimSun" w:hAnsi="SimSun" w:cs="SimSun"/>
                <w:sz w:val="15"/>
                <w:szCs w:val="15"/>
              </w:rPr>
            </w:pPr>
            <w:r>
              <w:rPr>
                <w:rFonts w:ascii="SimSun" w:eastAsia="SimSun" w:hAnsi="SimSun" w:cs="SimSun"/>
                <w:spacing w:val="8"/>
                <w:sz w:val="15"/>
                <w:szCs w:val="15"/>
              </w:rPr>
              <w:t>一种硅砂均化库水回收装置</w:t>
            </w:r>
          </w:p>
        </w:tc>
        <w:tc>
          <w:tcPr>
            <w:tcW w:w="860" w:type="dxa"/>
            <w:vAlign w:val="top"/>
          </w:tcPr>
          <w:p>
            <w:pPr>
              <w:spacing w:before="106"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202222995326.5</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8" w:line="196" w:lineRule="auto"/>
              <w:ind w:left="16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4</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2"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2023-02</w:t>
            </w:r>
          </w:p>
        </w:tc>
        <w:tc>
          <w:tcPr>
            <w:tcW w:w="4057" w:type="dxa"/>
            <w:vAlign w:val="top"/>
          </w:tcPr>
          <w:p>
            <w:pPr>
              <w:spacing w:before="102" w:line="230" w:lineRule="auto"/>
              <w:ind w:left="117"/>
              <w:rPr>
                <w:rFonts w:ascii="SimSun" w:eastAsia="SimSun" w:hAnsi="SimSun" w:cs="SimSun"/>
                <w:sz w:val="15"/>
                <w:szCs w:val="15"/>
              </w:rPr>
            </w:pPr>
            <w:r>
              <w:rPr>
                <w:rFonts w:ascii="SimSun" w:eastAsia="SimSun" w:hAnsi="SimSun" w:cs="SimSun"/>
                <w:spacing w:val="8"/>
                <w:sz w:val="15"/>
                <w:szCs w:val="15"/>
              </w:rPr>
              <w:t>一种玻璃原料均化库</w:t>
            </w:r>
          </w:p>
        </w:tc>
        <w:tc>
          <w:tcPr>
            <w:tcW w:w="860" w:type="dxa"/>
            <w:vAlign w:val="top"/>
          </w:tcPr>
          <w:p>
            <w:pPr>
              <w:spacing w:before="101"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2"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202222988554.X</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41" w:line="193" w:lineRule="auto"/>
              <w:ind w:left="166"/>
              <w:rPr>
                <w:rFonts w:ascii="Times New Roman" w:eastAsia="Times New Roman" w:hAnsi="Times New Roman" w:cs="Times New Roman"/>
                <w:sz w:val="15"/>
                <w:szCs w:val="15"/>
              </w:rPr>
            </w:pPr>
            <w:r>
              <w:rPr>
                <w:rFonts w:ascii="Times New Roman" w:eastAsia="Times New Roman" w:hAnsi="Times New Roman" w:cs="Times New Roman"/>
                <w:sz w:val="15"/>
                <w:szCs w:val="15"/>
              </w:rPr>
              <w:t>5</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6" w:line="191"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35"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2023-01</w:t>
            </w:r>
          </w:p>
        </w:tc>
        <w:tc>
          <w:tcPr>
            <w:tcW w:w="4057" w:type="dxa"/>
            <w:vAlign w:val="top"/>
          </w:tcPr>
          <w:p>
            <w:pPr>
              <w:spacing w:before="108" w:line="230" w:lineRule="auto"/>
              <w:ind w:left="117"/>
              <w:rPr>
                <w:rFonts w:ascii="SimSun" w:eastAsia="SimSun" w:hAnsi="SimSun" w:cs="SimSun"/>
                <w:sz w:val="15"/>
                <w:szCs w:val="15"/>
              </w:rPr>
            </w:pPr>
            <w:r>
              <w:rPr>
                <w:rFonts w:ascii="SimSun" w:eastAsia="SimSun" w:hAnsi="SimSun" w:cs="SimSun"/>
                <w:spacing w:val="8"/>
                <w:sz w:val="15"/>
                <w:szCs w:val="15"/>
              </w:rPr>
              <w:t>一种玻璃钢冷却塔水循环装置</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8"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5"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202222682887.X</w:t>
            </w:r>
          </w:p>
        </w:tc>
      </w:tr>
      <w:tr>
        <w:tblPrEx>
          <w:tblW w:w="8988" w:type="dxa"/>
          <w:tblInd w:w="0" w:type="dxa"/>
          <w:tblLayout w:type="fixed"/>
        </w:tblPrEx>
        <w:trPr>
          <w:trHeight w:val="397"/>
        </w:trPr>
        <w:tc>
          <w:tcPr>
            <w:tcW w:w="394" w:type="dxa"/>
            <w:tcBorders>
              <w:left w:val="nil"/>
              <w:right w:val="single" w:sz="4" w:space="0" w:color="000000"/>
            </w:tcBorders>
            <w:vAlign w:val="top"/>
          </w:tcPr>
          <w:p>
            <w:pPr>
              <w:spacing w:before="39" w:line="196" w:lineRule="auto"/>
              <w:ind w:left="165"/>
              <w:rPr>
                <w:rFonts w:ascii="Times New Roman" w:eastAsia="Times New Roman" w:hAnsi="Times New Roman" w:cs="Times New Roman"/>
                <w:sz w:val="15"/>
                <w:szCs w:val="15"/>
              </w:rPr>
            </w:pPr>
            <w:r>
              <w:rPr>
                <w:rFonts w:ascii="Times New Roman" w:eastAsia="Times New Roman" w:hAnsi="Times New Roman" w:cs="Times New Roman"/>
                <w:sz w:val="15"/>
                <w:szCs w:val="15"/>
              </w:rPr>
              <w:t>6</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6"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1"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2022-12</w:t>
            </w:r>
          </w:p>
        </w:tc>
        <w:tc>
          <w:tcPr>
            <w:tcW w:w="4057" w:type="dxa"/>
            <w:vAlign w:val="top"/>
          </w:tcPr>
          <w:p>
            <w:pPr>
              <w:spacing w:before="108" w:line="230" w:lineRule="auto"/>
              <w:ind w:left="117"/>
              <w:rPr>
                <w:rFonts w:ascii="SimSun" w:eastAsia="SimSun" w:hAnsi="SimSun" w:cs="SimSun"/>
                <w:sz w:val="15"/>
                <w:szCs w:val="15"/>
              </w:rPr>
            </w:pPr>
            <w:r>
              <w:rPr>
                <w:rFonts w:ascii="SimSun" w:eastAsia="SimSun" w:hAnsi="SimSun" w:cs="SimSun"/>
                <w:spacing w:val="8"/>
                <w:sz w:val="15"/>
                <w:szCs w:val="15"/>
              </w:rPr>
              <w:t>一种玻璃晶化退火窑</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8"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1"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202222682921.3</w:t>
            </w:r>
          </w:p>
        </w:tc>
      </w:tr>
    </w:tbl>
    <w:p>
      <w:pPr>
        <w:rPr>
          <w:rFonts w:ascii="Arial"/>
          <w:sz w:val="21"/>
        </w:rPr>
      </w:pPr>
    </w:p>
    <w:p>
      <w:pPr>
        <w:rPr>
          <w:rFonts w:ascii="Arial" w:eastAsia="Arial" w:hAnsi="Arial" w:cs="Arial"/>
          <w:sz w:val="21"/>
          <w:szCs w:val="21"/>
        </w:rPr>
        <w:sectPr>
          <w:headerReference w:type="default" r:id="rId75"/>
          <w:footerReference w:type="default" r:id="rId76"/>
          <w:type w:val="nextPage"/>
          <w:pgSz w:w="11905" w:h="16839"/>
          <w:pgMar w:top="1637" w:right="1460" w:bottom="1579" w:left="1454" w:header="1154" w:footer="1314" w:gutter="0"/>
          <w:pgNumType w:start="36"/>
          <w:cols w:space="708"/>
          <w:titlePg w:val="0"/>
        </w:sectPr>
      </w:pPr>
    </w:p>
    <w:p>
      <w:pPr>
        <w:spacing w:before="1"/>
      </w:pPr>
    </w:p>
    <w:p>
      <w:pPr>
        <w:spacing w:before="1"/>
      </w:pPr>
    </w:p>
    <w:p>
      <w:pPr>
        <w:spacing w:before="1"/>
      </w:pPr>
    </w:p>
    <w:p>
      <w:pPr>
        <w:sectPr>
          <w:headerReference w:type="default" r:id="rId77"/>
          <w:footerReference w:type="default" r:id="rId78"/>
          <w:pgSz w:w="11900" w:h="16840"/>
          <w:pgMar w:top="400" w:right="1460" w:bottom="1590" w:left="1460" w:header="0" w:footer="1309" w:gutter="0"/>
          <w:pgNumType w:start="37"/>
          <w:cols w:num="1" w:space="708" w:equalWidth="0">
            <w:col w:w="8980" w:space="0"/>
          </w:cols>
        </w:sectPr>
      </w:pPr>
    </w:p>
    <w:p>
      <w:pPr>
        <w:pStyle w:val="BodyText"/>
        <w:spacing w:before="37" w:line="218" w:lineRule="auto"/>
        <w:ind w:left="230"/>
        <w:rPr>
          <w:sz w:val="19"/>
          <w:szCs w:val="19"/>
        </w:rPr>
      </w:pPr>
      <w:r>
        <w:rPr>
          <w:spacing w:val="-10"/>
          <w:sz w:val="19"/>
          <w:szCs w:val="19"/>
        </w:rPr>
        <w:t>亚玛顿拟发行股份及支付现金购买凤阳硅谷股权项目资产评估报告</w:t>
      </w:r>
    </w:p>
    <w:p>
      <w:pPr>
        <w:pStyle w:val="BodyText"/>
        <w:spacing w:before="29" w:line="184" w:lineRule="auto"/>
        <w:ind w:left="230"/>
        <w:rPr>
          <w:sz w:val="19"/>
          <w:szCs w:val="19"/>
        </w:rPr>
      </w:pPr>
      <w:r>
        <w:drawing>
          <wp:anchor distT="0" distB="0" distL="0" distR="0" simplePos="0" relativeHeight="251668480" behindDoc="0" locked="0" layoutInCell="1" allowOverlap="1">
            <wp:simplePos x="0" y="0"/>
            <wp:positionH relativeFrom="column">
              <wp:posOffset>138466</wp:posOffset>
            </wp:positionH>
            <wp:positionV relativeFrom="paragraph">
              <wp:posOffset>133204</wp:posOffset>
            </wp:positionV>
            <wp:extent cx="5430447"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9"/>
                    <a:stretch>
                      <a:fillRect/>
                    </a:stretch>
                  </pic:blipFill>
                  <pic:spPr>
                    <a:xfrm>
                      <a:off x="0" y="0"/>
                      <a:ext cx="5430447" cy="6350"/>
                    </a:xfrm>
                    <a:prstGeom prst="rect">
                      <a:avLst/>
                    </a:prstGeom>
                  </pic:spPr>
                </pic:pic>
              </a:graphicData>
            </a:graphic>
          </wp:anchor>
        </w:drawing>
      </w:r>
      <w:r>
        <w:rPr>
          <w:color w:val="0061C2"/>
          <w:sz w:val="19"/>
          <w:szCs w:val="19"/>
        </w:rPr>
        <w:t>页</w:t>
      </w:r>
    </w:p>
    <w:p>
      <w:pPr>
        <w:spacing w:line="14" w:lineRule="auto"/>
        <w:rPr>
          <w:rFonts w:ascii="Arial"/>
          <w:sz w:val="2"/>
        </w:rPr>
      </w:pPr>
      <w:r>
        <w:rPr>
          <w:rFonts w:ascii="Arial" w:eastAsia="Arial" w:hAnsi="Arial" w:cs="Arial"/>
          <w:sz w:val="2"/>
          <w:szCs w:val="2"/>
        </w:rPr>
        <w:br w:type="column"/>
      </w:r>
    </w:p>
    <w:p>
      <w:pPr>
        <w:pStyle w:val="BodyText"/>
        <w:spacing w:before="36" w:line="219" w:lineRule="auto"/>
        <w:ind w:left="60"/>
        <w:rPr>
          <w:sz w:val="19"/>
          <w:szCs w:val="19"/>
        </w:rPr>
      </w:pPr>
      <w:r>
        <w:rPr>
          <w:spacing w:val="13"/>
          <w:sz w:val="19"/>
          <w:szCs w:val="19"/>
        </w:rPr>
        <w:t>第17</w:t>
      </w:r>
    </w:p>
    <w:p>
      <w:pPr>
        <w:spacing w:line="219" w:lineRule="auto"/>
        <w:rPr>
          <w:sz w:val="19"/>
          <w:szCs w:val="19"/>
        </w:rPr>
        <w:sectPr>
          <w:headerReference w:type="default" r:id="rId80"/>
          <w:footerReference w:type="default" r:id="rId81"/>
          <w:type w:val="continuous"/>
          <w:pgSz w:w="11900" w:h="16840"/>
          <w:pgMar w:top="400" w:right="1460" w:bottom="1590" w:left="1460" w:header="0" w:footer="1309" w:gutter="0"/>
          <w:pgNumType w:start="38"/>
          <w:cols w:num="2" w:space="708" w:equalWidth="0">
            <w:col w:w="8160" w:space="100"/>
            <w:col w:w="720" w:space="0"/>
          </w:cols>
        </w:sectPr>
      </w:pPr>
    </w:p>
    <w:tbl>
      <w:tblPr>
        <w:tblStyle w:val="TableNormal16"/>
        <w:tblW w:w="89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0"/>
        <w:gridCol w:w="740"/>
        <w:gridCol w:w="740"/>
        <w:gridCol w:w="4060"/>
        <w:gridCol w:w="860"/>
        <w:gridCol w:w="850"/>
        <w:gridCol w:w="1349"/>
      </w:tblGrid>
      <w:tr>
        <w:tblPrEx>
          <w:tblW w:w="89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380" w:type="dxa"/>
            <w:tcBorders>
              <w:left w:val="nil"/>
            </w:tcBorders>
            <w:vAlign w:val="top"/>
          </w:tcPr>
          <w:p>
            <w:pPr>
              <w:spacing w:before="83" w:line="182" w:lineRule="auto"/>
              <w:ind w:left="149"/>
              <w:rPr>
                <w:rFonts w:ascii="SimSun" w:eastAsia="SimSun" w:hAnsi="SimSun" w:cs="SimSun"/>
                <w:sz w:val="16"/>
                <w:szCs w:val="16"/>
              </w:rPr>
            </w:pPr>
            <w:r>
              <w:rPr>
                <w:rFonts w:ascii="SimSun" w:eastAsia="SimSun" w:hAnsi="SimSun" w:cs="SimSun"/>
                <w:sz w:val="16"/>
                <w:szCs w:val="16"/>
              </w:rPr>
              <w:t>7</w:t>
            </w:r>
          </w:p>
        </w:tc>
        <w:tc>
          <w:tcPr>
            <w:tcW w:w="740" w:type="dxa"/>
            <w:vAlign w:val="top"/>
          </w:tcPr>
          <w:p>
            <w:pPr>
              <w:spacing w:before="72" w:line="183" w:lineRule="auto"/>
              <w:ind w:left="165"/>
              <w:rPr>
                <w:rFonts w:ascii="SimSun" w:eastAsia="SimSun" w:hAnsi="SimSun" w:cs="SimSun"/>
                <w:sz w:val="16"/>
                <w:szCs w:val="16"/>
              </w:rPr>
            </w:pPr>
            <w:r>
              <w:rPr>
                <w:rFonts w:ascii="SimSun" w:eastAsia="SimSun" w:hAnsi="SimSun" w:cs="SimSun"/>
                <w:spacing w:val="-2"/>
                <w:sz w:val="16"/>
                <w:szCs w:val="16"/>
              </w:rPr>
              <w:t>2022-</w:t>
            </w:r>
          </w:p>
          <w:p>
            <w:pPr>
              <w:spacing w:before="10" w:line="132" w:lineRule="exact"/>
              <w:ind w:left="284"/>
              <w:rPr>
                <w:rFonts w:ascii="SimSun" w:eastAsia="SimSun" w:hAnsi="SimSun" w:cs="SimSun"/>
                <w:sz w:val="16"/>
                <w:szCs w:val="16"/>
              </w:rPr>
            </w:pPr>
            <w:r>
              <w:rPr>
                <w:rFonts w:ascii="SimSun" w:eastAsia="SimSun" w:hAnsi="SimSun" w:cs="SimSun"/>
                <w:spacing w:val="-5"/>
                <w:position w:val="-2"/>
                <w:sz w:val="16"/>
                <w:szCs w:val="16"/>
              </w:rPr>
              <w:t>10</w:t>
            </w:r>
          </w:p>
        </w:tc>
        <w:tc>
          <w:tcPr>
            <w:tcW w:w="740" w:type="dxa"/>
            <w:vAlign w:val="top"/>
          </w:tcPr>
          <w:p>
            <w:pPr>
              <w:spacing w:before="152" w:line="183" w:lineRule="auto"/>
              <w:ind w:left="84"/>
              <w:rPr>
                <w:rFonts w:ascii="SimSun" w:eastAsia="SimSun" w:hAnsi="SimSun" w:cs="SimSun"/>
                <w:sz w:val="16"/>
                <w:szCs w:val="16"/>
              </w:rPr>
            </w:pPr>
            <w:r>
              <w:rPr>
                <w:rFonts w:ascii="SimSun" w:eastAsia="SimSun" w:hAnsi="SimSun" w:cs="SimSun"/>
                <w:spacing w:val="-2"/>
                <w:sz w:val="16"/>
                <w:szCs w:val="16"/>
              </w:rPr>
              <w:t>2023-03</w:t>
            </w:r>
          </w:p>
        </w:tc>
        <w:tc>
          <w:tcPr>
            <w:tcW w:w="4060" w:type="dxa"/>
            <w:vAlign w:val="top"/>
          </w:tcPr>
          <w:p>
            <w:pPr>
              <w:spacing w:before="110" w:line="219" w:lineRule="auto"/>
              <w:ind w:left="125"/>
              <w:rPr>
                <w:rFonts w:ascii="SimSun" w:eastAsia="SimSun" w:hAnsi="SimSun" w:cs="SimSun"/>
                <w:sz w:val="16"/>
                <w:szCs w:val="16"/>
              </w:rPr>
            </w:pPr>
            <w:r>
              <w:rPr>
                <w:rFonts w:ascii="SimSun" w:eastAsia="SimSun" w:hAnsi="SimSun" w:cs="SimSun"/>
                <w:spacing w:val="-1"/>
                <w:sz w:val="16"/>
                <w:szCs w:val="16"/>
              </w:rPr>
              <w:t>一种变频螺杆空压机</w:t>
            </w:r>
          </w:p>
        </w:tc>
        <w:tc>
          <w:tcPr>
            <w:tcW w:w="860" w:type="dxa"/>
            <w:vAlign w:val="top"/>
          </w:tcPr>
          <w:p>
            <w:pPr>
              <w:spacing w:before="112"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1"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2" w:line="183" w:lineRule="auto"/>
              <w:ind w:left="104"/>
              <w:rPr>
                <w:rFonts w:ascii="SimSun" w:eastAsia="SimSun" w:hAnsi="SimSun" w:cs="SimSun"/>
                <w:sz w:val="16"/>
                <w:szCs w:val="16"/>
              </w:rPr>
            </w:pPr>
            <w:r>
              <w:rPr>
                <w:rFonts w:ascii="SimSun" w:eastAsia="SimSun" w:hAnsi="SimSun" w:cs="SimSun"/>
                <w:spacing w:val="-1"/>
                <w:sz w:val="16"/>
                <w:szCs w:val="16"/>
              </w:rPr>
              <w:t>202222682940.6</w:t>
            </w:r>
          </w:p>
        </w:tc>
      </w:tr>
      <w:tr>
        <w:tblPrEx>
          <w:tblW w:w="8979" w:type="dxa"/>
          <w:tblInd w:w="0" w:type="dxa"/>
          <w:tblLayout w:type="fixed"/>
        </w:tblPrEx>
        <w:trPr>
          <w:trHeight w:val="370"/>
        </w:trPr>
        <w:tc>
          <w:tcPr>
            <w:tcW w:w="380" w:type="dxa"/>
            <w:tcBorders>
              <w:left w:val="nil"/>
            </w:tcBorders>
            <w:vAlign w:val="top"/>
          </w:tcPr>
          <w:p>
            <w:pPr>
              <w:spacing w:before="98" w:line="183" w:lineRule="auto"/>
              <w:ind w:left="149"/>
              <w:rPr>
                <w:rFonts w:ascii="SimSun" w:eastAsia="SimSun" w:hAnsi="SimSun" w:cs="SimSun"/>
                <w:sz w:val="16"/>
                <w:szCs w:val="16"/>
              </w:rPr>
            </w:pPr>
            <w:r>
              <w:rPr>
                <w:rFonts w:ascii="SimSun" w:eastAsia="SimSun" w:hAnsi="SimSun" w:cs="SimSun"/>
                <w:sz w:val="16"/>
                <w:szCs w:val="16"/>
              </w:rPr>
              <w:t>8</w:t>
            </w:r>
          </w:p>
        </w:tc>
        <w:tc>
          <w:tcPr>
            <w:tcW w:w="740" w:type="dxa"/>
            <w:vAlign w:val="top"/>
          </w:tcPr>
          <w:p>
            <w:pPr>
              <w:spacing w:before="68" w:line="184" w:lineRule="auto"/>
              <w:ind w:left="165"/>
              <w:rPr>
                <w:rFonts w:ascii="SimSun" w:eastAsia="SimSun" w:hAnsi="SimSun" w:cs="SimSun"/>
                <w:sz w:val="16"/>
                <w:szCs w:val="16"/>
              </w:rPr>
            </w:pPr>
            <w:r>
              <w:rPr>
                <w:rFonts w:ascii="SimSun" w:eastAsia="SimSun" w:hAnsi="SimSun" w:cs="SimSun"/>
                <w:spacing w:val="-2"/>
                <w:sz w:val="16"/>
                <w:szCs w:val="16"/>
              </w:rPr>
              <w:t>2022.</w:t>
            </w:r>
          </w:p>
          <w:p>
            <w:pPr>
              <w:spacing w:line="131" w:lineRule="exact"/>
              <w:ind w:left="284"/>
              <w:rPr>
                <w:rFonts w:ascii="SimSun" w:eastAsia="SimSun" w:hAnsi="SimSun" w:cs="SimSun"/>
                <w:sz w:val="16"/>
                <w:szCs w:val="16"/>
              </w:rPr>
            </w:pPr>
            <w:r>
              <w:rPr>
                <w:rFonts w:ascii="SimSun" w:eastAsia="SimSun" w:hAnsi="SimSun" w:cs="SimSun"/>
                <w:spacing w:val="-5"/>
                <w:position w:val="-2"/>
                <w:sz w:val="16"/>
                <w:szCs w:val="16"/>
              </w:rPr>
              <w:t>10</w:t>
            </w:r>
          </w:p>
        </w:tc>
        <w:tc>
          <w:tcPr>
            <w:tcW w:w="740" w:type="dxa"/>
            <w:vAlign w:val="top"/>
          </w:tcPr>
          <w:p>
            <w:pPr>
              <w:spacing w:before="148" w:line="183" w:lineRule="auto"/>
              <w:ind w:left="84"/>
              <w:rPr>
                <w:rFonts w:ascii="SimSun" w:eastAsia="SimSun" w:hAnsi="SimSun" w:cs="SimSun"/>
                <w:sz w:val="16"/>
                <w:szCs w:val="16"/>
              </w:rPr>
            </w:pPr>
            <w:r>
              <w:rPr>
                <w:rFonts w:ascii="SimSun" w:eastAsia="SimSun" w:hAnsi="SimSun" w:cs="SimSun"/>
                <w:spacing w:val="-2"/>
                <w:sz w:val="16"/>
                <w:szCs w:val="16"/>
              </w:rPr>
              <w:t>2023-03</w:t>
            </w:r>
          </w:p>
        </w:tc>
        <w:tc>
          <w:tcPr>
            <w:tcW w:w="4060" w:type="dxa"/>
            <w:vAlign w:val="top"/>
          </w:tcPr>
          <w:p>
            <w:pPr>
              <w:spacing w:before="108" w:line="220" w:lineRule="auto"/>
              <w:ind w:left="125"/>
              <w:rPr>
                <w:rFonts w:ascii="SimSun" w:eastAsia="SimSun" w:hAnsi="SimSun" w:cs="SimSun"/>
                <w:sz w:val="16"/>
                <w:szCs w:val="16"/>
              </w:rPr>
            </w:pPr>
            <w:r>
              <w:rPr>
                <w:rFonts w:ascii="SimSun" w:eastAsia="SimSun" w:hAnsi="SimSun" w:cs="SimSun"/>
                <w:spacing w:val="-1"/>
                <w:sz w:val="16"/>
                <w:szCs w:val="16"/>
              </w:rPr>
              <w:t>一种玻璃压延段恒温隔热棚</w:t>
            </w:r>
          </w:p>
        </w:tc>
        <w:tc>
          <w:tcPr>
            <w:tcW w:w="860" w:type="dxa"/>
            <w:vAlign w:val="top"/>
          </w:tcPr>
          <w:p>
            <w:pPr>
              <w:spacing w:before="108"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7"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48" w:line="184" w:lineRule="auto"/>
              <w:ind w:left="104"/>
              <w:rPr>
                <w:rFonts w:ascii="SimSun" w:eastAsia="SimSun" w:hAnsi="SimSun" w:cs="SimSun"/>
                <w:sz w:val="16"/>
                <w:szCs w:val="16"/>
              </w:rPr>
            </w:pPr>
            <w:r>
              <w:rPr>
                <w:rFonts w:ascii="SimSun" w:eastAsia="SimSun" w:hAnsi="SimSun" w:cs="SimSun"/>
                <w:spacing w:val="-1"/>
                <w:sz w:val="16"/>
                <w:szCs w:val="16"/>
              </w:rPr>
              <w:t>202221758490.8</w:t>
            </w:r>
          </w:p>
        </w:tc>
      </w:tr>
      <w:tr>
        <w:tblPrEx>
          <w:tblW w:w="8979" w:type="dxa"/>
          <w:tblInd w:w="0" w:type="dxa"/>
          <w:tblLayout w:type="fixed"/>
        </w:tblPrEx>
        <w:trPr>
          <w:trHeight w:val="359"/>
        </w:trPr>
        <w:tc>
          <w:tcPr>
            <w:tcW w:w="380" w:type="dxa"/>
            <w:tcBorders>
              <w:left w:val="nil"/>
            </w:tcBorders>
            <w:vAlign w:val="top"/>
          </w:tcPr>
          <w:p>
            <w:pPr>
              <w:spacing w:before="68" w:line="183" w:lineRule="auto"/>
              <w:ind w:left="149"/>
              <w:rPr>
                <w:rFonts w:ascii="SimSun" w:eastAsia="SimSun" w:hAnsi="SimSun" w:cs="SimSun"/>
                <w:sz w:val="16"/>
                <w:szCs w:val="16"/>
              </w:rPr>
            </w:pPr>
            <w:r>
              <w:rPr>
                <w:rFonts w:ascii="SimSun" w:eastAsia="SimSun" w:hAnsi="SimSun" w:cs="SimSun"/>
                <w:sz w:val="16"/>
                <w:szCs w:val="16"/>
              </w:rPr>
              <w:t>9</w:t>
            </w:r>
          </w:p>
        </w:tc>
        <w:tc>
          <w:tcPr>
            <w:tcW w:w="740" w:type="dxa"/>
            <w:vAlign w:val="top"/>
          </w:tcPr>
          <w:p>
            <w:pPr>
              <w:spacing w:before="58" w:line="183" w:lineRule="auto"/>
              <w:ind w:left="165"/>
              <w:rPr>
                <w:rFonts w:ascii="SimSun" w:eastAsia="SimSun" w:hAnsi="SimSun" w:cs="SimSun"/>
                <w:sz w:val="16"/>
                <w:szCs w:val="16"/>
              </w:rPr>
            </w:pPr>
            <w:r>
              <w:rPr>
                <w:rFonts w:ascii="SimSun" w:eastAsia="SimSun" w:hAnsi="SimSun" w:cs="SimSun"/>
                <w:spacing w:val="-2"/>
                <w:sz w:val="16"/>
                <w:szCs w:val="16"/>
              </w:rPr>
              <w:t>2022-</w:t>
            </w:r>
          </w:p>
          <w:p>
            <w:pPr>
              <w:spacing w:before="1" w:line="130" w:lineRule="exact"/>
              <w:ind w:left="284"/>
              <w:rPr>
                <w:rFonts w:ascii="SimSun" w:eastAsia="SimSun" w:hAnsi="SimSun" w:cs="SimSun"/>
                <w:sz w:val="16"/>
                <w:szCs w:val="16"/>
              </w:rPr>
            </w:pPr>
            <w:r>
              <w:rPr>
                <w:rFonts w:ascii="SimSun" w:eastAsia="SimSun" w:hAnsi="SimSun" w:cs="SimSun"/>
                <w:spacing w:val="-2"/>
                <w:position w:val="-2"/>
                <w:sz w:val="16"/>
                <w:szCs w:val="16"/>
              </w:rPr>
              <w:t>07</w:t>
            </w:r>
          </w:p>
        </w:tc>
        <w:tc>
          <w:tcPr>
            <w:tcW w:w="740" w:type="dxa"/>
            <w:vAlign w:val="top"/>
          </w:tcPr>
          <w:p>
            <w:pPr>
              <w:spacing w:before="138" w:line="184" w:lineRule="auto"/>
              <w:ind w:left="84"/>
              <w:rPr>
                <w:rFonts w:ascii="SimSun" w:eastAsia="SimSun" w:hAnsi="SimSun" w:cs="SimSun"/>
                <w:sz w:val="16"/>
                <w:szCs w:val="16"/>
              </w:rPr>
            </w:pPr>
            <w:r>
              <w:rPr>
                <w:rFonts w:ascii="SimSun" w:eastAsia="SimSun" w:hAnsi="SimSun" w:cs="SimSun"/>
                <w:spacing w:val="-2"/>
                <w:sz w:val="16"/>
                <w:szCs w:val="16"/>
              </w:rPr>
              <w:t>2022-10</w:t>
            </w:r>
          </w:p>
        </w:tc>
        <w:tc>
          <w:tcPr>
            <w:tcW w:w="4060" w:type="dxa"/>
            <w:vAlign w:val="top"/>
          </w:tcPr>
          <w:p>
            <w:pPr>
              <w:spacing w:before="96" w:line="219" w:lineRule="auto"/>
              <w:ind w:left="125"/>
              <w:rPr>
                <w:rFonts w:ascii="SimSun" w:eastAsia="SimSun" w:hAnsi="SimSun" w:cs="SimSun"/>
                <w:sz w:val="16"/>
                <w:szCs w:val="16"/>
              </w:rPr>
            </w:pPr>
            <w:r>
              <w:rPr>
                <w:rFonts w:ascii="SimSun" w:eastAsia="SimSun" w:hAnsi="SimSun" w:cs="SimSun"/>
                <w:spacing w:val="-1"/>
                <w:sz w:val="16"/>
                <w:szCs w:val="16"/>
              </w:rPr>
              <w:t>用于高精度花纹玻璃压制成型的压延辊及双辊压延系统</w:t>
            </w:r>
          </w:p>
        </w:tc>
        <w:tc>
          <w:tcPr>
            <w:tcW w:w="860" w:type="dxa"/>
            <w:vAlign w:val="top"/>
          </w:tcPr>
          <w:p>
            <w:pPr>
              <w:spacing w:before="98"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97"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38" w:line="184" w:lineRule="auto"/>
              <w:ind w:left="104"/>
              <w:rPr>
                <w:rFonts w:ascii="SimSun" w:eastAsia="SimSun" w:hAnsi="SimSun" w:cs="SimSun"/>
                <w:sz w:val="16"/>
                <w:szCs w:val="16"/>
              </w:rPr>
            </w:pPr>
            <w:r>
              <w:rPr>
                <w:rFonts w:ascii="SimSun" w:eastAsia="SimSun" w:hAnsi="SimSun" w:cs="SimSun"/>
                <w:spacing w:val="-1"/>
                <w:sz w:val="16"/>
                <w:szCs w:val="16"/>
              </w:rPr>
              <w:t>202221335485.6</w:t>
            </w:r>
          </w:p>
        </w:tc>
      </w:tr>
      <w:tr>
        <w:tblPrEx>
          <w:tblW w:w="8979" w:type="dxa"/>
          <w:tblInd w:w="0" w:type="dxa"/>
          <w:tblLayout w:type="fixed"/>
        </w:tblPrEx>
        <w:trPr>
          <w:trHeight w:val="370"/>
        </w:trPr>
        <w:tc>
          <w:tcPr>
            <w:tcW w:w="380" w:type="dxa"/>
            <w:tcBorders>
              <w:left w:val="nil"/>
            </w:tcBorders>
            <w:vAlign w:val="top"/>
          </w:tcPr>
          <w:p>
            <w:pPr>
              <w:spacing w:before="69" w:line="184" w:lineRule="auto"/>
              <w:ind w:left="109"/>
              <w:rPr>
                <w:rFonts w:ascii="SimSun" w:eastAsia="SimSun" w:hAnsi="SimSun" w:cs="SimSun"/>
                <w:sz w:val="16"/>
                <w:szCs w:val="16"/>
              </w:rPr>
            </w:pPr>
            <w:r>
              <w:rPr>
                <w:rFonts w:ascii="SimSun" w:eastAsia="SimSun" w:hAnsi="SimSun" w:cs="SimSun"/>
                <w:spacing w:val="-5"/>
                <w:sz w:val="16"/>
                <w:szCs w:val="16"/>
              </w:rPr>
              <w:t>10</w:t>
            </w:r>
          </w:p>
        </w:tc>
        <w:tc>
          <w:tcPr>
            <w:tcW w:w="740" w:type="dxa"/>
            <w:vAlign w:val="top"/>
          </w:tcPr>
          <w:p>
            <w:pPr>
              <w:spacing w:before="69" w:line="183" w:lineRule="auto"/>
              <w:ind w:left="165"/>
              <w:rPr>
                <w:rFonts w:ascii="SimSun" w:eastAsia="SimSun" w:hAnsi="SimSun" w:cs="SimSun"/>
                <w:sz w:val="16"/>
                <w:szCs w:val="16"/>
              </w:rPr>
            </w:pPr>
            <w:r>
              <w:rPr>
                <w:rFonts w:ascii="SimSun" w:eastAsia="SimSun" w:hAnsi="SimSun" w:cs="SimSun"/>
                <w:spacing w:val="-2"/>
                <w:sz w:val="16"/>
                <w:szCs w:val="16"/>
              </w:rPr>
              <w:t>2022-</w:t>
            </w:r>
          </w:p>
          <w:p>
            <w:pPr>
              <w:spacing w:before="11" w:line="120" w:lineRule="exact"/>
              <w:ind w:left="284"/>
              <w:rPr>
                <w:rFonts w:ascii="SimSun" w:eastAsia="SimSun" w:hAnsi="SimSun" w:cs="SimSun"/>
                <w:sz w:val="16"/>
                <w:szCs w:val="16"/>
              </w:rPr>
            </w:pPr>
            <w:r>
              <w:rPr>
                <w:rFonts w:ascii="SimSun" w:eastAsia="SimSun" w:hAnsi="SimSun" w:cs="SimSun"/>
                <w:spacing w:val="-2"/>
                <w:position w:val="-2"/>
                <w:sz w:val="16"/>
                <w:szCs w:val="16"/>
              </w:rPr>
              <w:t>05</w:t>
            </w:r>
          </w:p>
        </w:tc>
        <w:tc>
          <w:tcPr>
            <w:tcW w:w="740" w:type="dxa"/>
            <w:vAlign w:val="top"/>
          </w:tcPr>
          <w:p>
            <w:pPr>
              <w:spacing w:before="149" w:line="184" w:lineRule="auto"/>
              <w:ind w:left="84"/>
              <w:rPr>
                <w:rFonts w:ascii="SimSun" w:eastAsia="SimSun" w:hAnsi="SimSun" w:cs="SimSun"/>
                <w:sz w:val="16"/>
                <w:szCs w:val="16"/>
              </w:rPr>
            </w:pPr>
            <w:r>
              <w:rPr>
                <w:rFonts w:ascii="SimSun" w:eastAsia="SimSun" w:hAnsi="SimSun" w:cs="SimSun"/>
                <w:spacing w:val="-2"/>
                <w:sz w:val="16"/>
                <w:szCs w:val="16"/>
              </w:rPr>
              <w:t>2022-01</w:t>
            </w:r>
          </w:p>
        </w:tc>
        <w:tc>
          <w:tcPr>
            <w:tcW w:w="4060" w:type="dxa"/>
            <w:vAlign w:val="top"/>
          </w:tcPr>
          <w:p>
            <w:pPr>
              <w:spacing w:before="108" w:line="219" w:lineRule="auto"/>
              <w:ind w:left="125"/>
              <w:rPr>
                <w:rFonts w:ascii="SimSun" w:eastAsia="SimSun" w:hAnsi="SimSun" w:cs="SimSun"/>
                <w:sz w:val="16"/>
                <w:szCs w:val="16"/>
              </w:rPr>
            </w:pPr>
            <w:r>
              <w:rPr>
                <w:rFonts w:ascii="SimSun" w:eastAsia="SimSun" w:hAnsi="SimSun" w:cs="SimSun"/>
                <w:spacing w:val="-2"/>
                <w:sz w:val="16"/>
                <w:szCs w:val="16"/>
              </w:rPr>
              <w:t>玻璃支撑架</w:t>
            </w:r>
          </w:p>
        </w:tc>
        <w:tc>
          <w:tcPr>
            <w:tcW w:w="860" w:type="dxa"/>
            <w:vAlign w:val="top"/>
          </w:tcPr>
          <w:p>
            <w:pPr>
              <w:spacing w:before="109"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8"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49" w:line="184" w:lineRule="auto"/>
              <w:ind w:left="104"/>
              <w:rPr>
                <w:rFonts w:ascii="SimSun" w:eastAsia="SimSun" w:hAnsi="SimSun" w:cs="SimSun"/>
                <w:sz w:val="16"/>
                <w:szCs w:val="16"/>
              </w:rPr>
            </w:pPr>
            <w:r>
              <w:rPr>
                <w:rFonts w:ascii="SimSun" w:eastAsia="SimSun" w:hAnsi="SimSun" w:cs="SimSun"/>
                <w:spacing w:val="-1"/>
                <w:sz w:val="16"/>
                <w:szCs w:val="16"/>
              </w:rPr>
              <w:t>202120158756.4</w:t>
            </w:r>
          </w:p>
        </w:tc>
      </w:tr>
      <w:tr>
        <w:tblPrEx>
          <w:tblW w:w="8979" w:type="dxa"/>
          <w:tblInd w:w="0" w:type="dxa"/>
          <w:tblLayout w:type="fixed"/>
        </w:tblPrEx>
        <w:trPr>
          <w:trHeight w:val="369"/>
        </w:trPr>
        <w:tc>
          <w:tcPr>
            <w:tcW w:w="380" w:type="dxa"/>
            <w:tcBorders>
              <w:left w:val="nil"/>
            </w:tcBorders>
            <w:vAlign w:val="top"/>
          </w:tcPr>
          <w:p>
            <w:pPr>
              <w:spacing w:before="58" w:line="184" w:lineRule="auto"/>
              <w:ind w:left="109"/>
              <w:rPr>
                <w:rFonts w:ascii="SimSun" w:eastAsia="SimSun" w:hAnsi="SimSun" w:cs="SimSun"/>
                <w:sz w:val="16"/>
                <w:szCs w:val="16"/>
              </w:rPr>
            </w:pPr>
            <w:r>
              <w:rPr>
                <w:rFonts w:ascii="SimSun" w:eastAsia="SimSun" w:hAnsi="SimSun" w:cs="SimSun"/>
                <w:spacing w:val="-5"/>
                <w:sz w:val="16"/>
                <w:szCs w:val="16"/>
              </w:rPr>
              <w:t>11</w:t>
            </w:r>
          </w:p>
        </w:tc>
        <w:tc>
          <w:tcPr>
            <w:tcW w:w="740" w:type="dxa"/>
            <w:vAlign w:val="top"/>
          </w:tcPr>
          <w:p>
            <w:pPr>
              <w:spacing w:before="49" w:line="184" w:lineRule="auto"/>
              <w:ind w:left="165"/>
              <w:rPr>
                <w:rFonts w:ascii="SimSun" w:eastAsia="SimSun" w:hAnsi="SimSun" w:cs="SimSun"/>
                <w:sz w:val="16"/>
                <w:szCs w:val="16"/>
              </w:rPr>
            </w:pPr>
            <w:r>
              <w:rPr>
                <w:rFonts w:ascii="SimSun" w:eastAsia="SimSun" w:hAnsi="SimSun" w:cs="SimSun"/>
                <w:spacing w:val="-2"/>
                <w:sz w:val="16"/>
                <w:szCs w:val="16"/>
              </w:rPr>
              <w:t>2021-</w:t>
            </w:r>
          </w:p>
          <w:p>
            <w:pPr>
              <w:spacing w:before="20" w:line="130" w:lineRule="exact"/>
              <w:ind w:left="284"/>
              <w:rPr>
                <w:rFonts w:ascii="SimSun" w:eastAsia="SimSun" w:hAnsi="SimSun" w:cs="SimSun"/>
                <w:sz w:val="16"/>
                <w:szCs w:val="16"/>
              </w:rPr>
            </w:pPr>
            <w:r>
              <w:rPr>
                <w:rFonts w:ascii="SimSun" w:eastAsia="SimSun" w:hAnsi="SimSun" w:cs="SimSun"/>
                <w:spacing w:val="-2"/>
                <w:position w:val="-2"/>
                <w:sz w:val="16"/>
                <w:szCs w:val="16"/>
              </w:rPr>
              <w:t>01</w:t>
            </w:r>
          </w:p>
        </w:tc>
        <w:tc>
          <w:tcPr>
            <w:tcW w:w="740" w:type="dxa"/>
            <w:vAlign w:val="top"/>
          </w:tcPr>
          <w:p>
            <w:pPr>
              <w:spacing w:before="149" w:line="184" w:lineRule="auto"/>
              <w:ind w:left="84"/>
              <w:rPr>
                <w:rFonts w:ascii="SimSun" w:eastAsia="SimSun" w:hAnsi="SimSun" w:cs="SimSun"/>
                <w:sz w:val="16"/>
                <w:szCs w:val="16"/>
              </w:rPr>
            </w:pPr>
            <w:r>
              <w:rPr>
                <w:rFonts w:ascii="SimSun" w:eastAsia="SimSun" w:hAnsi="SimSun" w:cs="SimSun"/>
                <w:spacing w:val="-2"/>
                <w:sz w:val="16"/>
                <w:szCs w:val="16"/>
              </w:rPr>
              <w:t>2021-08</w:t>
            </w:r>
          </w:p>
        </w:tc>
        <w:tc>
          <w:tcPr>
            <w:tcW w:w="4060" w:type="dxa"/>
            <w:vAlign w:val="top"/>
          </w:tcPr>
          <w:p>
            <w:pPr>
              <w:spacing w:before="107" w:line="219" w:lineRule="auto"/>
              <w:ind w:left="125"/>
              <w:rPr>
                <w:rFonts w:ascii="SimSun" w:eastAsia="SimSun" w:hAnsi="SimSun" w:cs="SimSun"/>
                <w:sz w:val="16"/>
                <w:szCs w:val="16"/>
              </w:rPr>
            </w:pPr>
            <w:r>
              <w:rPr>
                <w:rFonts w:ascii="SimSun" w:eastAsia="SimSun" w:hAnsi="SimSun" w:cs="SimSun"/>
                <w:spacing w:val="-1"/>
                <w:sz w:val="16"/>
                <w:szCs w:val="16"/>
              </w:rPr>
              <w:t>带有防尘机构的清边装置</w:t>
            </w:r>
          </w:p>
        </w:tc>
        <w:tc>
          <w:tcPr>
            <w:tcW w:w="860" w:type="dxa"/>
            <w:vAlign w:val="top"/>
          </w:tcPr>
          <w:p>
            <w:pPr>
              <w:spacing w:before="109"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8"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49" w:line="183" w:lineRule="auto"/>
              <w:ind w:left="104"/>
              <w:rPr>
                <w:rFonts w:ascii="SimSun" w:eastAsia="SimSun" w:hAnsi="SimSun" w:cs="SimSun"/>
                <w:sz w:val="16"/>
                <w:szCs w:val="16"/>
              </w:rPr>
            </w:pPr>
            <w:r>
              <w:rPr>
                <w:rFonts w:ascii="SimSun" w:eastAsia="SimSun" w:hAnsi="SimSun" w:cs="SimSun"/>
                <w:spacing w:val="-1"/>
                <w:sz w:val="16"/>
                <w:szCs w:val="16"/>
              </w:rPr>
              <w:t>202022484327.4</w:t>
            </w:r>
          </w:p>
        </w:tc>
      </w:tr>
      <w:tr>
        <w:tblPrEx>
          <w:tblW w:w="8979" w:type="dxa"/>
          <w:tblInd w:w="0" w:type="dxa"/>
          <w:tblLayout w:type="fixed"/>
        </w:tblPrEx>
        <w:trPr>
          <w:trHeight w:val="370"/>
        </w:trPr>
        <w:tc>
          <w:tcPr>
            <w:tcW w:w="380" w:type="dxa"/>
            <w:tcBorders>
              <w:left w:val="nil"/>
            </w:tcBorders>
            <w:vAlign w:val="top"/>
          </w:tcPr>
          <w:p>
            <w:pPr>
              <w:spacing w:before="69" w:line="184" w:lineRule="auto"/>
              <w:ind w:left="109"/>
              <w:rPr>
                <w:rFonts w:ascii="SimSun" w:eastAsia="SimSun" w:hAnsi="SimSun" w:cs="SimSun"/>
                <w:sz w:val="16"/>
                <w:szCs w:val="16"/>
              </w:rPr>
            </w:pPr>
            <w:r>
              <w:rPr>
                <w:rFonts w:ascii="SimSun" w:eastAsia="SimSun" w:hAnsi="SimSun" w:cs="SimSun"/>
                <w:spacing w:val="-5"/>
                <w:sz w:val="16"/>
                <w:szCs w:val="16"/>
              </w:rPr>
              <w:t>12</w:t>
            </w:r>
          </w:p>
        </w:tc>
        <w:tc>
          <w:tcPr>
            <w:tcW w:w="740" w:type="dxa"/>
            <w:vAlign w:val="top"/>
          </w:tcPr>
          <w:p>
            <w:pPr>
              <w:spacing w:before="60"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10" w:line="130" w:lineRule="exact"/>
              <w:ind w:left="284"/>
              <w:rPr>
                <w:rFonts w:ascii="SimSun" w:eastAsia="SimSun" w:hAnsi="SimSun" w:cs="SimSun"/>
                <w:sz w:val="16"/>
                <w:szCs w:val="16"/>
              </w:rPr>
            </w:pPr>
            <w:r>
              <w:rPr>
                <w:rFonts w:ascii="SimSun" w:eastAsia="SimSun" w:hAnsi="SimSun" w:cs="SimSun"/>
                <w:color w:val="000879"/>
                <w:spacing w:val="-5"/>
                <w:position w:val="-2"/>
                <w:sz w:val="16"/>
                <w:szCs w:val="16"/>
              </w:rPr>
              <w:t>10</w:t>
            </w:r>
          </w:p>
        </w:tc>
        <w:tc>
          <w:tcPr>
            <w:tcW w:w="740" w:type="dxa"/>
            <w:vAlign w:val="top"/>
          </w:tcPr>
          <w:p>
            <w:pPr>
              <w:spacing w:before="150" w:line="184" w:lineRule="auto"/>
              <w:ind w:left="84"/>
              <w:rPr>
                <w:rFonts w:ascii="SimSun" w:eastAsia="SimSun" w:hAnsi="SimSun" w:cs="SimSun"/>
                <w:sz w:val="16"/>
                <w:szCs w:val="16"/>
              </w:rPr>
            </w:pPr>
            <w:r>
              <w:rPr>
                <w:rFonts w:ascii="SimSun" w:eastAsia="SimSun" w:hAnsi="SimSun" w:cs="SimSun"/>
                <w:spacing w:val="-2"/>
                <w:sz w:val="16"/>
                <w:szCs w:val="16"/>
              </w:rPr>
              <w:t>2021-08</w:t>
            </w:r>
          </w:p>
        </w:tc>
        <w:tc>
          <w:tcPr>
            <w:tcW w:w="4060" w:type="dxa"/>
            <w:vAlign w:val="top"/>
          </w:tcPr>
          <w:p>
            <w:pPr>
              <w:spacing w:before="108" w:line="219" w:lineRule="auto"/>
              <w:ind w:left="125"/>
              <w:rPr>
                <w:rFonts w:ascii="SimSun" w:eastAsia="SimSun" w:hAnsi="SimSun" w:cs="SimSun"/>
                <w:sz w:val="16"/>
                <w:szCs w:val="16"/>
              </w:rPr>
            </w:pPr>
            <w:r>
              <w:rPr>
                <w:rFonts w:ascii="SimSun" w:eastAsia="SimSun" w:hAnsi="SimSun" w:cs="SimSun"/>
                <w:spacing w:val="-1"/>
                <w:sz w:val="16"/>
                <w:szCs w:val="16"/>
              </w:rPr>
              <w:t>玻璃纵分传输装置</w:t>
            </w:r>
          </w:p>
        </w:tc>
        <w:tc>
          <w:tcPr>
            <w:tcW w:w="860" w:type="dxa"/>
            <w:vAlign w:val="top"/>
          </w:tcPr>
          <w:p>
            <w:pPr>
              <w:spacing w:before="110"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9"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0" w:line="184" w:lineRule="auto"/>
              <w:ind w:left="104"/>
              <w:rPr>
                <w:rFonts w:ascii="SimSun" w:eastAsia="SimSun" w:hAnsi="SimSun" w:cs="SimSun"/>
                <w:sz w:val="16"/>
                <w:szCs w:val="16"/>
              </w:rPr>
            </w:pPr>
            <w:r>
              <w:rPr>
                <w:rFonts w:ascii="SimSun" w:eastAsia="SimSun" w:hAnsi="SimSun" w:cs="SimSun"/>
                <w:spacing w:val="-1"/>
                <w:sz w:val="16"/>
                <w:szCs w:val="16"/>
              </w:rPr>
              <w:t>202022448145.1</w:t>
            </w:r>
          </w:p>
        </w:tc>
      </w:tr>
      <w:tr>
        <w:tblPrEx>
          <w:tblW w:w="8979" w:type="dxa"/>
          <w:tblInd w:w="0" w:type="dxa"/>
          <w:tblLayout w:type="fixed"/>
        </w:tblPrEx>
        <w:trPr>
          <w:trHeight w:val="369"/>
        </w:trPr>
        <w:tc>
          <w:tcPr>
            <w:tcW w:w="380" w:type="dxa"/>
            <w:tcBorders>
              <w:left w:val="nil"/>
            </w:tcBorders>
            <w:vAlign w:val="top"/>
          </w:tcPr>
          <w:p>
            <w:pPr>
              <w:spacing w:before="60" w:line="184" w:lineRule="auto"/>
              <w:ind w:left="109"/>
              <w:rPr>
                <w:rFonts w:ascii="SimSun" w:eastAsia="SimSun" w:hAnsi="SimSun" w:cs="SimSun"/>
                <w:sz w:val="16"/>
                <w:szCs w:val="16"/>
              </w:rPr>
            </w:pPr>
            <w:r>
              <w:rPr>
                <w:rFonts w:ascii="SimSun" w:eastAsia="SimSun" w:hAnsi="SimSun" w:cs="SimSun"/>
                <w:spacing w:val="-5"/>
                <w:sz w:val="16"/>
                <w:szCs w:val="16"/>
              </w:rPr>
              <w:t>13</w:t>
            </w:r>
          </w:p>
        </w:tc>
        <w:tc>
          <w:tcPr>
            <w:tcW w:w="740" w:type="dxa"/>
            <w:vAlign w:val="top"/>
          </w:tcPr>
          <w:p>
            <w:pPr>
              <w:spacing w:before="50"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0" w:line="129" w:lineRule="exact"/>
              <w:ind w:left="284"/>
              <w:rPr>
                <w:rFonts w:ascii="SimSun" w:eastAsia="SimSun" w:hAnsi="SimSun" w:cs="SimSun"/>
                <w:sz w:val="16"/>
                <w:szCs w:val="16"/>
              </w:rPr>
            </w:pPr>
            <w:r>
              <w:rPr>
                <w:rFonts w:ascii="SimSun" w:eastAsia="SimSun" w:hAnsi="SimSun" w:cs="SimSun"/>
                <w:spacing w:val="-5"/>
                <w:position w:val="-2"/>
                <w:sz w:val="16"/>
                <w:szCs w:val="16"/>
              </w:rPr>
              <w:t>10</w:t>
            </w:r>
          </w:p>
        </w:tc>
        <w:tc>
          <w:tcPr>
            <w:tcW w:w="740" w:type="dxa"/>
            <w:vAlign w:val="top"/>
          </w:tcPr>
          <w:p>
            <w:pPr>
              <w:spacing w:before="150" w:line="184" w:lineRule="auto"/>
              <w:ind w:left="84"/>
              <w:rPr>
                <w:rFonts w:ascii="SimSun" w:eastAsia="SimSun" w:hAnsi="SimSun" w:cs="SimSun"/>
                <w:sz w:val="16"/>
                <w:szCs w:val="16"/>
              </w:rPr>
            </w:pPr>
            <w:r>
              <w:rPr>
                <w:rFonts w:ascii="SimSun" w:eastAsia="SimSun" w:hAnsi="SimSun" w:cs="SimSun"/>
                <w:spacing w:val="-2"/>
                <w:sz w:val="16"/>
                <w:szCs w:val="16"/>
              </w:rPr>
              <w:t>2021-06</w:t>
            </w:r>
          </w:p>
        </w:tc>
        <w:tc>
          <w:tcPr>
            <w:tcW w:w="4060" w:type="dxa"/>
            <w:vAlign w:val="top"/>
          </w:tcPr>
          <w:p>
            <w:pPr>
              <w:spacing w:before="109" w:line="219" w:lineRule="auto"/>
              <w:ind w:left="125"/>
              <w:rPr>
                <w:rFonts w:ascii="SimSun" w:eastAsia="SimSun" w:hAnsi="SimSun" w:cs="SimSun"/>
                <w:sz w:val="16"/>
                <w:szCs w:val="16"/>
              </w:rPr>
            </w:pPr>
            <w:r>
              <w:rPr>
                <w:rFonts w:ascii="SimSun" w:eastAsia="SimSun" w:hAnsi="SimSun" w:cs="SimSun"/>
                <w:spacing w:val="-1"/>
                <w:sz w:val="16"/>
                <w:szCs w:val="16"/>
              </w:rPr>
              <w:t>玻璃抓取堆放装置</w:t>
            </w:r>
          </w:p>
        </w:tc>
        <w:tc>
          <w:tcPr>
            <w:tcW w:w="860" w:type="dxa"/>
            <w:vAlign w:val="top"/>
          </w:tcPr>
          <w:p>
            <w:pPr>
              <w:spacing w:before="110"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9"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0" w:line="184" w:lineRule="auto"/>
              <w:ind w:left="104"/>
              <w:rPr>
                <w:rFonts w:ascii="SimSun" w:eastAsia="SimSun" w:hAnsi="SimSun" w:cs="SimSun"/>
                <w:sz w:val="16"/>
                <w:szCs w:val="16"/>
              </w:rPr>
            </w:pPr>
            <w:r>
              <w:rPr>
                <w:rFonts w:ascii="SimSun" w:eastAsia="SimSun" w:hAnsi="SimSun" w:cs="SimSun"/>
                <w:spacing w:val="-1"/>
                <w:sz w:val="16"/>
                <w:szCs w:val="16"/>
              </w:rPr>
              <w:t>202022413264.3</w:t>
            </w:r>
          </w:p>
        </w:tc>
      </w:tr>
      <w:tr>
        <w:tblPrEx>
          <w:tblW w:w="8979" w:type="dxa"/>
          <w:tblInd w:w="0" w:type="dxa"/>
          <w:tblLayout w:type="fixed"/>
        </w:tblPrEx>
        <w:trPr>
          <w:trHeight w:val="370"/>
        </w:trPr>
        <w:tc>
          <w:tcPr>
            <w:tcW w:w="380" w:type="dxa"/>
            <w:tcBorders>
              <w:left w:val="nil"/>
            </w:tcBorders>
            <w:vAlign w:val="top"/>
          </w:tcPr>
          <w:p>
            <w:pPr>
              <w:spacing w:before="61" w:line="184" w:lineRule="auto"/>
              <w:ind w:left="109"/>
              <w:rPr>
                <w:rFonts w:ascii="SimSun" w:eastAsia="SimSun" w:hAnsi="SimSun" w:cs="SimSun"/>
                <w:sz w:val="16"/>
                <w:szCs w:val="16"/>
              </w:rPr>
            </w:pPr>
            <w:r>
              <w:rPr>
                <w:rFonts w:ascii="SimSun" w:eastAsia="SimSun" w:hAnsi="SimSun" w:cs="SimSun"/>
                <w:spacing w:val="-5"/>
                <w:sz w:val="16"/>
                <w:szCs w:val="16"/>
              </w:rPr>
              <w:t>14</w:t>
            </w:r>
          </w:p>
        </w:tc>
        <w:tc>
          <w:tcPr>
            <w:tcW w:w="740" w:type="dxa"/>
            <w:vAlign w:val="top"/>
          </w:tcPr>
          <w:p>
            <w:pPr>
              <w:spacing w:before="51"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0" w:line="129" w:lineRule="exact"/>
              <w:ind w:left="284"/>
              <w:rPr>
                <w:rFonts w:ascii="SimSun" w:eastAsia="SimSun" w:hAnsi="SimSun" w:cs="SimSun"/>
                <w:sz w:val="16"/>
                <w:szCs w:val="16"/>
              </w:rPr>
            </w:pPr>
            <w:r>
              <w:rPr>
                <w:rFonts w:ascii="SimSun" w:eastAsia="SimSun" w:hAnsi="SimSun" w:cs="SimSun"/>
                <w:color w:val="000879"/>
                <w:spacing w:val="-5"/>
                <w:position w:val="-2"/>
                <w:sz w:val="16"/>
                <w:szCs w:val="16"/>
              </w:rPr>
              <w:t>10</w:t>
            </w:r>
          </w:p>
        </w:tc>
        <w:tc>
          <w:tcPr>
            <w:tcW w:w="740" w:type="dxa"/>
            <w:vAlign w:val="top"/>
          </w:tcPr>
          <w:p>
            <w:pPr>
              <w:spacing w:before="150" w:line="184" w:lineRule="auto"/>
              <w:ind w:left="84"/>
              <w:rPr>
                <w:rFonts w:ascii="SimSun" w:eastAsia="SimSun" w:hAnsi="SimSun" w:cs="SimSun"/>
                <w:sz w:val="16"/>
                <w:szCs w:val="16"/>
              </w:rPr>
            </w:pPr>
            <w:r>
              <w:rPr>
                <w:rFonts w:ascii="SimSun" w:eastAsia="SimSun" w:hAnsi="SimSun" w:cs="SimSun"/>
                <w:spacing w:val="-2"/>
                <w:sz w:val="16"/>
                <w:szCs w:val="16"/>
              </w:rPr>
              <w:t>2021-08</w:t>
            </w:r>
          </w:p>
        </w:tc>
        <w:tc>
          <w:tcPr>
            <w:tcW w:w="4060" w:type="dxa"/>
            <w:vAlign w:val="top"/>
          </w:tcPr>
          <w:p>
            <w:pPr>
              <w:spacing w:before="109" w:line="219" w:lineRule="auto"/>
              <w:ind w:left="125"/>
              <w:rPr>
                <w:rFonts w:ascii="SimSun" w:eastAsia="SimSun" w:hAnsi="SimSun" w:cs="SimSun"/>
                <w:sz w:val="16"/>
                <w:szCs w:val="16"/>
              </w:rPr>
            </w:pPr>
            <w:r>
              <w:rPr>
                <w:rFonts w:ascii="SimSun" w:eastAsia="SimSun" w:hAnsi="SimSun" w:cs="SimSun"/>
                <w:spacing w:val="-1"/>
                <w:sz w:val="16"/>
                <w:szCs w:val="16"/>
              </w:rPr>
              <w:t>封闭式自动落板系统</w:t>
            </w:r>
          </w:p>
        </w:tc>
        <w:tc>
          <w:tcPr>
            <w:tcW w:w="860" w:type="dxa"/>
            <w:vAlign w:val="top"/>
          </w:tcPr>
          <w:p>
            <w:pPr>
              <w:spacing w:before="111"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0"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1" w:line="184" w:lineRule="auto"/>
              <w:ind w:left="104"/>
              <w:rPr>
                <w:rFonts w:ascii="SimSun" w:eastAsia="SimSun" w:hAnsi="SimSun" w:cs="SimSun"/>
                <w:sz w:val="16"/>
                <w:szCs w:val="16"/>
              </w:rPr>
            </w:pPr>
            <w:r>
              <w:rPr>
                <w:rFonts w:ascii="SimSun" w:eastAsia="SimSun" w:hAnsi="SimSun" w:cs="SimSun"/>
                <w:spacing w:val="-1"/>
                <w:sz w:val="16"/>
                <w:szCs w:val="16"/>
              </w:rPr>
              <w:t>202022416201.3</w:t>
            </w:r>
          </w:p>
        </w:tc>
      </w:tr>
      <w:tr>
        <w:tblPrEx>
          <w:tblW w:w="8979" w:type="dxa"/>
          <w:tblInd w:w="0" w:type="dxa"/>
          <w:tblLayout w:type="fixed"/>
        </w:tblPrEx>
        <w:trPr>
          <w:trHeight w:val="349"/>
        </w:trPr>
        <w:tc>
          <w:tcPr>
            <w:tcW w:w="380" w:type="dxa"/>
            <w:tcBorders>
              <w:left w:val="nil"/>
            </w:tcBorders>
            <w:vAlign w:val="top"/>
          </w:tcPr>
          <w:p>
            <w:pPr>
              <w:spacing w:before="71" w:line="184" w:lineRule="auto"/>
              <w:ind w:left="109"/>
              <w:rPr>
                <w:rFonts w:ascii="SimSun" w:eastAsia="SimSun" w:hAnsi="SimSun" w:cs="SimSun"/>
                <w:sz w:val="16"/>
                <w:szCs w:val="16"/>
              </w:rPr>
            </w:pPr>
            <w:r>
              <w:rPr>
                <w:rFonts w:ascii="SimSun" w:eastAsia="SimSun" w:hAnsi="SimSun" w:cs="SimSun"/>
                <w:spacing w:val="-5"/>
                <w:sz w:val="16"/>
                <w:szCs w:val="16"/>
              </w:rPr>
              <w:t>15</w:t>
            </w:r>
          </w:p>
        </w:tc>
        <w:tc>
          <w:tcPr>
            <w:tcW w:w="740" w:type="dxa"/>
            <w:vAlign w:val="top"/>
          </w:tcPr>
          <w:p>
            <w:pPr>
              <w:spacing w:before="62"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1" w:line="97" w:lineRule="exact"/>
              <w:ind w:left="284"/>
              <w:rPr>
                <w:rFonts w:ascii="SimSun" w:eastAsia="SimSun" w:hAnsi="SimSun" w:cs="SimSun"/>
                <w:sz w:val="16"/>
                <w:szCs w:val="16"/>
              </w:rPr>
            </w:pPr>
            <w:r>
              <w:rPr>
                <w:rFonts w:ascii="SimSun" w:eastAsia="SimSun" w:hAnsi="SimSun" w:cs="SimSun"/>
                <w:spacing w:val="-2"/>
                <w:position w:val="-3"/>
                <w:sz w:val="16"/>
                <w:szCs w:val="16"/>
              </w:rPr>
              <w:t>05</w:t>
            </w:r>
          </w:p>
        </w:tc>
        <w:tc>
          <w:tcPr>
            <w:tcW w:w="740" w:type="dxa"/>
            <w:vAlign w:val="top"/>
          </w:tcPr>
          <w:p>
            <w:pPr>
              <w:spacing w:before="141" w:line="184" w:lineRule="auto"/>
              <w:ind w:left="84"/>
              <w:rPr>
                <w:rFonts w:ascii="SimSun" w:eastAsia="SimSun" w:hAnsi="SimSun" w:cs="SimSun"/>
                <w:sz w:val="16"/>
                <w:szCs w:val="16"/>
              </w:rPr>
            </w:pPr>
            <w:r>
              <w:rPr>
                <w:rFonts w:ascii="SimSun" w:eastAsia="SimSun" w:hAnsi="SimSun" w:cs="SimSun"/>
                <w:spacing w:val="-2"/>
                <w:sz w:val="16"/>
                <w:szCs w:val="16"/>
              </w:rPr>
              <w:t>2020-10</w:t>
            </w:r>
          </w:p>
        </w:tc>
        <w:tc>
          <w:tcPr>
            <w:tcW w:w="4060" w:type="dxa"/>
            <w:vAlign w:val="top"/>
          </w:tcPr>
          <w:p>
            <w:pPr>
              <w:spacing w:before="99" w:line="219" w:lineRule="auto"/>
              <w:ind w:left="125"/>
              <w:rPr>
                <w:rFonts w:ascii="SimSun" w:eastAsia="SimSun" w:hAnsi="SimSun" w:cs="SimSun"/>
                <w:sz w:val="16"/>
                <w:szCs w:val="16"/>
              </w:rPr>
            </w:pPr>
            <w:r>
              <w:rPr>
                <w:rFonts w:ascii="SimSun" w:eastAsia="SimSun" w:hAnsi="SimSun" w:cs="SimSun"/>
                <w:spacing w:val="-1"/>
                <w:sz w:val="16"/>
                <w:szCs w:val="16"/>
              </w:rPr>
              <w:t>光伏组件和用于其的局部聚光光伏玻璃</w:t>
            </w:r>
          </w:p>
        </w:tc>
        <w:tc>
          <w:tcPr>
            <w:tcW w:w="860" w:type="dxa"/>
            <w:vAlign w:val="top"/>
          </w:tcPr>
          <w:p>
            <w:pPr>
              <w:spacing w:before="101"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0"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41" w:line="184" w:lineRule="auto"/>
              <w:ind w:left="104"/>
              <w:rPr>
                <w:rFonts w:ascii="SimSun" w:eastAsia="SimSun" w:hAnsi="SimSun" w:cs="SimSun"/>
                <w:sz w:val="16"/>
                <w:szCs w:val="16"/>
              </w:rPr>
            </w:pPr>
            <w:r>
              <w:rPr>
                <w:rFonts w:ascii="SimSun" w:eastAsia="SimSun" w:hAnsi="SimSun" w:cs="SimSun"/>
                <w:spacing w:val="-1"/>
                <w:sz w:val="16"/>
                <w:szCs w:val="16"/>
              </w:rPr>
              <w:t>202020912383.0</w:t>
            </w:r>
          </w:p>
        </w:tc>
      </w:tr>
      <w:tr>
        <w:tblPrEx>
          <w:tblW w:w="8979" w:type="dxa"/>
          <w:tblInd w:w="0" w:type="dxa"/>
          <w:tblLayout w:type="fixed"/>
        </w:tblPrEx>
        <w:trPr>
          <w:trHeight w:val="370"/>
        </w:trPr>
        <w:tc>
          <w:tcPr>
            <w:tcW w:w="380" w:type="dxa"/>
            <w:tcBorders>
              <w:left w:val="nil"/>
            </w:tcBorders>
            <w:vAlign w:val="top"/>
          </w:tcPr>
          <w:p>
            <w:pPr>
              <w:spacing w:before="91" w:line="184" w:lineRule="auto"/>
              <w:ind w:left="109"/>
              <w:rPr>
                <w:rFonts w:ascii="SimSun" w:eastAsia="SimSun" w:hAnsi="SimSun" w:cs="SimSun"/>
                <w:sz w:val="16"/>
                <w:szCs w:val="16"/>
              </w:rPr>
            </w:pPr>
            <w:r>
              <w:rPr>
                <w:rFonts w:ascii="SimSun" w:eastAsia="SimSun" w:hAnsi="SimSun" w:cs="SimSun"/>
                <w:spacing w:val="-5"/>
                <w:sz w:val="16"/>
                <w:szCs w:val="16"/>
              </w:rPr>
              <w:t>16</w:t>
            </w:r>
          </w:p>
        </w:tc>
        <w:tc>
          <w:tcPr>
            <w:tcW w:w="740" w:type="dxa"/>
            <w:vAlign w:val="top"/>
          </w:tcPr>
          <w:p>
            <w:pPr>
              <w:spacing w:before="72"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1" w:line="127" w:lineRule="exact"/>
              <w:ind w:left="284"/>
              <w:rPr>
                <w:rFonts w:ascii="SimSun" w:eastAsia="SimSun" w:hAnsi="SimSun" w:cs="SimSun"/>
                <w:sz w:val="16"/>
                <w:szCs w:val="16"/>
              </w:rPr>
            </w:pPr>
            <w:r>
              <w:rPr>
                <w:rFonts w:ascii="SimSun" w:eastAsia="SimSun" w:hAnsi="SimSun" w:cs="SimSun"/>
                <w:spacing w:val="-2"/>
                <w:position w:val="-2"/>
                <w:sz w:val="16"/>
                <w:szCs w:val="16"/>
              </w:rPr>
              <w:t>05</w:t>
            </w:r>
          </w:p>
        </w:tc>
        <w:tc>
          <w:tcPr>
            <w:tcW w:w="740" w:type="dxa"/>
            <w:vAlign w:val="top"/>
          </w:tcPr>
          <w:p>
            <w:pPr>
              <w:spacing w:before="152" w:line="184" w:lineRule="auto"/>
              <w:ind w:left="84"/>
              <w:rPr>
                <w:rFonts w:ascii="SimSun" w:eastAsia="SimSun" w:hAnsi="SimSun" w:cs="SimSun"/>
                <w:sz w:val="16"/>
                <w:szCs w:val="16"/>
              </w:rPr>
            </w:pPr>
            <w:r>
              <w:rPr>
                <w:rFonts w:ascii="SimSun" w:eastAsia="SimSun" w:hAnsi="SimSun" w:cs="SimSun"/>
                <w:spacing w:val="-2"/>
                <w:sz w:val="16"/>
                <w:szCs w:val="16"/>
              </w:rPr>
              <w:t>2020-11</w:t>
            </w:r>
          </w:p>
        </w:tc>
        <w:tc>
          <w:tcPr>
            <w:tcW w:w="4060" w:type="dxa"/>
            <w:vAlign w:val="top"/>
          </w:tcPr>
          <w:p>
            <w:pPr>
              <w:spacing w:before="110" w:line="219" w:lineRule="auto"/>
              <w:ind w:left="125"/>
              <w:rPr>
                <w:rFonts w:ascii="SimSun" w:eastAsia="SimSun" w:hAnsi="SimSun" w:cs="SimSun"/>
                <w:sz w:val="16"/>
                <w:szCs w:val="16"/>
              </w:rPr>
            </w:pPr>
            <w:r>
              <w:rPr>
                <w:rFonts w:ascii="SimSun" w:eastAsia="SimSun" w:hAnsi="SimSun" w:cs="SimSun"/>
                <w:spacing w:val="-1"/>
                <w:sz w:val="16"/>
                <w:szCs w:val="16"/>
              </w:rPr>
              <w:t>光伏组件和用于其的光伏玻璃</w:t>
            </w:r>
          </w:p>
        </w:tc>
        <w:tc>
          <w:tcPr>
            <w:tcW w:w="860" w:type="dxa"/>
            <w:vAlign w:val="top"/>
          </w:tcPr>
          <w:p>
            <w:pPr>
              <w:spacing w:before="112"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1"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2" w:line="184" w:lineRule="auto"/>
              <w:ind w:left="104"/>
              <w:rPr>
                <w:rFonts w:ascii="SimSun" w:eastAsia="SimSun" w:hAnsi="SimSun" w:cs="SimSun"/>
                <w:sz w:val="16"/>
                <w:szCs w:val="16"/>
              </w:rPr>
            </w:pPr>
            <w:r>
              <w:rPr>
                <w:rFonts w:ascii="SimSun" w:eastAsia="SimSun" w:hAnsi="SimSun" w:cs="SimSun"/>
                <w:spacing w:val="-1"/>
                <w:sz w:val="16"/>
                <w:szCs w:val="16"/>
              </w:rPr>
              <w:t>202020913063.7</w:t>
            </w:r>
          </w:p>
        </w:tc>
      </w:tr>
      <w:tr>
        <w:tblPrEx>
          <w:tblW w:w="8979" w:type="dxa"/>
          <w:tblInd w:w="0" w:type="dxa"/>
          <w:tblLayout w:type="fixed"/>
        </w:tblPrEx>
        <w:trPr>
          <w:trHeight w:val="389"/>
        </w:trPr>
        <w:tc>
          <w:tcPr>
            <w:tcW w:w="380" w:type="dxa"/>
            <w:tcBorders>
              <w:left w:val="nil"/>
            </w:tcBorders>
            <w:vAlign w:val="top"/>
          </w:tcPr>
          <w:p>
            <w:pPr>
              <w:spacing w:before="82" w:line="184" w:lineRule="auto"/>
              <w:ind w:left="109"/>
              <w:rPr>
                <w:rFonts w:ascii="SimSun" w:eastAsia="SimSun" w:hAnsi="SimSun" w:cs="SimSun"/>
                <w:sz w:val="16"/>
                <w:szCs w:val="16"/>
              </w:rPr>
            </w:pPr>
            <w:r>
              <w:rPr>
                <w:rFonts w:ascii="SimSun" w:eastAsia="SimSun" w:hAnsi="SimSun" w:cs="SimSun"/>
                <w:spacing w:val="-5"/>
                <w:sz w:val="16"/>
                <w:szCs w:val="16"/>
              </w:rPr>
              <w:t>17</w:t>
            </w:r>
          </w:p>
        </w:tc>
        <w:tc>
          <w:tcPr>
            <w:tcW w:w="740" w:type="dxa"/>
            <w:vAlign w:val="top"/>
          </w:tcPr>
          <w:p>
            <w:pPr>
              <w:spacing w:before="83"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1" w:line="116" w:lineRule="exact"/>
              <w:ind w:left="284"/>
              <w:rPr>
                <w:rFonts w:ascii="SimSun" w:eastAsia="SimSun" w:hAnsi="SimSun" w:cs="SimSun"/>
                <w:sz w:val="16"/>
                <w:szCs w:val="16"/>
              </w:rPr>
            </w:pPr>
            <w:r>
              <w:rPr>
                <w:rFonts w:ascii="SimSun" w:eastAsia="SimSun" w:hAnsi="SimSun" w:cs="SimSun"/>
                <w:spacing w:val="-2"/>
                <w:position w:val="-2"/>
                <w:sz w:val="16"/>
                <w:szCs w:val="16"/>
              </w:rPr>
              <w:t>04</w:t>
            </w:r>
          </w:p>
        </w:tc>
        <w:tc>
          <w:tcPr>
            <w:tcW w:w="740" w:type="dxa"/>
            <w:vAlign w:val="top"/>
          </w:tcPr>
          <w:p>
            <w:pPr>
              <w:spacing w:before="162" w:line="184" w:lineRule="auto"/>
              <w:ind w:left="84"/>
              <w:rPr>
                <w:rFonts w:ascii="SimSun" w:eastAsia="SimSun" w:hAnsi="SimSun" w:cs="SimSun"/>
                <w:sz w:val="16"/>
                <w:szCs w:val="16"/>
              </w:rPr>
            </w:pPr>
            <w:r>
              <w:rPr>
                <w:rFonts w:ascii="SimSun" w:eastAsia="SimSun" w:hAnsi="SimSun" w:cs="SimSun"/>
                <w:spacing w:val="-2"/>
                <w:sz w:val="16"/>
                <w:szCs w:val="16"/>
              </w:rPr>
              <w:t>2020-10</w:t>
            </w:r>
          </w:p>
        </w:tc>
        <w:tc>
          <w:tcPr>
            <w:tcW w:w="4060" w:type="dxa"/>
            <w:vAlign w:val="top"/>
          </w:tcPr>
          <w:p>
            <w:pPr>
              <w:spacing w:before="120" w:line="219" w:lineRule="auto"/>
              <w:ind w:left="125"/>
              <w:rPr>
                <w:rFonts w:ascii="SimSun" w:eastAsia="SimSun" w:hAnsi="SimSun" w:cs="SimSun"/>
                <w:sz w:val="16"/>
                <w:szCs w:val="16"/>
              </w:rPr>
            </w:pPr>
            <w:r>
              <w:rPr>
                <w:rFonts w:ascii="SimSun" w:eastAsia="SimSun" w:hAnsi="SimSun" w:cs="SimSun"/>
                <w:spacing w:val="-1"/>
                <w:sz w:val="16"/>
                <w:szCs w:val="16"/>
              </w:rPr>
              <w:t>玻璃扩散板和具有其的背光模组</w:t>
            </w:r>
          </w:p>
        </w:tc>
        <w:tc>
          <w:tcPr>
            <w:tcW w:w="860" w:type="dxa"/>
            <w:vAlign w:val="top"/>
          </w:tcPr>
          <w:p>
            <w:pPr>
              <w:spacing w:before="122"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21"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63" w:line="183" w:lineRule="auto"/>
              <w:ind w:left="104"/>
              <w:rPr>
                <w:rFonts w:ascii="SimSun" w:eastAsia="SimSun" w:hAnsi="SimSun" w:cs="SimSun"/>
                <w:sz w:val="16"/>
                <w:szCs w:val="16"/>
              </w:rPr>
            </w:pPr>
            <w:r>
              <w:rPr>
                <w:rFonts w:ascii="SimSun" w:eastAsia="SimSun" w:hAnsi="SimSun" w:cs="SimSun"/>
                <w:spacing w:val="-1"/>
                <w:sz w:val="16"/>
                <w:szCs w:val="16"/>
              </w:rPr>
              <w:t>202020702726.0</w:t>
            </w:r>
          </w:p>
        </w:tc>
      </w:tr>
      <w:tr>
        <w:tblPrEx>
          <w:tblW w:w="8979" w:type="dxa"/>
          <w:tblInd w:w="0" w:type="dxa"/>
          <w:tblLayout w:type="fixed"/>
        </w:tblPrEx>
        <w:trPr>
          <w:trHeight w:val="370"/>
        </w:trPr>
        <w:tc>
          <w:tcPr>
            <w:tcW w:w="380" w:type="dxa"/>
            <w:tcBorders>
              <w:left w:val="nil"/>
            </w:tcBorders>
            <w:vAlign w:val="top"/>
          </w:tcPr>
          <w:p>
            <w:pPr>
              <w:spacing w:before="63" w:line="184" w:lineRule="auto"/>
              <w:ind w:left="109"/>
              <w:rPr>
                <w:rFonts w:ascii="SimSun" w:eastAsia="SimSun" w:hAnsi="SimSun" w:cs="SimSun"/>
                <w:sz w:val="16"/>
                <w:szCs w:val="16"/>
              </w:rPr>
            </w:pPr>
            <w:r>
              <w:rPr>
                <w:rFonts w:ascii="SimSun" w:eastAsia="SimSun" w:hAnsi="SimSun" w:cs="SimSun"/>
                <w:spacing w:val="-5"/>
                <w:sz w:val="16"/>
                <w:szCs w:val="16"/>
              </w:rPr>
              <w:t>18</w:t>
            </w:r>
          </w:p>
        </w:tc>
        <w:tc>
          <w:tcPr>
            <w:tcW w:w="740" w:type="dxa"/>
            <w:vAlign w:val="top"/>
          </w:tcPr>
          <w:p>
            <w:pPr>
              <w:spacing w:before="53"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1" w:line="126" w:lineRule="exact"/>
              <w:ind w:left="284"/>
              <w:rPr>
                <w:rFonts w:ascii="SimSun" w:eastAsia="SimSun" w:hAnsi="SimSun" w:cs="SimSun"/>
                <w:sz w:val="16"/>
                <w:szCs w:val="16"/>
              </w:rPr>
            </w:pPr>
            <w:r>
              <w:rPr>
                <w:rFonts w:ascii="SimSun" w:eastAsia="SimSun" w:hAnsi="SimSun" w:cs="SimSun"/>
                <w:spacing w:val="-2"/>
                <w:position w:val="-2"/>
                <w:sz w:val="16"/>
                <w:szCs w:val="16"/>
              </w:rPr>
              <w:t>03</w:t>
            </w:r>
          </w:p>
        </w:tc>
        <w:tc>
          <w:tcPr>
            <w:tcW w:w="740" w:type="dxa"/>
            <w:vAlign w:val="top"/>
          </w:tcPr>
          <w:p>
            <w:pPr>
              <w:spacing w:before="153" w:line="184" w:lineRule="auto"/>
              <w:ind w:left="84"/>
              <w:rPr>
                <w:rFonts w:ascii="SimSun" w:eastAsia="SimSun" w:hAnsi="SimSun" w:cs="SimSun"/>
                <w:sz w:val="16"/>
                <w:szCs w:val="16"/>
              </w:rPr>
            </w:pPr>
            <w:r>
              <w:rPr>
                <w:rFonts w:ascii="SimSun" w:eastAsia="SimSun" w:hAnsi="SimSun" w:cs="SimSun"/>
                <w:color w:val="00117F"/>
                <w:spacing w:val="-2"/>
                <w:sz w:val="16"/>
                <w:szCs w:val="16"/>
              </w:rPr>
              <w:t>2020-11</w:t>
            </w:r>
          </w:p>
        </w:tc>
        <w:tc>
          <w:tcPr>
            <w:tcW w:w="4060" w:type="dxa"/>
            <w:vAlign w:val="top"/>
          </w:tcPr>
          <w:p>
            <w:pPr>
              <w:spacing w:before="113" w:line="220" w:lineRule="auto"/>
              <w:ind w:left="125"/>
              <w:rPr>
                <w:rFonts w:ascii="SimSun" w:eastAsia="SimSun" w:hAnsi="SimSun" w:cs="SimSun"/>
                <w:sz w:val="16"/>
                <w:szCs w:val="16"/>
              </w:rPr>
            </w:pPr>
            <w:r>
              <w:rPr>
                <w:rFonts w:ascii="SimSun" w:eastAsia="SimSun" w:hAnsi="SimSun" w:cs="SimSun"/>
                <w:spacing w:val="-1"/>
                <w:sz w:val="16"/>
                <w:szCs w:val="16"/>
              </w:rPr>
              <w:t>一种压花玻璃用具的压花辊</w:t>
            </w:r>
          </w:p>
        </w:tc>
        <w:tc>
          <w:tcPr>
            <w:tcW w:w="860" w:type="dxa"/>
            <w:vAlign w:val="top"/>
          </w:tcPr>
          <w:p>
            <w:pPr>
              <w:spacing w:before="113"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2"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4" w:line="183" w:lineRule="auto"/>
              <w:ind w:left="104"/>
              <w:rPr>
                <w:rFonts w:ascii="SimSun" w:eastAsia="SimSun" w:hAnsi="SimSun" w:cs="SimSun"/>
                <w:sz w:val="16"/>
                <w:szCs w:val="16"/>
              </w:rPr>
            </w:pPr>
            <w:r>
              <w:rPr>
                <w:rFonts w:ascii="SimSun" w:eastAsia="SimSun" w:hAnsi="SimSun" w:cs="SimSun"/>
                <w:spacing w:val="-1"/>
                <w:sz w:val="16"/>
                <w:szCs w:val="16"/>
              </w:rPr>
              <w:t>202020447866.8</w:t>
            </w:r>
          </w:p>
        </w:tc>
      </w:tr>
      <w:tr>
        <w:tblPrEx>
          <w:tblW w:w="8979" w:type="dxa"/>
          <w:tblInd w:w="0" w:type="dxa"/>
          <w:tblLayout w:type="fixed"/>
        </w:tblPrEx>
        <w:trPr>
          <w:trHeight w:val="369"/>
        </w:trPr>
        <w:tc>
          <w:tcPr>
            <w:tcW w:w="380" w:type="dxa"/>
            <w:tcBorders>
              <w:left w:val="nil"/>
            </w:tcBorders>
            <w:vAlign w:val="top"/>
          </w:tcPr>
          <w:p>
            <w:pPr>
              <w:spacing w:before="63" w:line="184" w:lineRule="auto"/>
              <w:ind w:left="109"/>
              <w:rPr>
                <w:rFonts w:ascii="SimSun" w:eastAsia="SimSun" w:hAnsi="SimSun" w:cs="SimSun"/>
                <w:sz w:val="16"/>
                <w:szCs w:val="16"/>
              </w:rPr>
            </w:pPr>
            <w:r>
              <w:rPr>
                <w:rFonts w:ascii="SimSun" w:eastAsia="SimSun" w:hAnsi="SimSun" w:cs="SimSun"/>
                <w:spacing w:val="-5"/>
                <w:sz w:val="16"/>
                <w:szCs w:val="16"/>
              </w:rPr>
              <w:t>19</w:t>
            </w:r>
          </w:p>
        </w:tc>
        <w:tc>
          <w:tcPr>
            <w:tcW w:w="740" w:type="dxa"/>
            <w:vAlign w:val="top"/>
          </w:tcPr>
          <w:p>
            <w:pPr>
              <w:spacing w:before="53"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1" w:line="125" w:lineRule="exact"/>
              <w:ind w:left="284"/>
              <w:rPr>
                <w:rFonts w:ascii="SimSun" w:eastAsia="SimSun" w:hAnsi="SimSun" w:cs="SimSun"/>
                <w:sz w:val="16"/>
                <w:szCs w:val="16"/>
              </w:rPr>
            </w:pPr>
            <w:r>
              <w:rPr>
                <w:rFonts w:ascii="SimSun" w:eastAsia="SimSun" w:hAnsi="SimSun" w:cs="SimSun"/>
                <w:spacing w:val="-2"/>
                <w:position w:val="-2"/>
                <w:sz w:val="16"/>
                <w:szCs w:val="16"/>
              </w:rPr>
              <w:t>03</w:t>
            </w:r>
          </w:p>
        </w:tc>
        <w:tc>
          <w:tcPr>
            <w:tcW w:w="740" w:type="dxa"/>
            <w:vAlign w:val="top"/>
          </w:tcPr>
          <w:p>
            <w:pPr>
              <w:spacing w:before="153" w:line="183" w:lineRule="auto"/>
              <w:ind w:left="84"/>
              <w:rPr>
                <w:rFonts w:ascii="SimSun" w:eastAsia="SimSun" w:hAnsi="SimSun" w:cs="SimSun"/>
                <w:sz w:val="16"/>
                <w:szCs w:val="16"/>
              </w:rPr>
            </w:pPr>
            <w:r>
              <w:rPr>
                <w:rFonts w:ascii="SimSun" w:eastAsia="SimSun" w:hAnsi="SimSun" w:cs="SimSun"/>
                <w:spacing w:val="-2"/>
                <w:sz w:val="16"/>
                <w:szCs w:val="16"/>
              </w:rPr>
              <w:t>2020-09</w:t>
            </w:r>
          </w:p>
        </w:tc>
        <w:tc>
          <w:tcPr>
            <w:tcW w:w="4060" w:type="dxa"/>
            <w:vAlign w:val="top"/>
          </w:tcPr>
          <w:p>
            <w:pPr>
              <w:spacing w:before="111" w:line="219" w:lineRule="auto"/>
              <w:ind w:left="125"/>
              <w:rPr>
                <w:rFonts w:ascii="SimSun" w:eastAsia="SimSun" w:hAnsi="SimSun" w:cs="SimSun"/>
                <w:sz w:val="16"/>
                <w:szCs w:val="16"/>
              </w:rPr>
            </w:pPr>
            <w:r>
              <w:rPr>
                <w:rFonts w:ascii="SimSun" w:eastAsia="SimSun" w:hAnsi="SimSun" w:cs="SimSun"/>
                <w:spacing w:val="-1"/>
                <w:sz w:val="16"/>
                <w:szCs w:val="16"/>
              </w:rPr>
              <w:t>一种盖板玻璃及光伏组件</w:t>
            </w:r>
          </w:p>
        </w:tc>
        <w:tc>
          <w:tcPr>
            <w:tcW w:w="860" w:type="dxa"/>
            <w:vAlign w:val="top"/>
          </w:tcPr>
          <w:p>
            <w:pPr>
              <w:spacing w:before="113"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2"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3" w:line="183" w:lineRule="auto"/>
              <w:ind w:left="104"/>
              <w:rPr>
                <w:rFonts w:ascii="SimSun" w:eastAsia="SimSun" w:hAnsi="SimSun" w:cs="SimSun"/>
                <w:sz w:val="16"/>
                <w:szCs w:val="16"/>
              </w:rPr>
            </w:pPr>
            <w:r>
              <w:rPr>
                <w:rFonts w:ascii="SimSun" w:eastAsia="SimSun" w:hAnsi="SimSun" w:cs="SimSun"/>
                <w:spacing w:val="-1"/>
                <w:sz w:val="16"/>
                <w:szCs w:val="16"/>
              </w:rPr>
              <w:t>202020447896.9</w:t>
            </w:r>
          </w:p>
        </w:tc>
      </w:tr>
      <w:tr>
        <w:tblPrEx>
          <w:tblW w:w="8979" w:type="dxa"/>
          <w:tblInd w:w="0" w:type="dxa"/>
          <w:tblLayout w:type="fixed"/>
        </w:tblPrEx>
        <w:trPr>
          <w:trHeight w:val="370"/>
        </w:trPr>
        <w:tc>
          <w:tcPr>
            <w:tcW w:w="380" w:type="dxa"/>
            <w:tcBorders>
              <w:left w:val="nil"/>
            </w:tcBorders>
            <w:vAlign w:val="top"/>
          </w:tcPr>
          <w:p>
            <w:pPr>
              <w:spacing w:before="54" w:line="183" w:lineRule="auto"/>
              <w:ind w:left="109"/>
              <w:rPr>
                <w:rFonts w:ascii="SimSun" w:eastAsia="SimSun" w:hAnsi="SimSun" w:cs="SimSun"/>
                <w:sz w:val="16"/>
                <w:szCs w:val="16"/>
              </w:rPr>
            </w:pPr>
            <w:r>
              <w:rPr>
                <w:rFonts w:ascii="SimSun" w:eastAsia="SimSun" w:hAnsi="SimSun" w:cs="SimSun"/>
                <w:spacing w:val="-3"/>
                <w:sz w:val="16"/>
                <w:szCs w:val="16"/>
              </w:rPr>
              <w:t>20</w:t>
            </w:r>
          </w:p>
        </w:tc>
        <w:tc>
          <w:tcPr>
            <w:tcW w:w="740" w:type="dxa"/>
            <w:vAlign w:val="top"/>
          </w:tcPr>
          <w:p>
            <w:pPr>
              <w:spacing w:before="54" w:line="183" w:lineRule="auto"/>
              <w:ind w:left="165"/>
              <w:rPr>
                <w:rFonts w:ascii="SimSun" w:eastAsia="SimSun" w:hAnsi="SimSun" w:cs="SimSun"/>
                <w:sz w:val="16"/>
                <w:szCs w:val="16"/>
              </w:rPr>
            </w:pPr>
            <w:r>
              <w:rPr>
                <w:rFonts w:ascii="SimSun" w:eastAsia="SimSun" w:hAnsi="SimSun" w:cs="SimSun"/>
                <w:spacing w:val="-2"/>
                <w:sz w:val="16"/>
                <w:szCs w:val="16"/>
              </w:rPr>
              <w:t>2020-</w:t>
            </w:r>
          </w:p>
          <w:p>
            <w:pPr>
              <w:spacing w:before="21" w:line="125" w:lineRule="exact"/>
              <w:ind w:left="284"/>
              <w:rPr>
                <w:rFonts w:ascii="SimSun" w:eastAsia="SimSun" w:hAnsi="SimSun" w:cs="SimSun"/>
                <w:sz w:val="16"/>
                <w:szCs w:val="16"/>
              </w:rPr>
            </w:pPr>
            <w:r>
              <w:rPr>
                <w:rFonts w:ascii="SimSun" w:eastAsia="SimSun" w:hAnsi="SimSun" w:cs="SimSun"/>
                <w:spacing w:val="-2"/>
                <w:position w:val="-2"/>
                <w:sz w:val="16"/>
                <w:szCs w:val="16"/>
              </w:rPr>
              <w:t>03</w:t>
            </w:r>
          </w:p>
        </w:tc>
        <w:tc>
          <w:tcPr>
            <w:tcW w:w="740" w:type="dxa"/>
            <w:vAlign w:val="top"/>
          </w:tcPr>
          <w:p>
            <w:pPr>
              <w:spacing w:before="154" w:line="183" w:lineRule="auto"/>
              <w:ind w:left="84"/>
              <w:rPr>
                <w:rFonts w:ascii="SimSun" w:eastAsia="SimSun" w:hAnsi="SimSun" w:cs="SimSun"/>
                <w:sz w:val="16"/>
                <w:szCs w:val="16"/>
              </w:rPr>
            </w:pPr>
            <w:r>
              <w:rPr>
                <w:rFonts w:ascii="SimSun" w:eastAsia="SimSun" w:hAnsi="SimSun" w:cs="SimSun"/>
                <w:spacing w:val="-2"/>
                <w:sz w:val="16"/>
                <w:szCs w:val="16"/>
              </w:rPr>
              <w:t>2020-09</w:t>
            </w:r>
          </w:p>
        </w:tc>
        <w:tc>
          <w:tcPr>
            <w:tcW w:w="4060" w:type="dxa"/>
            <w:vAlign w:val="top"/>
          </w:tcPr>
          <w:p>
            <w:pPr>
              <w:spacing w:before="112" w:line="219" w:lineRule="auto"/>
              <w:ind w:left="125"/>
              <w:rPr>
                <w:rFonts w:ascii="SimSun" w:eastAsia="SimSun" w:hAnsi="SimSun" w:cs="SimSun"/>
                <w:sz w:val="16"/>
                <w:szCs w:val="16"/>
              </w:rPr>
            </w:pPr>
            <w:r>
              <w:rPr>
                <w:rFonts w:ascii="SimSun" w:eastAsia="SimSun" w:hAnsi="SimSun" w:cs="SimSun"/>
                <w:spacing w:val="-1"/>
                <w:sz w:val="16"/>
                <w:szCs w:val="16"/>
              </w:rPr>
              <w:t>一种盖板玻璃及光伏组件</w:t>
            </w:r>
          </w:p>
        </w:tc>
        <w:tc>
          <w:tcPr>
            <w:tcW w:w="860" w:type="dxa"/>
            <w:vAlign w:val="top"/>
          </w:tcPr>
          <w:p>
            <w:pPr>
              <w:spacing w:before="114"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3"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4" w:line="184" w:lineRule="auto"/>
              <w:ind w:left="104"/>
              <w:rPr>
                <w:rFonts w:ascii="SimSun" w:eastAsia="SimSun" w:hAnsi="SimSun" w:cs="SimSun"/>
                <w:sz w:val="16"/>
                <w:szCs w:val="16"/>
              </w:rPr>
            </w:pPr>
            <w:r>
              <w:rPr>
                <w:rFonts w:ascii="SimSun" w:eastAsia="SimSun" w:hAnsi="SimSun" w:cs="SimSun"/>
                <w:spacing w:val="-1"/>
                <w:sz w:val="16"/>
                <w:szCs w:val="16"/>
              </w:rPr>
              <w:t>202020343631.4</w:t>
            </w:r>
          </w:p>
        </w:tc>
      </w:tr>
      <w:tr>
        <w:tblPrEx>
          <w:tblW w:w="8979" w:type="dxa"/>
          <w:tblInd w:w="0" w:type="dxa"/>
          <w:tblLayout w:type="fixed"/>
        </w:tblPrEx>
        <w:trPr>
          <w:trHeight w:val="369"/>
        </w:trPr>
        <w:tc>
          <w:tcPr>
            <w:tcW w:w="380" w:type="dxa"/>
            <w:tcBorders>
              <w:left w:val="nil"/>
            </w:tcBorders>
            <w:vAlign w:val="top"/>
          </w:tcPr>
          <w:p>
            <w:pPr>
              <w:spacing w:before="64" w:line="184" w:lineRule="auto"/>
              <w:ind w:left="109"/>
              <w:rPr>
                <w:rFonts w:ascii="SimSun" w:eastAsia="SimSun" w:hAnsi="SimSun" w:cs="SimSun"/>
                <w:sz w:val="16"/>
                <w:szCs w:val="16"/>
              </w:rPr>
            </w:pPr>
            <w:r>
              <w:rPr>
                <w:rFonts w:ascii="SimSun" w:eastAsia="SimSun" w:hAnsi="SimSun" w:cs="SimSun"/>
                <w:spacing w:val="-3"/>
                <w:sz w:val="16"/>
                <w:szCs w:val="16"/>
              </w:rPr>
              <w:t>21</w:t>
            </w:r>
          </w:p>
        </w:tc>
        <w:tc>
          <w:tcPr>
            <w:tcW w:w="740" w:type="dxa"/>
            <w:vAlign w:val="top"/>
          </w:tcPr>
          <w:p>
            <w:pPr>
              <w:spacing w:before="64" w:line="184" w:lineRule="auto"/>
              <w:ind w:left="205"/>
              <w:rPr>
                <w:rFonts w:ascii="SimSun" w:eastAsia="SimSun" w:hAnsi="SimSun" w:cs="SimSun"/>
                <w:sz w:val="16"/>
                <w:szCs w:val="16"/>
              </w:rPr>
            </w:pPr>
            <w:r>
              <w:rPr>
                <w:rFonts w:ascii="SimSun" w:eastAsia="SimSun" w:hAnsi="SimSun" w:cs="SimSun"/>
                <w:spacing w:val="-2"/>
                <w:sz w:val="16"/>
                <w:szCs w:val="16"/>
              </w:rPr>
              <w:t>2019</w:t>
            </w:r>
          </w:p>
          <w:p>
            <w:pPr>
              <w:spacing w:before="20" w:line="115" w:lineRule="exact"/>
              <w:ind w:left="284"/>
              <w:rPr>
                <w:rFonts w:ascii="SimSun" w:eastAsia="SimSun" w:hAnsi="SimSun" w:cs="SimSun"/>
                <w:sz w:val="16"/>
                <w:szCs w:val="16"/>
              </w:rPr>
            </w:pPr>
            <w:r>
              <w:rPr>
                <w:rFonts w:ascii="SimSun" w:eastAsia="SimSun" w:hAnsi="SimSun" w:cs="SimSun"/>
                <w:spacing w:val="-2"/>
                <w:position w:val="-2"/>
                <w:sz w:val="16"/>
                <w:szCs w:val="16"/>
              </w:rPr>
              <w:t>01</w:t>
            </w:r>
          </w:p>
        </w:tc>
        <w:tc>
          <w:tcPr>
            <w:tcW w:w="740" w:type="dxa"/>
            <w:vAlign w:val="top"/>
          </w:tcPr>
          <w:p>
            <w:pPr>
              <w:spacing w:before="154" w:line="184" w:lineRule="auto"/>
              <w:ind w:left="84"/>
              <w:rPr>
                <w:rFonts w:ascii="SimSun" w:eastAsia="SimSun" w:hAnsi="SimSun" w:cs="SimSun"/>
                <w:sz w:val="16"/>
                <w:szCs w:val="16"/>
              </w:rPr>
            </w:pPr>
            <w:r>
              <w:rPr>
                <w:rFonts w:ascii="SimSun" w:eastAsia="SimSun" w:hAnsi="SimSun" w:cs="SimSun"/>
                <w:spacing w:val="-2"/>
                <w:sz w:val="16"/>
                <w:szCs w:val="16"/>
              </w:rPr>
              <w:t>2019-11</w:t>
            </w:r>
          </w:p>
        </w:tc>
        <w:tc>
          <w:tcPr>
            <w:tcW w:w="4060" w:type="dxa"/>
            <w:vAlign w:val="top"/>
          </w:tcPr>
          <w:p>
            <w:pPr>
              <w:spacing w:before="112" w:line="219" w:lineRule="auto"/>
              <w:ind w:left="125"/>
              <w:rPr>
                <w:rFonts w:ascii="SimSun" w:eastAsia="SimSun" w:hAnsi="SimSun" w:cs="SimSun"/>
                <w:sz w:val="16"/>
                <w:szCs w:val="16"/>
              </w:rPr>
            </w:pPr>
            <w:r>
              <w:rPr>
                <w:rFonts w:ascii="SimSun" w:eastAsia="SimSun" w:hAnsi="SimSun" w:cs="SimSun"/>
                <w:spacing w:val="-1"/>
                <w:sz w:val="16"/>
                <w:szCs w:val="16"/>
              </w:rPr>
              <w:t>一种玻璃导光板及背光模组</w:t>
            </w:r>
          </w:p>
        </w:tc>
        <w:tc>
          <w:tcPr>
            <w:tcW w:w="860" w:type="dxa"/>
            <w:vAlign w:val="top"/>
          </w:tcPr>
          <w:p>
            <w:pPr>
              <w:spacing w:before="114"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3"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4" w:line="184" w:lineRule="auto"/>
              <w:ind w:left="104"/>
              <w:rPr>
                <w:rFonts w:ascii="SimSun" w:eastAsia="SimSun" w:hAnsi="SimSun" w:cs="SimSun"/>
                <w:sz w:val="16"/>
                <w:szCs w:val="16"/>
              </w:rPr>
            </w:pPr>
            <w:r>
              <w:rPr>
                <w:rFonts w:ascii="SimSun" w:eastAsia="SimSun" w:hAnsi="SimSun" w:cs="SimSun"/>
                <w:spacing w:val="-1"/>
                <w:sz w:val="16"/>
                <w:szCs w:val="16"/>
              </w:rPr>
              <w:t>201920145972.8</w:t>
            </w:r>
          </w:p>
        </w:tc>
      </w:tr>
      <w:tr>
        <w:tblPrEx>
          <w:tblW w:w="8979" w:type="dxa"/>
          <w:tblInd w:w="0" w:type="dxa"/>
          <w:tblLayout w:type="fixed"/>
        </w:tblPrEx>
        <w:trPr>
          <w:trHeight w:val="350"/>
        </w:trPr>
        <w:tc>
          <w:tcPr>
            <w:tcW w:w="380" w:type="dxa"/>
            <w:tcBorders>
              <w:left w:val="nil"/>
            </w:tcBorders>
            <w:vAlign w:val="top"/>
          </w:tcPr>
          <w:p>
            <w:pPr>
              <w:spacing w:before="55" w:line="183" w:lineRule="auto"/>
              <w:ind w:left="109"/>
              <w:rPr>
                <w:rFonts w:ascii="SimSun" w:eastAsia="SimSun" w:hAnsi="SimSun" w:cs="SimSun"/>
                <w:sz w:val="16"/>
                <w:szCs w:val="16"/>
              </w:rPr>
            </w:pPr>
            <w:r>
              <w:rPr>
                <w:rFonts w:ascii="SimSun" w:eastAsia="SimSun" w:hAnsi="SimSun" w:cs="SimSun"/>
                <w:spacing w:val="-3"/>
                <w:sz w:val="16"/>
                <w:szCs w:val="16"/>
              </w:rPr>
              <w:t>22</w:t>
            </w:r>
          </w:p>
        </w:tc>
        <w:tc>
          <w:tcPr>
            <w:tcW w:w="740" w:type="dxa"/>
            <w:vAlign w:val="top"/>
          </w:tcPr>
          <w:p>
            <w:pPr>
              <w:spacing w:before="55" w:line="184" w:lineRule="auto"/>
              <w:ind w:left="165"/>
              <w:rPr>
                <w:rFonts w:ascii="SimSun" w:eastAsia="SimSun" w:hAnsi="SimSun" w:cs="SimSun"/>
                <w:sz w:val="16"/>
                <w:szCs w:val="16"/>
              </w:rPr>
            </w:pPr>
            <w:r>
              <w:rPr>
                <w:rFonts w:ascii="SimSun" w:eastAsia="SimSun" w:hAnsi="SimSun" w:cs="SimSun"/>
                <w:spacing w:val="-2"/>
                <w:sz w:val="16"/>
                <w:szCs w:val="16"/>
              </w:rPr>
              <w:t>2018-</w:t>
            </w:r>
          </w:p>
          <w:p>
            <w:pPr>
              <w:spacing w:line="125" w:lineRule="exact"/>
              <w:ind w:left="284"/>
              <w:rPr>
                <w:rFonts w:ascii="SimSun" w:eastAsia="SimSun" w:hAnsi="SimSun" w:cs="SimSun"/>
                <w:sz w:val="16"/>
                <w:szCs w:val="16"/>
              </w:rPr>
            </w:pPr>
            <w:r>
              <w:rPr>
                <w:rFonts w:ascii="SimSun" w:eastAsia="SimSun" w:hAnsi="SimSun" w:cs="SimSun"/>
                <w:color w:val="001B85"/>
                <w:spacing w:val="-5"/>
                <w:position w:val="-2"/>
                <w:sz w:val="16"/>
                <w:szCs w:val="16"/>
              </w:rPr>
              <w:t>10</w:t>
            </w:r>
          </w:p>
        </w:tc>
        <w:tc>
          <w:tcPr>
            <w:tcW w:w="740" w:type="dxa"/>
            <w:vAlign w:val="top"/>
          </w:tcPr>
          <w:p>
            <w:pPr>
              <w:spacing w:before="145" w:line="184" w:lineRule="auto"/>
              <w:ind w:left="84"/>
              <w:rPr>
                <w:rFonts w:ascii="SimSun" w:eastAsia="SimSun" w:hAnsi="SimSun" w:cs="SimSun"/>
                <w:sz w:val="16"/>
                <w:szCs w:val="16"/>
              </w:rPr>
            </w:pPr>
            <w:r>
              <w:rPr>
                <w:rFonts w:ascii="SimSun" w:eastAsia="SimSun" w:hAnsi="SimSun" w:cs="SimSun"/>
                <w:spacing w:val="-2"/>
                <w:sz w:val="16"/>
                <w:szCs w:val="16"/>
              </w:rPr>
              <w:t>2019-05</w:t>
            </w:r>
          </w:p>
        </w:tc>
        <w:tc>
          <w:tcPr>
            <w:tcW w:w="4060" w:type="dxa"/>
            <w:vAlign w:val="top"/>
          </w:tcPr>
          <w:p>
            <w:pPr>
              <w:spacing w:before="103" w:line="219" w:lineRule="auto"/>
              <w:ind w:left="125"/>
              <w:rPr>
                <w:rFonts w:ascii="SimSun" w:eastAsia="SimSun" w:hAnsi="SimSun" w:cs="SimSun"/>
                <w:sz w:val="16"/>
                <w:szCs w:val="16"/>
              </w:rPr>
            </w:pPr>
            <w:r>
              <w:rPr>
                <w:rFonts w:ascii="SimSun" w:eastAsia="SimSun" w:hAnsi="SimSun" w:cs="SimSun"/>
                <w:spacing w:val="-2"/>
                <w:sz w:val="16"/>
                <w:szCs w:val="16"/>
              </w:rPr>
              <w:t>一种双玻光伏组件</w:t>
            </w:r>
          </w:p>
        </w:tc>
        <w:tc>
          <w:tcPr>
            <w:tcW w:w="860" w:type="dxa"/>
            <w:vAlign w:val="top"/>
          </w:tcPr>
          <w:p>
            <w:pPr>
              <w:spacing w:before="105"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04"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45" w:line="184" w:lineRule="auto"/>
              <w:ind w:left="104"/>
              <w:rPr>
                <w:rFonts w:ascii="SimSun" w:eastAsia="SimSun" w:hAnsi="SimSun" w:cs="SimSun"/>
                <w:sz w:val="16"/>
                <w:szCs w:val="16"/>
              </w:rPr>
            </w:pPr>
            <w:r>
              <w:rPr>
                <w:rFonts w:ascii="SimSun" w:eastAsia="SimSun" w:hAnsi="SimSun" w:cs="SimSun"/>
                <w:spacing w:val="-1"/>
                <w:sz w:val="16"/>
                <w:szCs w:val="16"/>
              </w:rPr>
              <w:t>201821718659.0</w:t>
            </w:r>
          </w:p>
        </w:tc>
      </w:tr>
      <w:tr>
        <w:tblPrEx>
          <w:tblW w:w="8979" w:type="dxa"/>
          <w:tblInd w:w="0" w:type="dxa"/>
          <w:tblLayout w:type="fixed"/>
        </w:tblPrEx>
        <w:trPr>
          <w:trHeight w:val="370"/>
        </w:trPr>
        <w:tc>
          <w:tcPr>
            <w:tcW w:w="380" w:type="dxa"/>
            <w:tcBorders>
              <w:left w:val="nil"/>
            </w:tcBorders>
            <w:vAlign w:val="top"/>
          </w:tcPr>
          <w:p>
            <w:pPr>
              <w:spacing w:before="75" w:line="183" w:lineRule="auto"/>
              <w:ind w:left="109"/>
              <w:rPr>
                <w:rFonts w:ascii="SimSun" w:eastAsia="SimSun" w:hAnsi="SimSun" w:cs="SimSun"/>
                <w:sz w:val="16"/>
                <w:szCs w:val="16"/>
              </w:rPr>
            </w:pPr>
            <w:r>
              <w:rPr>
                <w:rFonts w:ascii="SimSun" w:eastAsia="SimSun" w:hAnsi="SimSun" w:cs="SimSun"/>
                <w:spacing w:val="-3"/>
                <w:sz w:val="16"/>
                <w:szCs w:val="16"/>
              </w:rPr>
              <w:t>23</w:t>
            </w:r>
          </w:p>
        </w:tc>
        <w:tc>
          <w:tcPr>
            <w:tcW w:w="740" w:type="dxa"/>
            <w:vAlign w:val="top"/>
          </w:tcPr>
          <w:p>
            <w:pPr>
              <w:spacing w:before="65" w:line="184" w:lineRule="auto"/>
              <w:ind w:left="165"/>
              <w:rPr>
                <w:rFonts w:ascii="SimSun" w:eastAsia="SimSun" w:hAnsi="SimSun" w:cs="SimSun"/>
                <w:sz w:val="16"/>
                <w:szCs w:val="16"/>
              </w:rPr>
            </w:pPr>
            <w:r>
              <w:rPr>
                <w:rFonts w:ascii="SimSun" w:eastAsia="SimSun" w:hAnsi="SimSun" w:cs="SimSun"/>
                <w:spacing w:val="-2"/>
                <w:sz w:val="16"/>
                <w:szCs w:val="16"/>
              </w:rPr>
              <w:t>2018-</w:t>
            </w:r>
          </w:p>
          <w:p>
            <w:pPr>
              <w:spacing w:before="10" w:line="125" w:lineRule="exact"/>
              <w:ind w:left="284"/>
              <w:rPr>
                <w:rFonts w:ascii="SimSun" w:eastAsia="SimSun" w:hAnsi="SimSun" w:cs="SimSun"/>
                <w:sz w:val="16"/>
                <w:szCs w:val="16"/>
              </w:rPr>
            </w:pPr>
            <w:r>
              <w:rPr>
                <w:rFonts w:ascii="SimSun" w:eastAsia="SimSun" w:hAnsi="SimSun" w:cs="SimSun"/>
                <w:color w:val="000879"/>
                <w:spacing w:val="-5"/>
                <w:position w:val="-2"/>
                <w:sz w:val="16"/>
                <w:szCs w:val="16"/>
              </w:rPr>
              <w:t>10</w:t>
            </w:r>
          </w:p>
        </w:tc>
        <w:tc>
          <w:tcPr>
            <w:tcW w:w="740" w:type="dxa"/>
            <w:vAlign w:val="top"/>
          </w:tcPr>
          <w:p>
            <w:pPr>
              <w:spacing w:before="154" w:line="184" w:lineRule="auto"/>
              <w:ind w:left="84"/>
              <w:rPr>
                <w:rFonts w:ascii="SimSun" w:eastAsia="SimSun" w:hAnsi="SimSun" w:cs="SimSun"/>
                <w:sz w:val="16"/>
                <w:szCs w:val="16"/>
              </w:rPr>
            </w:pPr>
            <w:r>
              <w:rPr>
                <w:rFonts w:ascii="SimSun" w:eastAsia="SimSun" w:hAnsi="SimSun" w:cs="SimSun"/>
                <w:spacing w:val="-2"/>
                <w:sz w:val="16"/>
                <w:szCs w:val="16"/>
              </w:rPr>
              <w:t>2019-05</w:t>
            </w:r>
          </w:p>
        </w:tc>
        <w:tc>
          <w:tcPr>
            <w:tcW w:w="4060" w:type="dxa"/>
            <w:vAlign w:val="top"/>
          </w:tcPr>
          <w:p>
            <w:pPr>
              <w:spacing w:before="113" w:line="219" w:lineRule="auto"/>
              <w:ind w:left="125"/>
              <w:rPr>
                <w:rFonts w:ascii="SimSun" w:eastAsia="SimSun" w:hAnsi="SimSun" w:cs="SimSun"/>
                <w:sz w:val="16"/>
                <w:szCs w:val="16"/>
              </w:rPr>
            </w:pPr>
            <w:r>
              <w:rPr>
                <w:rFonts w:ascii="SimSun" w:eastAsia="SimSun" w:hAnsi="SimSun" w:cs="SimSun"/>
                <w:spacing w:val="-2"/>
                <w:sz w:val="16"/>
                <w:szCs w:val="16"/>
              </w:rPr>
              <w:t>一种双玻光伏组件</w:t>
            </w:r>
          </w:p>
        </w:tc>
        <w:tc>
          <w:tcPr>
            <w:tcW w:w="860" w:type="dxa"/>
            <w:vAlign w:val="top"/>
          </w:tcPr>
          <w:p>
            <w:pPr>
              <w:spacing w:before="115"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4"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5" w:line="184" w:lineRule="auto"/>
              <w:ind w:left="104"/>
              <w:rPr>
                <w:rFonts w:ascii="SimSun" w:eastAsia="SimSun" w:hAnsi="SimSun" w:cs="SimSun"/>
                <w:sz w:val="16"/>
                <w:szCs w:val="16"/>
              </w:rPr>
            </w:pPr>
            <w:r>
              <w:rPr>
                <w:rFonts w:ascii="SimSun" w:eastAsia="SimSun" w:hAnsi="SimSun" w:cs="SimSun"/>
                <w:spacing w:val="-1"/>
                <w:sz w:val="16"/>
                <w:szCs w:val="16"/>
              </w:rPr>
              <w:t>201821718210.4</w:t>
            </w:r>
          </w:p>
        </w:tc>
      </w:tr>
      <w:tr>
        <w:tblPrEx>
          <w:tblW w:w="8979" w:type="dxa"/>
          <w:tblInd w:w="0" w:type="dxa"/>
          <w:tblLayout w:type="fixed"/>
        </w:tblPrEx>
        <w:trPr>
          <w:trHeight w:val="369"/>
        </w:trPr>
        <w:tc>
          <w:tcPr>
            <w:tcW w:w="380" w:type="dxa"/>
            <w:tcBorders>
              <w:left w:val="nil"/>
            </w:tcBorders>
            <w:vAlign w:val="top"/>
          </w:tcPr>
          <w:p>
            <w:pPr>
              <w:spacing w:before="65" w:line="183" w:lineRule="auto"/>
              <w:ind w:left="109"/>
              <w:rPr>
                <w:rFonts w:ascii="SimSun" w:eastAsia="SimSun" w:hAnsi="SimSun" w:cs="SimSun"/>
                <w:sz w:val="16"/>
                <w:szCs w:val="16"/>
              </w:rPr>
            </w:pPr>
            <w:r>
              <w:rPr>
                <w:rFonts w:ascii="SimSun" w:eastAsia="SimSun" w:hAnsi="SimSun" w:cs="SimSun"/>
                <w:spacing w:val="-3"/>
                <w:sz w:val="16"/>
                <w:szCs w:val="16"/>
              </w:rPr>
              <w:t>24</w:t>
            </w:r>
          </w:p>
        </w:tc>
        <w:tc>
          <w:tcPr>
            <w:tcW w:w="740" w:type="dxa"/>
            <w:vAlign w:val="top"/>
          </w:tcPr>
          <w:p>
            <w:pPr>
              <w:spacing w:before="55" w:line="184" w:lineRule="auto"/>
              <w:ind w:left="165"/>
              <w:rPr>
                <w:rFonts w:ascii="SimSun" w:eastAsia="SimSun" w:hAnsi="SimSun" w:cs="SimSun"/>
                <w:sz w:val="16"/>
                <w:szCs w:val="16"/>
              </w:rPr>
            </w:pPr>
            <w:r>
              <w:rPr>
                <w:rFonts w:ascii="SimSun" w:eastAsia="SimSun" w:hAnsi="SimSun" w:cs="SimSun"/>
                <w:spacing w:val="-2"/>
                <w:sz w:val="16"/>
                <w:szCs w:val="16"/>
              </w:rPr>
              <w:t>2018-</w:t>
            </w:r>
          </w:p>
          <w:p>
            <w:pPr>
              <w:spacing w:before="50" w:line="94" w:lineRule="exact"/>
              <w:ind w:left="284"/>
              <w:rPr>
                <w:rFonts w:ascii="SimSun" w:eastAsia="SimSun" w:hAnsi="SimSun" w:cs="SimSun"/>
                <w:sz w:val="16"/>
                <w:szCs w:val="16"/>
              </w:rPr>
            </w:pPr>
            <w:r>
              <w:rPr>
                <w:rFonts w:ascii="SimSun" w:eastAsia="SimSun" w:hAnsi="SimSun" w:cs="SimSun"/>
                <w:spacing w:val="-5"/>
                <w:position w:val="-3"/>
                <w:sz w:val="16"/>
                <w:szCs w:val="16"/>
              </w:rPr>
              <w:t>10</w:t>
            </w:r>
          </w:p>
        </w:tc>
        <w:tc>
          <w:tcPr>
            <w:tcW w:w="740" w:type="dxa"/>
            <w:vAlign w:val="top"/>
          </w:tcPr>
          <w:p>
            <w:pPr>
              <w:spacing w:before="155" w:line="184" w:lineRule="auto"/>
              <w:ind w:left="84"/>
              <w:rPr>
                <w:rFonts w:ascii="SimSun" w:eastAsia="SimSun" w:hAnsi="SimSun" w:cs="SimSun"/>
                <w:sz w:val="16"/>
                <w:szCs w:val="16"/>
              </w:rPr>
            </w:pPr>
            <w:r>
              <w:rPr>
                <w:rFonts w:ascii="SimSun" w:eastAsia="SimSun" w:hAnsi="SimSun" w:cs="SimSun"/>
                <w:spacing w:val="-2"/>
                <w:sz w:val="16"/>
                <w:szCs w:val="16"/>
              </w:rPr>
              <w:t>2019-08</w:t>
            </w:r>
          </w:p>
        </w:tc>
        <w:tc>
          <w:tcPr>
            <w:tcW w:w="4060" w:type="dxa"/>
            <w:vAlign w:val="top"/>
          </w:tcPr>
          <w:p>
            <w:pPr>
              <w:spacing w:before="113" w:line="219" w:lineRule="auto"/>
              <w:ind w:left="125"/>
              <w:rPr>
                <w:rFonts w:ascii="SimSun" w:eastAsia="SimSun" w:hAnsi="SimSun" w:cs="SimSun"/>
                <w:sz w:val="16"/>
                <w:szCs w:val="16"/>
              </w:rPr>
            </w:pPr>
            <w:r>
              <w:rPr>
                <w:rFonts w:ascii="SimSun" w:eastAsia="SimSun" w:hAnsi="SimSun" w:cs="SimSun"/>
                <w:spacing w:val="-2"/>
                <w:sz w:val="16"/>
                <w:szCs w:val="16"/>
              </w:rPr>
              <w:t>一种双玻光伏组件</w:t>
            </w:r>
          </w:p>
        </w:tc>
        <w:tc>
          <w:tcPr>
            <w:tcW w:w="860" w:type="dxa"/>
            <w:vAlign w:val="top"/>
          </w:tcPr>
          <w:p>
            <w:pPr>
              <w:spacing w:before="115"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4"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5" w:line="184" w:lineRule="auto"/>
              <w:ind w:left="104"/>
              <w:rPr>
                <w:rFonts w:ascii="SimSun" w:eastAsia="SimSun" w:hAnsi="SimSun" w:cs="SimSun"/>
                <w:sz w:val="16"/>
                <w:szCs w:val="16"/>
              </w:rPr>
            </w:pPr>
            <w:r>
              <w:rPr>
                <w:rFonts w:ascii="SimSun" w:eastAsia="SimSun" w:hAnsi="SimSun" w:cs="SimSun"/>
                <w:spacing w:val="-1"/>
                <w:sz w:val="16"/>
                <w:szCs w:val="16"/>
              </w:rPr>
              <w:t>201821647903.9</w:t>
            </w:r>
          </w:p>
        </w:tc>
      </w:tr>
    </w:tbl>
    <w:p>
      <w:pPr>
        <w:sectPr>
          <w:headerReference w:type="default" r:id="rId82"/>
          <w:footerReference w:type="default" r:id="rId83"/>
          <w:type w:val="continuous"/>
          <w:pgSz w:w="11900" w:h="16840"/>
          <w:pgMar w:top="400" w:right="1460" w:bottom="1590" w:left="1460" w:header="0" w:footer="1309" w:gutter="0"/>
          <w:pgNumType w:start="39"/>
          <w:cols w:num="1" w:space="708" w:equalWidth="0">
            <w:col w:w="8980" w:space="0"/>
          </w:cols>
        </w:sectPr>
      </w:pPr>
    </w:p>
    <w:tbl>
      <w:tblPr>
        <w:tblStyle w:val="TableNormal17"/>
        <w:tblW w:w="89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0"/>
        <w:gridCol w:w="740"/>
        <w:gridCol w:w="740"/>
        <w:gridCol w:w="4060"/>
        <w:gridCol w:w="860"/>
        <w:gridCol w:w="850"/>
        <w:gridCol w:w="1349"/>
      </w:tblGrid>
      <w:tr>
        <w:tblPrEx>
          <w:tblW w:w="89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0"/>
        </w:trPr>
        <w:tc>
          <w:tcPr>
            <w:tcW w:w="380" w:type="dxa"/>
            <w:tcBorders>
              <w:left w:val="nil"/>
            </w:tcBorders>
            <w:vAlign w:val="top"/>
          </w:tcPr>
          <w:p>
            <w:pPr>
              <w:spacing w:before="77" w:line="183" w:lineRule="auto"/>
              <w:ind w:left="109"/>
              <w:rPr>
                <w:rFonts w:ascii="SimSun" w:eastAsia="SimSun" w:hAnsi="SimSun" w:cs="SimSun"/>
                <w:sz w:val="16"/>
                <w:szCs w:val="16"/>
              </w:rPr>
            </w:pPr>
            <w:r>
              <w:rPr>
                <w:rFonts w:ascii="SimSun" w:eastAsia="SimSun" w:hAnsi="SimSun" w:cs="SimSun"/>
                <w:spacing w:val="-3"/>
                <w:sz w:val="16"/>
                <w:szCs w:val="16"/>
              </w:rPr>
              <w:t>25</w:t>
            </w:r>
          </w:p>
        </w:tc>
        <w:tc>
          <w:tcPr>
            <w:tcW w:w="740" w:type="dxa"/>
            <w:vAlign w:val="top"/>
          </w:tcPr>
          <w:p>
            <w:pPr>
              <w:spacing w:before="83" w:line="184" w:lineRule="auto"/>
              <w:ind w:left="165"/>
              <w:rPr>
                <w:rFonts w:ascii="SimSun" w:eastAsia="SimSun" w:hAnsi="SimSun" w:cs="SimSun"/>
                <w:sz w:val="15"/>
                <w:szCs w:val="15"/>
              </w:rPr>
            </w:pPr>
            <w:r>
              <w:rPr>
                <w:rFonts w:ascii="SimSun" w:eastAsia="SimSun" w:hAnsi="SimSun" w:cs="SimSun"/>
                <w:spacing w:val="-2"/>
                <w:sz w:val="15"/>
                <w:szCs w:val="15"/>
              </w:rPr>
              <w:t>2018-</w:t>
            </w:r>
          </w:p>
          <w:p>
            <w:pPr>
              <w:spacing w:before="10" w:line="117" w:lineRule="exact"/>
              <w:ind w:left="284"/>
              <w:rPr>
                <w:rFonts w:ascii="SimSun" w:eastAsia="SimSun" w:hAnsi="SimSun" w:cs="SimSun"/>
                <w:sz w:val="15"/>
                <w:szCs w:val="15"/>
              </w:rPr>
            </w:pPr>
            <w:r>
              <w:rPr>
                <w:rFonts w:ascii="SimSun" w:eastAsia="SimSun" w:hAnsi="SimSun" w:cs="SimSun"/>
                <w:color w:val="001B85"/>
                <w:spacing w:val="-5"/>
                <w:position w:val="-2"/>
                <w:sz w:val="15"/>
                <w:szCs w:val="15"/>
              </w:rPr>
              <w:t>10</w:t>
            </w:r>
          </w:p>
        </w:tc>
        <w:tc>
          <w:tcPr>
            <w:tcW w:w="740" w:type="dxa"/>
            <w:vAlign w:val="top"/>
          </w:tcPr>
          <w:p>
            <w:pPr>
              <w:spacing w:before="156" w:line="184" w:lineRule="auto"/>
              <w:ind w:left="84"/>
              <w:rPr>
                <w:rFonts w:ascii="SimSun" w:eastAsia="SimSun" w:hAnsi="SimSun" w:cs="SimSun"/>
                <w:sz w:val="16"/>
                <w:szCs w:val="16"/>
              </w:rPr>
            </w:pPr>
            <w:r>
              <w:rPr>
                <w:rFonts w:ascii="SimSun" w:eastAsia="SimSun" w:hAnsi="SimSun" w:cs="SimSun"/>
                <w:color w:val="000877"/>
                <w:spacing w:val="-2"/>
                <w:sz w:val="16"/>
                <w:szCs w:val="16"/>
              </w:rPr>
              <w:t>2020-11</w:t>
            </w:r>
          </w:p>
        </w:tc>
        <w:tc>
          <w:tcPr>
            <w:tcW w:w="4060" w:type="dxa"/>
            <w:vAlign w:val="top"/>
          </w:tcPr>
          <w:p>
            <w:pPr>
              <w:spacing w:before="114" w:line="219" w:lineRule="auto"/>
              <w:ind w:left="125"/>
              <w:rPr>
                <w:rFonts w:ascii="SimSun" w:eastAsia="SimSun" w:hAnsi="SimSun" w:cs="SimSun"/>
                <w:sz w:val="16"/>
                <w:szCs w:val="16"/>
              </w:rPr>
            </w:pPr>
            <w:r>
              <w:rPr>
                <w:rFonts w:ascii="SimSun" w:eastAsia="SimSun" w:hAnsi="SimSun" w:cs="SimSun"/>
                <w:spacing w:val="-1"/>
                <w:sz w:val="16"/>
                <w:szCs w:val="16"/>
              </w:rPr>
              <w:t>一种双面双玻光伏装置</w:t>
            </w:r>
          </w:p>
        </w:tc>
        <w:tc>
          <w:tcPr>
            <w:tcW w:w="860" w:type="dxa"/>
            <w:vAlign w:val="top"/>
          </w:tcPr>
          <w:p>
            <w:pPr>
              <w:spacing w:before="116"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115"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56" w:line="184" w:lineRule="auto"/>
              <w:ind w:left="104"/>
              <w:rPr>
                <w:rFonts w:ascii="SimSun" w:eastAsia="SimSun" w:hAnsi="SimSun" w:cs="SimSun"/>
                <w:sz w:val="16"/>
                <w:szCs w:val="16"/>
              </w:rPr>
            </w:pPr>
            <w:r>
              <w:rPr>
                <w:rFonts w:ascii="SimSun" w:eastAsia="SimSun" w:hAnsi="SimSun" w:cs="SimSun"/>
                <w:spacing w:val="-1"/>
                <w:sz w:val="16"/>
                <w:szCs w:val="16"/>
              </w:rPr>
              <w:t>201821647905.8</w:t>
            </w:r>
          </w:p>
        </w:tc>
      </w:tr>
      <w:tr>
        <w:tblPrEx>
          <w:tblW w:w="8979" w:type="dxa"/>
          <w:tblInd w:w="0" w:type="dxa"/>
          <w:tblLayout w:type="fixed"/>
        </w:tblPrEx>
        <w:trPr>
          <w:trHeight w:val="269"/>
        </w:trPr>
        <w:tc>
          <w:tcPr>
            <w:tcW w:w="380" w:type="dxa"/>
            <w:tcBorders>
              <w:left w:val="nil"/>
            </w:tcBorders>
            <w:vAlign w:val="top"/>
          </w:tcPr>
          <w:p>
            <w:pPr>
              <w:spacing w:before="106" w:line="176" w:lineRule="auto"/>
              <w:ind w:left="109"/>
              <w:rPr>
                <w:rFonts w:ascii="SimSun" w:eastAsia="SimSun" w:hAnsi="SimSun" w:cs="SimSun"/>
                <w:sz w:val="16"/>
                <w:szCs w:val="16"/>
              </w:rPr>
            </w:pPr>
            <w:r>
              <w:rPr>
                <w:rFonts w:ascii="SimSun" w:eastAsia="SimSun" w:hAnsi="SimSun" w:cs="SimSun"/>
                <w:spacing w:val="-3"/>
                <w:sz w:val="16"/>
                <w:szCs w:val="16"/>
              </w:rPr>
              <w:t>26</w:t>
            </w:r>
          </w:p>
        </w:tc>
        <w:tc>
          <w:tcPr>
            <w:tcW w:w="740" w:type="dxa"/>
            <w:vAlign w:val="top"/>
          </w:tcPr>
          <w:p>
            <w:pPr>
              <w:spacing w:before="106" w:line="176" w:lineRule="auto"/>
              <w:ind w:left="84"/>
              <w:rPr>
                <w:rFonts w:ascii="SimSun" w:eastAsia="SimSun" w:hAnsi="SimSun" w:cs="SimSun"/>
                <w:sz w:val="16"/>
                <w:szCs w:val="16"/>
              </w:rPr>
            </w:pPr>
            <w:r>
              <w:rPr>
                <w:rFonts w:ascii="SimSun" w:eastAsia="SimSun" w:hAnsi="SimSun" w:cs="SimSun"/>
                <w:spacing w:val="-1"/>
                <w:sz w:val="16"/>
                <w:szCs w:val="16"/>
              </w:rPr>
              <w:t>2023.03</w:t>
            </w:r>
          </w:p>
        </w:tc>
        <w:tc>
          <w:tcPr>
            <w:tcW w:w="740" w:type="dxa"/>
            <w:vAlign w:val="top"/>
          </w:tcPr>
          <w:p>
            <w:pPr>
              <w:spacing w:before="106" w:line="176" w:lineRule="auto"/>
              <w:ind w:left="84"/>
              <w:rPr>
                <w:rFonts w:ascii="SimSun" w:eastAsia="SimSun" w:hAnsi="SimSun" w:cs="SimSun"/>
                <w:sz w:val="16"/>
                <w:szCs w:val="16"/>
              </w:rPr>
            </w:pPr>
            <w:r>
              <w:rPr>
                <w:rFonts w:ascii="SimSun" w:eastAsia="SimSun" w:hAnsi="SimSun" w:cs="SimSun"/>
                <w:spacing w:val="-1"/>
                <w:sz w:val="16"/>
                <w:szCs w:val="16"/>
              </w:rPr>
              <w:t>2023.08</w:t>
            </w:r>
          </w:p>
        </w:tc>
        <w:tc>
          <w:tcPr>
            <w:tcW w:w="4060" w:type="dxa"/>
            <w:vAlign w:val="top"/>
          </w:tcPr>
          <w:p>
            <w:pPr>
              <w:spacing w:before="64" w:line="219" w:lineRule="auto"/>
              <w:ind w:left="125"/>
              <w:rPr>
                <w:rFonts w:ascii="SimSun" w:eastAsia="SimSun" w:hAnsi="SimSun" w:cs="SimSun"/>
                <w:sz w:val="16"/>
                <w:szCs w:val="16"/>
              </w:rPr>
            </w:pPr>
            <w:r>
              <w:rPr>
                <w:rFonts w:ascii="SimSun" w:eastAsia="SimSun" w:hAnsi="SimSun" w:cs="SimSun"/>
                <w:spacing w:val="-1"/>
                <w:sz w:val="16"/>
                <w:szCs w:val="16"/>
              </w:rPr>
              <w:t>一种熔窑增氧燃烧设备</w:t>
            </w:r>
          </w:p>
        </w:tc>
        <w:tc>
          <w:tcPr>
            <w:tcW w:w="860" w:type="dxa"/>
            <w:vAlign w:val="top"/>
          </w:tcPr>
          <w:p>
            <w:pPr>
              <w:spacing w:before="66"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65"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06" w:line="176" w:lineRule="auto"/>
              <w:ind w:left="104"/>
              <w:rPr>
                <w:rFonts w:ascii="SimSun" w:eastAsia="SimSun" w:hAnsi="SimSun" w:cs="SimSun"/>
                <w:sz w:val="16"/>
                <w:szCs w:val="16"/>
              </w:rPr>
            </w:pPr>
            <w:r>
              <w:rPr>
                <w:rFonts w:ascii="SimSun" w:eastAsia="SimSun" w:hAnsi="SimSun" w:cs="SimSun"/>
                <w:spacing w:val="-1"/>
                <w:sz w:val="16"/>
                <w:szCs w:val="16"/>
              </w:rPr>
              <w:t>202320455946.1</w:t>
            </w:r>
          </w:p>
        </w:tc>
      </w:tr>
      <w:tr>
        <w:tblPrEx>
          <w:tblW w:w="8979" w:type="dxa"/>
          <w:tblInd w:w="0" w:type="dxa"/>
          <w:tblLayout w:type="fixed"/>
        </w:tblPrEx>
        <w:trPr>
          <w:trHeight w:val="280"/>
        </w:trPr>
        <w:tc>
          <w:tcPr>
            <w:tcW w:w="380" w:type="dxa"/>
            <w:tcBorders>
              <w:left w:val="nil"/>
            </w:tcBorders>
            <w:vAlign w:val="top"/>
          </w:tcPr>
          <w:p>
            <w:pPr>
              <w:spacing w:before="107" w:line="183" w:lineRule="auto"/>
              <w:ind w:left="109"/>
              <w:rPr>
                <w:rFonts w:ascii="SimSun" w:eastAsia="SimSun" w:hAnsi="SimSun" w:cs="SimSun"/>
                <w:sz w:val="16"/>
                <w:szCs w:val="16"/>
              </w:rPr>
            </w:pPr>
            <w:r>
              <w:rPr>
                <w:rFonts w:ascii="SimSun" w:eastAsia="SimSun" w:hAnsi="SimSun" w:cs="SimSun"/>
                <w:spacing w:val="-3"/>
                <w:sz w:val="16"/>
                <w:szCs w:val="16"/>
              </w:rPr>
              <w:t>27</w:t>
            </w:r>
          </w:p>
        </w:tc>
        <w:tc>
          <w:tcPr>
            <w:tcW w:w="740" w:type="dxa"/>
            <w:vAlign w:val="top"/>
          </w:tcPr>
          <w:p>
            <w:pPr>
              <w:spacing w:before="107" w:line="183" w:lineRule="auto"/>
              <w:ind w:left="84"/>
              <w:rPr>
                <w:rFonts w:ascii="SimSun" w:eastAsia="SimSun" w:hAnsi="SimSun" w:cs="SimSun"/>
                <w:sz w:val="16"/>
                <w:szCs w:val="16"/>
              </w:rPr>
            </w:pPr>
            <w:r>
              <w:rPr>
                <w:rFonts w:ascii="SimSun" w:eastAsia="SimSun" w:hAnsi="SimSun" w:cs="SimSun"/>
                <w:spacing w:val="-1"/>
                <w:sz w:val="16"/>
                <w:szCs w:val="16"/>
              </w:rPr>
              <w:t>2023.03</w:t>
            </w:r>
          </w:p>
        </w:tc>
        <w:tc>
          <w:tcPr>
            <w:tcW w:w="740" w:type="dxa"/>
            <w:vAlign w:val="top"/>
          </w:tcPr>
          <w:p>
            <w:pPr>
              <w:spacing w:before="107" w:line="183" w:lineRule="auto"/>
              <w:ind w:left="84"/>
              <w:rPr>
                <w:rFonts w:ascii="SimSun" w:eastAsia="SimSun" w:hAnsi="SimSun" w:cs="SimSun"/>
                <w:sz w:val="16"/>
                <w:szCs w:val="16"/>
              </w:rPr>
            </w:pPr>
            <w:r>
              <w:rPr>
                <w:rFonts w:ascii="SimSun" w:eastAsia="SimSun" w:hAnsi="SimSun" w:cs="SimSun"/>
                <w:spacing w:val="-1"/>
                <w:sz w:val="16"/>
                <w:szCs w:val="16"/>
              </w:rPr>
              <w:t>2023.08</w:t>
            </w:r>
          </w:p>
        </w:tc>
        <w:tc>
          <w:tcPr>
            <w:tcW w:w="4060" w:type="dxa"/>
            <w:vAlign w:val="top"/>
          </w:tcPr>
          <w:p>
            <w:pPr>
              <w:spacing w:before="65" w:line="219" w:lineRule="auto"/>
              <w:ind w:left="125"/>
              <w:rPr>
                <w:rFonts w:ascii="SimSun" w:eastAsia="SimSun" w:hAnsi="SimSun" w:cs="SimSun"/>
                <w:sz w:val="16"/>
                <w:szCs w:val="16"/>
              </w:rPr>
            </w:pPr>
            <w:r>
              <w:rPr>
                <w:rFonts w:ascii="SimSun" w:eastAsia="SimSun" w:hAnsi="SimSun" w:cs="SimSun"/>
                <w:spacing w:val="-1"/>
                <w:sz w:val="16"/>
                <w:szCs w:val="16"/>
              </w:rPr>
              <w:t>导电性玻璃和具有该导电性玻璃的光伏组件</w:t>
            </w:r>
          </w:p>
        </w:tc>
        <w:tc>
          <w:tcPr>
            <w:tcW w:w="860" w:type="dxa"/>
            <w:vAlign w:val="top"/>
          </w:tcPr>
          <w:p>
            <w:pPr>
              <w:spacing w:before="67"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66"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07" w:line="184" w:lineRule="auto"/>
              <w:ind w:left="104"/>
              <w:rPr>
                <w:rFonts w:ascii="SimSun" w:eastAsia="SimSun" w:hAnsi="SimSun" w:cs="SimSun"/>
                <w:sz w:val="16"/>
                <w:szCs w:val="16"/>
              </w:rPr>
            </w:pPr>
            <w:r>
              <w:rPr>
                <w:rFonts w:ascii="SimSun" w:eastAsia="SimSun" w:hAnsi="SimSun" w:cs="SimSun"/>
                <w:spacing w:val="-1"/>
                <w:sz w:val="16"/>
                <w:szCs w:val="16"/>
              </w:rPr>
              <w:t>202320690310.5</w:t>
            </w:r>
          </w:p>
        </w:tc>
      </w:tr>
      <w:tr>
        <w:tblPrEx>
          <w:tblW w:w="8979" w:type="dxa"/>
          <w:tblInd w:w="0" w:type="dxa"/>
          <w:tblLayout w:type="fixed"/>
        </w:tblPrEx>
        <w:trPr>
          <w:trHeight w:val="285"/>
        </w:trPr>
        <w:tc>
          <w:tcPr>
            <w:tcW w:w="380" w:type="dxa"/>
            <w:tcBorders>
              <w:left w:val="nil"/>
            </w:tcBorders>
            <w:vAlign w:val="top"/>
          </w:tcPr>
          <w:p>
            <w:pPr>
              <w:spacing w:before="107" w:line="183" w:lineRule="auto"/>
              <w:ind w:left="109"/>
              <w:rPr>
                <w:rFonts w:ascii="SimSun" w:eastAsia="SimSun" w:hAnsi="SimSun" w:cs="SimSun"/>
                <w:sz w:val="16"/>
                <w:szCs w:val="16"/>
              </w:rPr>
            </w:pPr>
            <w:r>
              <w:rPr>
                <w:rFonts w:ascii="SimSun" w:eastAsia="SimSun" w:hAnsi="SimSun" w:cs="SimSun"/>
                <w:spacing w:val="-3"/>
                <w:sz w:val="16"/>
                <w:szCs w:val="16"/>
              </w:rPr>
              <w:t>28</w:t>
            </w:r>
          </w:p>
        </w:tc>
        <w:tc>
          <w:tcPr>
            <w:tcW w:w="740" w:type="dxa"/>
            <w:vAlign w:val="top"/>
          </w:tcPr>
          <w:p>
            <w:pPr>
              <w:spacing w:before="107" w:line="183" w:lineRule="auto"/>
              <w:ind w:left="84"/>
              <w:rPr>
                <w:rFonts w:ascii="SimSun" w:eastAsia="SimSun" w:hAnsi="SimSun" w:cs="SimSun"/>
                <w:sz w:val="16"/>
                <w:szCs w:val="16"/>
              </w:rPr>
            </w:pPr>
            <w:r>
              <w:rPr>
                <w:rFonts w:ascii="SimSun" w:eastAsia="SimSun" w:hAnsi="SimSun" w:cs="SimSun"/>
                <w:spacing w:val="-1"/>
                <w:sz w:val="16"/>
                <w:szCs w:val="16"/>
              </w:rPr>
              <w:t>2023.04</w:t>
            </w:r>
          </w:p>
        </w:tc>
        <w:tc>
          <w:tcPr>
            <w:tcW w:w="740" w:type="dxa"/>
            <w:vAlign w:val="top"/>
          </w:tcPr>
          <w:p>
            <w:pPr>
              <w:spacing w:before="107" w:line="183" w:lineRule="auto"/>
              <w:ind w:left="84"/>
              <w:rPr>
                <w:rFonts w:ascii="SimSun" w:eastAsia="SimSun" w:hAnsi="SimSun" w:cs="SimSun"/>
                <w:sz w:val="16"/>
                <w:szCs w:val="16"/>
              </w:rPr>
            </w:pPr>
            <w:r>
              <w:rPr>
                <w:rFonts w:ascii="SimSun" w:eastAsia="SimSun" w:hAnsi="SimSun" w:cs="SimSun"/>
                <w:spacing w:val="-1"/>
                <w:sz w:val="16"/>
                <w:szCs w:val="16"/>
              </w:rPr>
              <w:t>2023.09</w:t>
            </w:r>
          </w:p>
        </w:tc>
        <w:tc>
          <w:tcPr>
            <w:tcW w:w="4060" w:type="dxa"/>
            <w:vAlign w:val="top"/>
          </w:tcPr>
          <w:p>
            <w:pPr>
              <w:spacing w:before="65" w:line="219" w:lineRule="auto"/>
              <w:ind w:left="125"/>
              <w:rPr>
                <w:rFonts w:ascii="SimSun" w:eastAsia="SimSun" w:hAnsi="SimSun" w:cs="SimSun"/>
                <w:sz w:val="16"/>
                <w:szCs w:val="16"/>
              </w:rPr>
            </w:pPr>
            <w:r>
              <w:rPr>
                <w:rFonts w:ascii="SimSun" w:eastAsia="SimSun" w:hAnsi="SimSun" w:cs="SimSun"/>
                <w:spacing w:val="-1"/>
                <w:sz w:val="16"/>
                <w:szCs w:val="16"/>
              </w:rPr>
              <w:t>一种散热性好的空气压缩机</w:t>
            </w:r>
          </w:p>
        </w:tc>
        <w:tc>
          <w:tcPr>
            <w:tcW w:w="860" w:type="dxa"/>
            <w:vAlign w:val="top"/>
          </w:tcPr>
          <w:p>
            <w:pPr>
              <w:spacing w:before="67" w:line="220" w:lineRule="auto"/>
              <w:ind w:left="104"/>
              <w:rPr>
                <w:rFonts w:ascii="SimSun" w:eastAsia="SimSun" w:hAnsi="SimSun" w:cs="SimSun"/>
                <w:sz w:val="16"/>
                <w:szCs w:val="16"/>
              </w:rPr>
            </w:pPr>
            <w:r>
              <w:rPr>
                <w:rFonts w:ascii="SimSun" w:eastAsia="SimSun" w:hAnsi="SimSun" w:cs="SimSun"/>
                <w:spacing w:val="2"/>
                <w:sz w:val="16"/>
                <w:szCs w:val="16"/>
              </w:rPr>
              <w:t>实用新型</w:t>
            </w:r>
          </w:p>
        </w:tc>
        <w:tc>
          <w:tcPr>
            <w:tcW w:w="850" w:type="dxa"/>
            <w:vAlign w:val="top"/>
          </w:tcPr>
          <w:p>
            <w:pPr>
              <w:spacing w:before="66" w:line="219" w:lineRule="auto"/>
              <w:ind w:left="94"/>
              <w:rPr>
                <w:rFonts w:ascii="SimSun" w:eastAsia="SimSun" w:hAnsi="SimSun" w:cs="SimSun"/>
                <w:sz w:val="16"/>
                <w:szCs w:val="16"/>
              </w:rPr>
            </w:pPr>
            <w:r>
              <w:rPr>
                <w:rFonts w:ascii="SimSun" w:eastAsia="SimSun" w:hAnsi="SimSun" w:cs="SimSun"/>
                <w:spacing w:val="-2"/>
                <w:sz w:val="16"/>
                <w:szCs w:val="16"/>
              </w:rPr>
              <w:t>授权维持</w:t>
            </w:r>
          </w:p>
        </w:tc>
        <w:tc>
          <w:tcPr>
            <w:tcW w:w="1349" w:type="dxa"/>
            <w:tcBorders>
              <w:right w:val="nil"/>
            </w:tcBorders>
            <w:vAlign w:val="top"/>
          </w:tcPr>
          <w:p>
            <w:pPr>
              <w:spacing w:before="107" w:line="184" w:lineRule="auto"/>
              <w:ind w:left="104"/>
              <w:rPr>
                <w:rFonts w:ascii="SimSun" w:eastAsia="SimSun" w:hAnsi="SimSun" w:cs="SimSun"/>
                <w:sz w:val="16"/>
                <w:szCs w:val="16"/>
              </w:rPr>
            </w:pPr>
            <w:r>
              <w:rPr>
                <w:rFonts w:ascii="SimSun" w:eastAsia="SimSun" w:hAnsi="SimSun" w:cs="SimSun"/>
                <w:spacing w:val="-1"/>
                <w:sz w:val="16"/>
                <w:szCs w:val="16"/>
              </w:rPr>
              <w:t>202321002790.8</w:t>
            </w:r>
          </w:p>
        </w:tc>
      </w:tr>
    </w:tbl>
    <w:p>
      <w:pPr>
        <w:pStyle w:val="BodyText"/>
        <w:spacing w:before="175" w:line="219" w:lineRule="auto"/>
        <w:ind w:left="709"/>
      </w:pPr>
      <w:r>
        <w:rPr>
          <w:spacing w:val="1"/>
        </w:rPr>
        <w:t>凤阳硅谷申报的账面未记录的注册商标共8项，具体信息如下表所示：</w:t>
      </w:r>
    </w:p>
    <w:p>
      <w:pPr>
        <w:spacing w:line="130" w:lineRule="exact"/>
      </w:pPr>
    </w:p>
    <w:tbl>
      <w:tblPr>
        <w:tblStyle w:val="TableNormal17"/>
        <w:tblW w:w="8489"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0"/>
        <w:gridCol w:w="1530"/>
        <w:gridCol w:w="1230"/>
        <w:gridCol w:w="3080"/>
        <w:gridCol w:w="1959"/>
      </w:tblGrid>
      <w:tr>
        <w:tblPrEx>
          <w:tblW w:w="8489"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690" w:type="dxa"/>
            <w:tcBorders>
              <w:left w:val="nil"/>
            </w:tcBorders>
            <w:vAlign w:val="top"/>
          </w:tcPr>
          <w:p>
            <w:pPr>
              <w:spacing w:before="81" w:line="221" w:lineRule="auto"/>
              <w:ind w:left="132"/>
              <w:rPr>
                <w:rFonts w:ascii="SimSun" w:eastAsia="SimSun" w:hAnsi="SimSun" w:cs="SimSun"/>
                <w:sz w:val="21"/>
                <w:szCs w:val="21"/>
              </w:rPr>
            </w:pPr>
            <w:r>
              <w:rPr>
                <w:rFonts w:ascii="SimSun" w:eastAsia="SimSun" w:hAnsi="SimSun" w:cs="SimSun"/>
                <w:b/>
                <w:bCs/>
                <w:spacing w:val="-5"/>
                <w:sz w:val="21"/>
                <w:szCs w:val="21"/>
              </w:rPr>
              <w:t>序号</w:t>
            </w:r>
          </w:p>
        </w:tc>
        <w:tc>
          <w:tcPr>
            <w:tcW w:w="1530" w:type="dxa"/>
            <w:vAlign w:val="top"/>
          </w:tcPr>
          <w:p>
            <w:pPr>
              <w:spacing w:before="81" w:line="221" w:lineRule="auto"/>
              <w:ind w:left="448"/>
              <w:rPr>
                <w:rFonts w:ascii="SimSun" w:eastAsia="SimSun" w:hAnsi="SimSun" w:cs="SimSun"/>
                <w:sz w:val="21"/>
                <w:szCs w:val="21"/>
              </w:rPr>
            </w:pPr>
            <w:r>
              <w:rPr>
                <w:rFonts w:ascii="SimSun" w:eastAsia="SimSun" w:hAnsi="SimSun" w:cs="SimSun"/>
                <w:b/>
                <w:bCs/>
                <w:spacing w:val="-5"/>
                <w:sz w:val="21"/>
                <w:szCs w:val="21"/>
              </w:rPr>
              <w:t>注册号</w:t>
            </w:r>
          </w:p>
        </w:tc>
        <w:tc>
          <w:tcPr>
            <w:tcW w:w="1230" w:type="dxa"/>
            <w:vAlign w:val="top"/>
          </w:tcPr>
          <w:p>
            <w:pPr>
              <w:spacing w:before="81" w:line="220" w:lineRule="auto"/>
              <w:ind w:left="87"/>
              <w:rPr>
                <w:rFonts w:ascii="SimSun" w:eastAsia="SimSun" w:hAnsi="SimSun" w:cs="SimSun"/>
                <w:sz w:val="21"/>
                <w:szCs w:val="21"/>
              </w:rPr>
            </w:pPr>
            <w:r>
              <w:rPr>
                <w:rFonts w:ascii="SimSun" w:eastAsia="SimSun" w:hAnsi="SimSun" w:cs="SimSun"/>
                <w:b/>
                <w:bCs/>
                <w:spacing w:val="-4"/>
                <w:sz w:val="21"/>
                <w:szCs w:val="21"/>
              </w:rPr>
              <w:t>注册日期</w:t>
            </w:r>
          </w:p>
        </w:tc>
        <w:tc>
          <w:tcPr>
            <w:tcW w:w="3080" w:type="dxa"/>
            <w:vAlign w:val="top"/>
          </w:tcPr>
          <w:p>
            <w:pPr>
              <w:spacing w:before="81" w:line="220" w:lineRule="auto"/>
              <w:ind w:left="1127"/>
              <w:rPr>
                <w:rFonts w:ascii="SimSun" w:eastAsia="SimSun" w:hAnsi="SimSun" w:cs="SimSun"/>
                <w:sz w:val="21"/>
                <w:szCs w:val="21"/>
              </w:rPr>
            </w:pPr>
            <w:r>
              <w:rPr>
                <w:rFonts w:ascii="SimSun" w:eastAsia="SimSun" w:hAnsi="SimSun" w:cs="SimSun"/>
                <w:b/>
                <w:bCs/>
                <w:spacing w:val="-5"/>
                <w:sz w:val="21"/>
                <w:szCs w:val="21"/>
              </w:rPr>
              <w:t>商标名称</w:t>
            </w:r>
          </w:p>
        </w:tc>
        <w:tc>
          <w:tcPr>
            <w:tcW w:w="1959" w:type="dxa"/>
            <w:tcBorders>
              <w:right w:val="nil"/>
            </w:tcBorders>
            <w:vAlign w:val="top"/>
          </w:tcPr>
          <w:p>
            <w:pPr>
              <w:spacing w:before="81" w:line="220" w:lineRule="auto"/>
              <w:ind w:left="558"/>
              <w:rPr>
                <w:rFonts w:ascii="SimSun" w:eastAsia="SimSun" w:hAnsi="SimSun" w:cs="SimSun"/>
                <w:sz w:val="21"/>
                <w:szCs w:val="21"/>
              </w:rPr>
            </w:pPr>
            <w:r>
              <w:rPr>
                <w:rFonts w:ascii="SimSun" w:eastAsia="SimSun" w:hAnsi="SimSun" w:cs="SimSun"/>
                <w:b/>
                <w:bCs/>
                <w:spacing w:val="-5"/>
                <w:sz w:val="21"/>
                <w:szCs w:val="21"/>
              </w:rPr>
              <w:t>商标图形</w:t>
            </w:r>
          </w:p>
        </w:tc>
      </w:tr>
      <w:tr>
        <w:tblPrEx>
          <w:tblW w:w="8489" w:type="dxa"/>
          <w:tblInd w:w="240" w:type="dxa"/>
          <w:tblLayout w:type="fixed"/>
        </w:tblPrEx>
        <w:trPr>
          <w:trHeight w:val="329"/>
        </w:trPr>
        <w:tc>
          <w:tcPr>
            <w:tcW w:w="690" w:type="dxa"/>
            <w:tcBorders>
              <w:left w:val="nil"/>
            </w:tcBorders>
            <w:vAlign w:val="top"/>
          </w:tcPr>
          <w:p>
            <w:pPr>
              <w:spacing w:before="113" w:line="181" w:lineRule="auto"/>
              <w:ind w:left="290"/>
              <w:rPr>
                <w:rFonts w:ascii="SimSun" w:eastAsia="SimSun" w:hAnsi="SimSun" w:cs="SimSun"/>
                <w:sz w:val="21"/>
                <w:szCs w:val="21"/>
              </w:rPr>
            </w:pPr>
            <w:r>
              <w:rPr>
                <w:rFonts w:ascii="SimSun" w:eastAsia="SimSun" w:hAnsi="SimSun" w:cs="SimSun"/>
                <w:sz w:val="21"/>
                <w:szCs w:val="21"/>
              </w:rPr>
              <w:t>1</w:t>
            </w:r>
          </w:p>
        </w:tc>
        <w:tc>
          <w:tcPr>
            <w:tcW w:w="1530" w:type="dxa"/>
            <w:vAlign w:val="top"/>
          </w:tcPr>
          <w:p>
            <w:pPr>
              <w:spacing w:before="113" w:line="181" w:lineRule="auto"/>
              <w:ind w:left="104"/>
              <w:rPr>
                <w:rFonts w:ascii="SimSun" w:eastAsia="SimSun" w:hAnsi="SimSun" w:cs="SimSun"/>
                <w:sz w:val="21"/>
                <w:szCs w:val="21"/>
              </w:rPr>
            </w:pPr>
            <w:r>
              <w:rPr>
                <w:rFonts w:ascii="SimSun" w:eastAsia="SimSun" w:hAnsi="SimSun" w:cs="SimSun"/>
                <w:spacing w:val="-2"/>
                <w:sz w:val="21"/>
                <w:szCs w:val="21"/>
              </w:rPr>
              <w:t>37862201</w:t>
            </w:r>
          </w:p>
        </w:tc>
        <w:tc>
          <w:tcPr>
            <w:tcW w:w="1230" w:type="dxa"/>
            <w:vAlign w:val="top"/>
          </w:tcPr>
          <w:p>
            <w:pPr>
              <w:spacing w:before="114" w:line="180" w:lineRule="auto"/>
              <w:ind w:left="84"/>
              <w:rPr>
                <w:rFonts w:ascii="SimSun" w:eastAsia="SimSun" w:hAnsi="SimSun" w:cs="SimSun"/>
                <w:sz w:val="21"/>
                <w:szCs w:val="21"/>
              </w:rPr>
            </w:pPr>
            <w:r>
              <w:rPr>
                <w:rFonts w:ascii="SimSun" w:eastAsia="SimSun" w:hAnsi="SimSun" w:cs="SimSun"/>
                <w:spacing w:val="-2"/>
                <w:sz w:val="21"/>
                <w:szCs w:val="21"/>
              </w:rPr>
              <w:t>2020-02</w:t>
            </w:r>
          </w:p>
        </w:tc>
        <w:tc>
          <w:tcPr>
            <w:tcW w:w="3080" w:type="dxa"/>
            <w:vAlign w:val="top"/>
          </w:tcPr>
          <w:p>
            <w:pPr>
              <w:spacing w:before="114" w:line="180" w:lineRule="auto"/>
              <w:ind w:left="105"/>
              <w:rPr>
                <w:rFonts w:ascii="SimSun" w:eastAsia="SimSun" w:hAnsi="SimSun" w:cs="SimSun"/>
                <w:sz w:val="21"/>
                <w:szCs w:val="21"/>
              </w:rPr>
            </w:pPr>
            <w:r>
              <w:rPr>
                <w:rFonts w:ascii="SimSun" w:eastAsia="SimSun" w:hAnsi="SimSun" w:cs="SimSun"/>
                <w:spacing w:val="-2"/>
                <w:sz w:val="21"/>
                <w:szCs w:val="21"/>
              </w:rPr>
              <w:t>GUIGU</w:t>
            </w:r>
            <w:r>
              <w:rPr>
                <w:rFonts w:ascii="SimSun" w:eastAsia="SimSun" w:hAnsi="SimSun" w:cs="SimSun"/>
                <w:spacing w:val="19"/>
                <w:sz w:val="21"/>
                <w:szCs w:val="21"/>
              </w:rPr>
              <w:t xml:space="preserve">    </w:t>
            </w:r>
            <w:r>
              <w:rPr>
                <w:rFonts w:ascii="SimSun" w:eastAsia="SimSun" w:hAnsi="SimSun" w:cs="SimSun"/>
                <w:spacing w:val="-2"/>
                <w:sz w:val="21"/>
                <w:szCs w:val="21"/>
              </w:rPr>
              <w:t>INTELLIGENCE</w:t>
            </w:r>
          </w:p>
        </w:tc>
        <w:tc>
          <w:tcPr>
            <w:tcW w:w="1959" w:type="dxa"/>
            <w:vMerge w:val="restart"/>
            <w:tcBorders>
              <w:bottom w:val="nil"/>
              <w:right w:val="nil"/>
            </w:tcBorders>
            <w:vAlign w:val="top"/>
          </w:tcPr>
          <w:p>
            <w:pPr>
              <w:pStyle w:val="TableText"/>
              <w:spacing w:line="256" w:lineRule="auto"/>
            </w:pPr>
          </w:p>
          <w:p>
            <w:pPr>
              <w:pStyle w:val="TableText"/>
              <w:spacing w:line="257" w:lineRule="auto"/>
            </w:pPr>
          </w:p>
          <w:p>
            <w:pPr>
              <w:spacing w:before="43" w:line="228" w:lineRule="exact"/>
              <w:ind w:left="124"/>
              <w:rPr>
                <w:rFonts w:ascii="SimSun" w:eastAsia="SimSun" w:hAnsi="SimSun" w:cs="SimSun"/>
                <w:sz w:val="13"/>
                <w:szCs w:val="13"/>
              </w:rPr>
            </w:pPr>
            <w:r>
              <w:rPr>
                <w:rFonts w:ascii="SimSun" w:eastAsia="SimSun" w:hAnsi="SimSun" w:cs="SimSun"/>
                <w:spacing w:val="-2"/>
                <w:position w:val="7"/>
                <w:sz w:val="13"/>
                <w:szCs w:val="13"/>
              </w:rPr>
              <w:t>Guieu</w:t>
            </w:r>
            <w:r>
              <w:rPr>
                <w:rFonts w:ascii="SimSun" w:eastAsia="SimSun" w:hAnsi="SimSun" w:cs="SimSun"/>
                <w:spacing w:val="16"/>
                <w:w w:val="101"/>
                <w:position w:val="7"/>
                <w:sz w:val="13"/>
                <w:szCs w:val="13"/>
              </w:rPr>
              <w:t xml:space="preserve"> </w:t>
            </w:r>
            <w:r>
              <w:rPr>
                <w:rFonts w:ascii="SimSun" w:eastAsia="SimSun" w:hAnsi="SimSun" w:cs="SimSun"/>
                <w:spacing w:val="-2"/>
                <w:position w:val="7"/>
                <w:sz w:val="13"/>
                <w:szCs w:val="13"/>
              </w:rPr>
              <w:t>lnte</w:t>
            </w:r>
            <w:r>
              <w:rPr>
                <w:rFonts w:ascii="SimSun" w:eastAsia="SimSun" w:hAnsi="SimSun" w:cs="SimSun"/>
                <w:spacing w:val="8"/>
                <w:position w:val="7"/>
                <w:sz w:val="13"/>
                <w:szCs w:val="13"/>
              </w:rPr>
              <w:t xml:space="preserve"> </w:t>
            </w:r>
            <w:r>
              <w:rPr>
                <w:rFonts w:ascii="SimSun" w:eastAsia="SimSun" w:hAnsi="SimSun" w:cs="SimSun"/>
                <w:spacing w:val="-2"/>
                <w:position w:val="2"/>
                <w:sz w:val="13"/>
                <w:szCs w:val="13"/>
              </w:rPr>
              <w:t>Jpnd</w:t>
            </w:r>
          </w:p>
          <w:p>
            <w:pPr>
              <w:spacing w:line="181" w:lineRule="auto"/>
              <w:ind w:left="944"/>
              <w:rPr>
                <w:rFonts w:ascii="SimSun" w:eastAsia="SimSun" w:hAnsi="SimSun" w:cs="SimSun"/>
                <w:sz w:val="12"/>
                <w:szCs w:val="12"/>
              </w:rPr>
            </w:pPr>
            <w:r>
              <w:rPr>
                <w:rFonts w:ascii="SimSun" w:eastAsia="SimSun" w:hAnsi="SimSun" w:cs="SimSun"/>
                <w:sz w:val="12"/>
                <w:szCs w:val="12"/>
              </w:rPr>
              <w:t>N</w:t>
            </w:r>
          </w:p>
          <w:p>
            <w:pPr>
              <w:pStyle w:val="TableText"/>
              <w:spacing w:line="452" w:lineRule="auto"/>
            </w:pPr>
          </w:p>
          <w:p>
            <w:pPr>
              <w:spacing w:line="920" w:lineRule="exact"/>
              <w:ind w:firstLine="44"/>
            </w:pPr>
            <w:r>
              <w:rPr>
                <w:position w:val="-18"/>
              </w:rPr>
              <w:drawing>
                <wp:inline distT="0" distB="0" distL="0" distR="0">
                  <wp:extent cx="844514" cy="5841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4"/>
                          <a:stretch>
                            <a:fillRect/>
                          </a:stretch>
                        </pic:blipFill>
                        <pic:spPr>
                          <a:xfrm>
                            <a:off x="0" y="0"/>
                            <a:ext cx="844514" cy="584180"/>
                          </a:xfrm>
                          <a:prstGeom prst="rect">
                            <a:avLst/>
                          </a:prstGeom>
                        </pic:spPr>
                      </pic:pic>
                    </a:graphicData>
                  </a:graphic>
                </wp:inline>
              </w:drawing>
            </w:r>
          </w:p>
        </w:tc>
      </w:tr>
      <w:tr>
        <w:tblPrEx>
          <w:tblW w:w="8489" w:type="dxa"/>
          <w:tblInd w:w="240" w:type="dxa"/>
          <w:tblLayout w:type="fixed"/>
        </w:tblPrEx>
        <w:trPr>
          <w:trHeight w:val="349"/>
        </w:trPr>
        <w:tc>
          <w:tcPr>
            <w:tcW w:w="690" w:type="dxa"/>
            <w:tcBorders>
              <w:left w:val="nil"/>
            </w:tcBorders>
            <w:vAlign w:val="top"/>
          </w:tcPr>
          <w:p>
            <w:pPr>
              <w:spacing w:before="124" w:line="183" w:lineRule="auto"/>
              <w:ind w:left="290"/>
              <w:rPr>
                <w:rFonts w:ascii="SimSun" w:eastAsia="SimSun" w:hAnsi="SimSun" w:cs="SimSun"/>
                <w:sz w:val="21"/>
                <w:szCs w:val="21"/>
              </w:rPr>
            </w:pPr>
            <w:r>
              <w:rPr>
                <w:rFonts w:ascii="SimSun" w:eastAsia="SimSun" w:hAnsi="SimSun" w:cs="SimSun"/>
                <w:sz w:val="21"/>
                <w:szCs w:val="21"/>
              </w:rPr>
              <w:t>2</w:t>
            </w:r>
          </w:p>
        </w:tc>
        <w:tc>
          <w:tcPr>
            <w:tcW w:w="1530" w:type="dxa"/>
            <w:vAlign w:val="top"/>
          </w:tcPr>
          <w:p>
            <w:pPr>
              <w:spacing w:before="124" w:line="183" w:lineRule="auto"/>
              <w:ind w:left="104"/>
              <w:rPr>
                <w:rFonts w:ascii="SimSun" w:eastAsia="SimSun" w:hAnsi="SimSun" w:cs="SimSun"/>
                <w:sz w:val="21"/>
                <w:szCs w:val="21"/>
              </w:rPr>
            </w:pPr>
            <w:r>
              <w:rPr>
                <w:rFonts w:ascii="SimSun" w:eastAsia="SimSun" w:hAnsi="SimSun" w:cs="SimSun"/>
                <w:spacing w:val="-2"/>
                <w:sz w:val="21"/>
                <w:szCs w:val="21"/>
              </w:rPr>
              <w:t>37848250</w:t>
            </w:r>
          </w:p>
        </w:tc>
        <w:tc>
          <w:tcPr>
            <w:tcW w:w="1230" w:type="dxa"/>
            <w:vAlign w:val="top"/>
          </w:tcPr>
          <w:p>
            <w:pPr>
              <w:spacing w:before="123" w:line="184" w:lineRule="auto"/>
              <w:ind w:left="84"/>
              <w:rPr>
                <w:rFonts w:ascii="SimSun" w:eastAsia="SimSun" w:hAnsi="SimSun" w:cs="SimSun"/>
                <w:sz w:val="21"/>
                <w:szCs w:val="21"/>
              </w:rPr>
            </w:pPr>
            <w:r>
              <w:rPr>
                <w:rFonts w:ascii="SimSun" w:eastAsia="SimSun" w:hAnsi="SimSun" w:cs="SimSun"/>
                <w:spacing w:val="-2"/>
                <w:sz w:val="21"/>
                <w:szCs w:val="21"/>
              </w:rPr>
              <w:t>2019-12</w:t>
            </w:r>
          </w:p>
        </w:tc>
        <w:tc>
          <w:tcPr>
            <w:tcW w:w="3080" w:type="dxa"/>
            <w:vAlign w:val="top"/>
          </w:tcPr>
          <w:p>
            <w:pPr>
              <w:spacing w:before="124" w:line="183" w:lineRule="auto"/>
              <w:ind w:left="105"/>
              <w:rPr>
                <w:rFonts w:ascii="SimSun" w:eastAsia="SimSun" w:hAnsi="SimSun" w:cs="SimSun"/>
                <w:sz w:val="21"/>
                <w:szCs w:val="21"/>
              </w:rPr>
            </w:pPr>
            <w:r>
              <w:rPr>
                <w:rFonts w:ascii="SimSun" w:eastAsia="SimSun" w:hAnsi="SimSun" w:cs="SimSun"/>
                <w:spacing w:val="-2"/>
                <w:sz w:val="21"/>
                <w:szCs w:val="21"/>
              </w:rPr>
              <w:t>GUIGU</w:t>
            </w:r>
            <w:r>
              <w:rPr>
                <w:rFonts w:ascii="SimSun" w:eastAsia="SimSun" w:hAnsi="SimSun" w:cs="SimSun"/>
                <w:spacing w:val="28"/>
                <w:sz w:val="21"/>
                <w:szCs w:val="21"/>
              </w:rPr>
              <w:t xml:space="preserve"> </w:t>
            </w:r>
            <w:r>
              <w:rPr>
                <w:rFonts w:ascii="SimSun" w:eastAsia="SimSun" w:hAnsi="SimSun" w:cs="SimSun"/>
                <w:spacing w:val="-2"/>
                <w:sz w:val="21"/>
                <w:szCs w:val="21"/>
              </w:rPr>
              <w:t>INTELLIGENCE</w:t>
            </w:r>
          </w:p>
        </w:tc>
        <w:tc>
          <w:tcPr>
            <w:tcW w:w="1959" w:type="dxa"/>
            <w:vMerge/>
            <w:tcBorders>
              <w:top w:val="nil"/>
              <w:bottom w:val="nil"/>
              <w:right w:val="nil"/>
            </w:tcBorders>
            <w:vAlign w:val="top"/>
          </w:tcPr>
          <w:p>
            <w:pPr>
              <w:pStyle w:val="TableText"/>
            </w:pPr>
          </w:p>
        </w:tc>
      </w:tr>
      <w:tr>
        <w:tblPrEx>
          <w:tblW w:w="8489" w:type="dxa"/>
          <w:tblInd w:w="240" w:type="dxa"/>
          <w:tblLayout w:type="fixed"/>
        </w:tblPrEx>
        <w:trPr>
          <w:trHeight w:val="339"/>
        </w:trPr>
        <w:tc>
          <w:tcPr>
            <w:tcW w:w="690" w:type="dxa"/>
            <w:tcBorders>
              <w:left w:val="nil"/>
            </w:tcBorders>
            <w:vAlign w:val="top"/>
          </w:tcPr>
          <w:p>
            <w:pPr>
              <w:spacing w:before="125" w:line="179" w:lineRule="auto"/>
              <w:ind w:left="290"/>
              <w:rPr>
                <w:rFonts w:ascii="SimSun" w:eastAsia="SimSun" w:hAnsi="SimSun" w:cs="SimSun"/>
                <w:sz w:val="21"/>
                <w:szCs w:val="21"/>
              </w:rPr>
            </w:pPr>
            <w:r>
              <w:rPr>
                <w:rFonts w:ascii="SimSun" w:eastAsia="SimSun" w:hAnsi="SimSun" w:cs="SimSun"/>
                <w:sz w:val="21"/>
                <w:szCs w:val="21"/>
              </w:rPr>
              <w:t>3</w:t>
            </w:r>
          </w:p>
        </w:tc>
        <w:tc>
          <w:tcPr>
            <w:tcW w:w="1530" w:type="dxa"/>
            <w:vAlign w:val="top"/>
          </w:tcPr>
          <w:p>
            <w:pPr>
              <w:spacing w:before="125" w:line="179" w:lineRule="auto"/>
              <w:ind w:left="104"/>
              <w:rPr>
                <w:rFonts w:ascii="SimSun" w:eastAsia="SimSun" w:hAnsi="SimSun" w:cs="SimSun"/>
                <w:sz w:val="21"/>
                <w:szCs w:val="21"/>
              </w:rPr>
            </w:pPr>
            <w:r>
              <w:rPr>
                <w:rFonts w:ascii="SimSun" w:eastAsia="SimSun" w:hAnsi="SimSun" w:cs="SimSun"/>
                <w:spacing w:val="-2"/>
                <w:sz w:val="21"/>
                <w:szCs w:val="21"/>
              </w:rPr>
              <w:t>37868598</w:t>
            </w:r>
          </w:p>
        </w:tc>
        <w:tc>
          <w:tcPr>
            <w:tcW w:w="1230" w:type="dxa"/>
            <w:vAlign w:val="top"/>
          </w:tcPr>
          <w:p>
            <w:pPr>
              <w:spacing w:before="125" w:line="179" w:lineRule="auto"/>
              <w:ind w:left="84"/>
              <w:rPr>
                <w:rFonts w:ascii="SimSun" w:eastAsia="SimSun" w:hAnsi="SimSun" w:cs="SimSun"/>
                <w:sz w:val="21"/>
                <w:szCs w:val="21"/>
              </w:rPr>
            </w:pPr>
            <w:r>
              <w:rPr>
                <w:rFonts w:ascii="SimSun" w:eastAsia="SimSun" w:hAnsi="SimSun" w:cs="SimSun"/>
                <w:spacing w:val="-2"/>
                <w:sz w:val="21"/>
                <w:szCs w:val="21"/>
              </w:rPr>
              <w:t>2020-03</w:t>
            </w:r>
          </w:p>
        </w:tc>
        <w:tc>
          <w:tcPr>
            <w:tcW w:w="3080" w:type="dxa"/>
            <w:vAlign w:val="top"/>
          </w:tcPr>
          <w:p>
            <w:pPr>
              <w:spacing w:before="125" w:line="179" w:lineRule="auto"/>
              <w:ind w:left="105"/>
              <w:rPr>
                <w:rFonts w:ascii="SimSun" w:eastAsia="SimSun" w:hAnsi="SimSun" w:cs="SimSun"/>
                <w:sz w:val="21"/>
                <w:szCs w:val="21"/>
              </w:rPr>
            </w:pPr>
            <w:r>
              <w:rPr>
                <w:rFonts w:ascii="SimSun" w:eastAsia="SimSun" w:hAnsi="SimSun" w:cs="SimSun"/>
                <w:spacing w:val="-2"/>
                <w:sz w:val="21"/>
                <w:szCs w:val="21"/>
              </w:rPr>
              <w:t>GUIGU</w:t>
            </w:r>
            <w:r>
              <w:rPr>
                <w:rFonts w:ascii="SimSun" w:eastAsia="SimSun" w:hAnsi="SimSun" w:cs="SimSun"/>
                <w:spacing w:val="28"/>
                <w:sz w:val="21"/>
                <w:szCs w:val="21"/>
              </w:rPr>
              <w:t xml:space="preserve"> </w:t>
            </w:r>
            <w:r>
              <w:rPr>
                <w:rFonts w:ascii="SimSun" w:eastAsia="SimSun" w:hAnsi="SimSun" w:cs="SimSun"/>
                <w:spacing w:val="-2"/>
                <w:sz w:val="21"/>
                <w:szCs w:val="21"/>
              </w:rPr>
              <w:t>INTELLIGENCE</w:t>
            </w:r>
          </w:p>
        </w:tc>
        <w:tc>
          <w:tcPr>
            <w:tcW w:w="1959" w:type="dxa"/>
            <w:vMerge/>
            <w:tcBorders>
              <w:top w:val="nil"/>
              <w:bottom w:val="nil"/>
              <w:right w:val="nil"/>
            </w:tcBorders>
            <w:vAlign w:val="top"/>
          </w:tcPr>
          <w:p>
            <w:pPr>
              <w:pStyle w:val="TableText"/>
            </w:pPr>
          </w:p>
        </w:tc>
      </w:tr>
      <w:tr>
        <w:tblPrEx>
          <w:tblW w:w="8489" w:type="dxa"/>
          <w:tblInd w:w="240" w:type="dxa"/>
          <w:tblLayout w:type="fixed"/>
        </w:tblPrEx>
        <w:trPr>
          <w:trHeight w:val="329"/>
        </w:trPr>
        <w:tc>
          <w:tcPr>
            <w:tcW w:w="690" w:type="dxa"/>
            <w:tcBorders>
              <w:left w:val="nil"/>
            </w:tcBorders>
            <w:vAlign w:val="top"/>
          </w:tcPr>
          <w:p>
            <w:pPr>
              <w:spacing w:before="116" w:line="178" w:lineRule="auto"/>
              <w:ind w:left="290"/>
              <w:rPr>
                <w:rFonts w:ascii="SimSun" w:eastAsia="SimSun" w:hAnsi="SimSun" w:cs="SimSun"/>
                <w:sz w:val="21"/>
                <w:szCs w:val="21"/>
              </w:rPr>
            </w:pPr>
            <w:r>
              <w:rPr>
                <w:rFonts w:ascii="SimSun" w:eastAsia="SimSun" w:hAnsi="SimSun" w:cs="SimSun"/>
                <w:sz w:val="21"/>
                <w:szCs w:val="21"/>
              </w:rPr>
              <w:t>4</w:t>
            </w:r>
          </w:p>
        </w:tc>
        <w:tc>
          <w:tcPr>
            <w:tcW w:w="1530" w:type="dxa"/>
            <w:vAlign w:val="top"/>
          </w:tcPr>
          <w:p>
            <w:pPr>
              <w:spacing w:before="116" w:line="178" w:lineRule="auto"/>
              <w:ind w:left="104"/>
              <w:rPr>
                <w:rFonts w:ascii="SimSun" w:eastAsia="SimSun" w:hAnsi="SimSun" w:cs="SimSun"/>
                <w:sz w:val="21"/>
                <w:szCs w:val="21"/>
              </w:rPr>
            </w:pPr>
            <w:r>
              <w:rPr>
                <w:rFonts w:ascii="SimSun" w:eastAsia="SimSun" w:hAnsi="SimSun" w:cs="SimSun"/>
                <w:spacing w:val="-2"/>
                <w:sz w:val="21"/>
                <w:szCs w:val="21"/>
              </w:rPr>
              <w:t>37865579</w:t>
            </w:r>
          </w:p>
        </w:tc>
        <w:tc>
          <w:tcPr>
            <w:tcW w:w="1230" w:type="dxa"/>
            <w:vAlign w:val="top"/>
          </w:tcPr>
          <w:p>
            <w:pPr>
              <w:spacing w:before="116" w:line="178" w:lineRule="auto"/>
              <w:ind w:left="84"/>
              <w:rPr>
                <w:rFonts w:ascii="SimSun" w:eastAsia="SimSun" w:hAnsi="SimSun" w:cs="SimSun"/>
                <w:sz w:val="21"/>
                <w:szCs w:val="21"/>
              </w:rPr>
            </w:pPr>
            <w:r>
              <w:rPr>
                <w:rFonts w:ascii="SimSun" w:eastAsia="SimSun" w:hAnsi="SimSun" w:cs="SimSun"/>
                <w:spacing w:val="-2"/>
                <w:sz w:val="21"/>
                <w:szCs w:val="21"/>
              </w:rPr>
              <w:t>2020-02</w:t>
            </w:r>
          </w:p>
        </w:tc>
        <w:tc>
          <w:tcPr>
            <w:tcW w:w="3080" w:type="dxa"/>
            <w:vAlign w:val="top"/>
          </w:tcPr>
          <w:p>
            <w:pPr>
              <w:spacing w:before="116" w:line="178" w:lineRule="auto"/>
              <w:ind w:left="105"/>
              <w:rPr>
                <w:rFonts w:ascii="SimSun" w:eastAsia="SimSun" w:hAnsi="SimSun" w:cs="SimSun"/>
                <w:sz w:val="21"/>
                <w:szCs w:val="21"/>
              </w:rPr>
            </w:pPr>
            <w:r>
              <w:rPr>
                <w:rFonts w:ascii="SimSun" w:eastAsia="SimSun" w:hAnsi="SimSun" w:cs="SimSun"/>
                <w:spacing w:val="-2"/>
                <w:sz w:val="21"/>
                <w:szCs w:val="21"/>
              </w:rPr>
              <w:t>GUIGU</w:t>
            </w:r>
            <w:r>
              <w:rPr>
                <w:rFonts w:ascii="SimSun" w:eastAsia="SimSun" w:hAnsi="SimSun" w:cs="SimSun"/>
                <w:spacing w:val="28"/>
                <w:sz w:val="21"/>
                <w:szCs w:val="21"/>
              </w:rPr>
              <w:t xml:space="preserve"> </w:t>
            </w:r>
            <w:r>
              <w:rPr>
                <w:rFonts w:ascii="SimSun" w:eastAsia="SimSun" w:hAnsi="SimSun" w:cs="SimSun"/>
                <w:spacing w:val="-2"/>
                <w:sz w:val="21"/>
                <w:szCs w:val="21"/>
              </w:rPr>
              <w:t>INTELLIGENCE</w:t>
            </w:r>
          </w:p>
        </w:tc>
        <w:tc>
          <w:tcPr>
            <w:tcW w:w="1959" w:type="dxa"/>
            <w:vMerge/>
            <w:tcBorders>
              <w:top w:val="nil"/>
              <w:bottom w:val="nil"/>
              <w:right w:val="nil"/>
            </w:tcBorders>
            <w:vAlign w:val="top"/>
          </w:tcPr>
          <w:p>
            <w:pPr>
              <w:pStyle w:val="TableText"/>
            </w:pPr>
          </w:p>
        </w:tc>
      </w:tr>
      <w:tr>
        <w:tblPrEx>
          <w:tblW w:w="8489" w:type="dxa"/>
          <w:tblInd w:w="240" w:type="dxa"/>
          <w:tblLayout w:type="fixed"/>
        </w:tblPrEx>
        <w:trPr>
          <w:trHeight w:val="917"/>
        </w:trPr>
        <w:tc>
          <w:tcPr>
            <w:tcW w:w="690" w:type="dxa"/>
            <w:tcBorders>
              <w:left w:val="nil"/>
            </w:tcBorders>
            <w:vAlign w:val="top"/>
          </w:tcPr>
          <w:p>
            <w:pPr>
              <w:pStyle w:val="TableText"/>
              <w:spacing w:line="348" w:lineRule="auto"/>
            </w:pPr>
          </w:p>
          <w:p>
            <w:pPr>
              <w:spacing w:before="68" w:line="182" w:lineRule="auto"/>
              <w:ind w:left="290"/>
              <w:rPr>
                <w:rFonts w:ascii="SimSun" w:eastAsia="SimSun" w:hAnsi="SimSun" w:cs="SimSun"/>
                <w:sz w:val="21"/>
                <w:szCs w:val="21"/>
              </w:rPr>
            </w:pPr>
            <w:r>
              <w:rPr>
                <w:rFonts w:ascii="SimSun" w:eastAsia="SimSun" w:hAnsi="SimSun" w:cs="SimSun"/>
                <w:sz w:val="21"/>
                <w:szCs w:val="21"/>
              </w:rPr>
              <w:t>5</w:t>
            </w:r>
          </w:p>
        </w:tc>
        <w:tc>
          <w:tcPr>
            <w:tcW w:w="1530" w:type="dxa"/>
            <w:vAlign w:val="top"/>
          </w:tcPr>
          <w:p>
            <w:pPr>
              <w:pStyle w:val="TableText"/>
              <w:spacing w:line="346" w:lineRule="auto"/>
            </w:pPr>
          </w:p>
          <w:p>
            <w:pPr>
              <w:spacing w:before="68" w:line="184" w:lineRule="auto"/>
              <w:ind w:left="104"/>
              <w:rPr>
                <w:rFonts w:ascii="SimSun" w:eastAsia="SimSun" w:hAnsi="SimSun" w:cs="SimSun"/>
                <w:sz w:val="21"/>
                <w:szCs w:val="21"/>
              </w:rPr>
            </w:pPr>
            <w:r>
              <w:rPr>
                <w:rFonts w:ascii="SimSun" w:eastAsia="SimSun" w:hAnsi="SimSun" w:cs="SimSun"/>
                <w:spacing w:val="-2"/>
                <w:sz w:val="21"/>
                <w:szCs w:val="21"/>
              </w:rPr>
              <w:t>38693471</w:t>
            </w:r>
          </w:p>
        </w:tc>
        <w:tc>
          <w:tcPr>
            <w:tcW w:w="1230" w:type="dxa"/>
            <w:vAlign w:val="top"/>
          </w:tcPr>
          <w:p>
            <w:pPr>
              <w:pStyle w:val="TableText"/>
              <w:spacing w:line="347" w:lineRule="auto"/>
            </w:pPr>
          </w:p>
          <w:p>
            <w:pPr>
              <w:spacing w:before="68" w:line="183" w:lineRule="auto"/>
              <w:ind w:left="84"/>
              <w:rPr>
                <w:rFonts w:ascii="SimSun" w:eastAsia="SimSun" w:hAnsi="SimSun" w:cs="SimSun"/>
                <w:sz w:val="21"/>
                <w:szCs w:val="21"/>
              </w:rPr>
            </w:pPr>
            <w:r>
              <w:rPr>
                <w:rFonts w:ascii="SimSun" w:eastAsia="SimSun" w:hAnsi="SimSun" w:cs="SimSun"/>
                <w:spacing w:val="-2"/>
                <w:sz w:val="21"/>
                <w:szCs w:val="21"/>
              </w:rPr>
              <w:t>2020-04</w:t>
            </w:r>
          </w:p>
        </w:tc>
        <w:tc>
          <w:tcPr>
            <w:tcW w:w="3080" w:type="dxa"/>
            <w:vAlign w:val="top"/>
          </w:tcPr>
          <w:p>
            <w:pPr>
              <w:pStyle w:val="TableText"/>
              <w:spacing w:line="294" w:lineRule="auto"/>
            </w:pPr>
          </w:p>
          <w:p>
            <w:pPr>
              <w:spacing w:before="68" w:line="221" w:lineRule="auto"/>
              <w:ind w:left="105"/>
              <w:rPr>
                <w:rFonts w:ascii="SimSun" w:eastAsia="SimSun" w:hAnsi="SimSun" w:cs="SimSun"/>
                <w:sz w:val="21"/>
                <w:szCs w:val="21"/>
              </w:rPr>
            </w:pPr>
            <w:r>
              <w:rPr>
                <w:rFonts w:ascii="SimSun" w:eastAsia="SimSun" w:hAnsi="SimSun" w:cs="SimSun"/>
                <w:spacing w:val="4"/>
                <w:sz w:val="21"/>
                <w:szCs w:val="21"/>
              </w:rPr>
              <w:t>图形</w:t>
            </w:r>
          </w:p>
        </w:tc>
        <w:tc>
          <w:tcPr>
            <w:tcW w:w="1959" w:type="dxa"/>
            <w:vMerge/>
            <w:tcBorders>
              <w:top w:val="nil"/>
              <w:right w:val="nil"/>
            </w:tcBorders>
            <w:vAlign w:val="top"/>
          </w:tcPr>
          <w:p>
            <w:pPr>
              <w:pStyle w:val="TableText"/>
            </w:pPr>
          </w:p>
        </w:tc>
      </w:tr>
      <w:tr>
        <w:tblPrEx>
          <w:tblW w:w="8489" w:type="dxa"/>
          <w:tblInd w:w="240" w:type="dxa"/>
          <w:tblLayout w:type="fixed"/>
        </w:tblPrEx>
        <w:trPr>
          <w:trHeight w:val="349"/>
        </w:trPr>
        <w:tc>
          <w:tcPr>
            <w:tcW w:w="690" w:type="dxa"/>
            <w:tcBorders>
              <w:left w:val="nil"/>
            </w:tcBorders>
            <w:vAlign w:val="top"/>
          </w:tcPr>
          <w:p>
            <w:pPr>
              <w:spacing w:before="130" w:line="183" w:lineRule="auto"/>
              <w:ind w:left="290"/>
              <w:rPr>
                <w:rFonts w:ascii="SimSun" w:eastAsia="SimSun" w:hAnsi="SimSun" w:cs="SimSun"/>
                <w:sz w:val="21"/>
                <w:szCs w:val="21"/>
              </w:rPr>
            </w:pPr>
            <w:r>
              <w:rPr>
                <w:rFonts w:ascii="SimSun" w:eastAsia="SimSun" w:hAnsi="SimSun" w:cs="SimSun"/>
                <w:sz w:val="21"/>
                <w:szCs w:val="21"/>
              </w:rPr>
              <w:t>6</w:t>
            </w:r>
          </w:p>
        </w:tc>
        <w:tc>
          <w:tcPr>
            <w:tcW w:w="1530" w:type="dxa"/>
            <w:vAlign w:val="top"/>
          </w:tcPr>
          <w:p>
            <w:pPr>
              <w:spacing w:before="129" w:line="184" w:lineRule="auto"/>
              <w:ind w:left="104"/>
              <w:rPr>
                <w:rFonts w:ascii="SimSun" w:eastAsia="SimSun" w:hAnsi="SimSun" w:cs="SimSun"/>
                <w:sz w:val="21"/>
                <w:szCs w:val="21"/>
              </w:rPr>
            </w:pPr>
            <w:r>
              <w:rPr>
                <w:rFonts w:ascii="SimSun" w:eastAsia="SimSun" w:hAnsi="SimSun" w:cs="SimSun"/>
                <w:spacing w:val="-1"/>
                <w:sz w:val="21"/>
                <w:szCs w:val="21"/>
              </w:rPr>
              <w:t>46728168</w:t>
            </w:r>
          </w:p>
        </w:tc>
        <w:tc>
          <w:tcPr>
            <w:tcW w:w="1230" w:type="dxa"/>
            <w:vAlign w:val="top"/>
          </w:tcPr>
          <w:p>
            <w:pPr>
              <w:spacing w:before="129" w:line="184" w:lineRule="auto"/>
              <w:ind w:left="84"/>
              <w:rPr>
                <w:rFonts w:ascii="SimSun" w:eastAsia="SimSun" w:hAnsi="SimSun" w:cs="SimSun"/>
                <w:sz w:val="21"/>
                <w:szCs w:val="21"/>
              </w:rPr>
            </w:pPr>
            <w:r>
              <w:rPr>
                <w:rFonts w:ascii="SimSun" w:eastAsia="SimSun" w:hAnsi="SimSun" w:cs="SimSun"/>
                <w:spacing w:val="-2"/>
                <w:sz w:val="21"/>
                <w:szCs w:val="21"/>
              </w:rPr>
              <w:t>2021-01</w:t>
            </w:r>
          </w:p>
        </w:tc>
        <w:tc>
          <w:tcPr>
            <w:tcW w:w="3080" w:type="dxa"/>
            <w:vAlign w:val="top"/>
          </w:tcPr>
          <w:p>
            <w:pPr>
              <w:spacing w:before="77" w:line="221" w:lineRule="auto"/>
              <w:ind w:left="105"/>
              <w:rPr>
                <w:rFonts w:ascii="SimSun" w:eastAsia="SimSun" w:hAnsi="SimSun" w:cs="SimSun"/>
                <w:sz w:val="21"/>
                <w:szCs w:val="21"/>
              </w:rPr>
            </w:pPr>
            <w:r>
              <w:rPr>
                <w:rFonts w:ascii="SimSun" w:eastAsia="SimSun" w:hAnsi="SimSun" w:cs="SimSun"/>
                <w:spacing w:val="4"/>
                <w:sz w:val="21"/>
                <w:szCs w:val="21"/>
              </w:rPr>
              <w:t>图形</w:t>
            </w:r>
          </w:p>
        </w:tc>
        <w:tc>
          <w:tcPr>
            <w:tcW w:w="1959" w:type="dxa"/>
            <w:vMerge w:val="restart"/>
            <w:tcBorders>
              <w:bottom w:val="nil"/>
              <w:right w:val="nil"/>
            </w:tcBorders>
            <w:vAlign w:val="top"/>
          </w:tcPr>
          <w:p>
            <w:pPr>
              <w:spacing w:before="37" w:line="1180" w:lineRule="exact"/>
              <w:ind w:firstLine="44"/>
            </w:pPr>
            <w:r>
              <w:rPr>
                <w:position w:val="-23"/>
              </w:rPr>
              <w:drawing>
                <wp:inline distT="0" distB="0" distL="0" distR="0">
                  <wp:extent cx="844514" cy="74928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5"/>
                          <a:stretch>
                            <a:fillRect/>
                          </a:stretch>
                        </pic:blipFill>
                        <pic:spPr>
                          <a:xfrm>
                            <a:off x="0" y="0"/>
                            <a:ext cx="844514" cy="749286"/>
                          </a:xfrm>
                          <a:prstGeom prst="rect">
                            <a:avLst/>
                          </a:prstGeom>
                        </pic:spPr>
                      </pic:pic>
                    </a:graphicData>
                  </a:graphic>
                </wp:inline>
              </w:drawing>
            </w:r>
          </w:p>
        </w:tc>
      </w:tr>
      <w:tr>
        <w:tblPrEx>
          <w:tblW w:w="8489" w:type="dxa"/>
          <w:tblInd w:w="240" w:type="dxa"/>
          <w:tblLayout w:type="fixed"/>
        </w:tblPrEx>
        <w:trPr>
          <w:trHeight w:val="329"/>
        </w:trPr>
        <w:tc>
          <w:tcPr>
            <w:tcW w:w="690" w:type="dxa"/>
            <w:tcBorders>
              <w:left w:val="nil"/>
            </w:tcBorders>
            <w:vAlign w:val="top"/>
          </w:tcPr>
          <w:p>
            <w:pPr>
              <w:spacing w:before="123" w:line="172" w:lineRule="auto"/>
              <w:ind w:left="290"/>
              <w:rPr>
                <w:rFonts w:ascii="SimSun" w:eastAsia="SimSun" w:hAnsi="SimSun" w:cs="SimSun"/>
                <w:sz w:val="21"/>
                <w:szCs w:val="21"/>
              </w:rPr>
            </w:pPr>
            <w:r>
              <w:rPr>
                <w:rFonts w:ascii="SimSun" w:eastAsia="SimSun" w:hAnsi="SimSun" w:cs="SimSun"/>
                <w:sz w:val="21"/>
                <w:szCs w:val="21"/>
              </w:rPr>
              <w:t>7</w:t>
            </w:r>
          </w:p>
        </w:tc>
        <w:tc>
          <w:tcPr>
            <w:tcW w:w="1530" w:type="dxa"/>
            <w:vAlign w:val="top"/>
          </w:tcPr>
          <w:p>
            <w:pPr>
              <w:spacing w:before="121" w:line="174" w:lineRule="auto"/>
              <w:ind w:left="104"/>
              <w:rPr>
                <w:rFonts w:ascii="SimSun" w:eastAsia="SimSun" w:hAnsi="SimSun" w:cs="SimSun"/>
                <w:sz w:val="21"/>
                <w:szCs w:val="21"/>
              </w:rPr>
            </w:pPr>
            <w:r>
              <w:rPr>
                <w:rFonts w:ascii="SimSun" w:eastAsia="SimSun" w:hAnsi="SimSun" w:cs="SimSun"/>
                <w:spacing w:val="-1"/>
                <w:sz w:val="21"/>
                <w:szCs w:val="21"/>
              </w:rPr>
              <w:t>46741105</w:t>
            </w:r>
          </w:p>
        </w:tc>
        <w:tc>
          <w:tcPr>
            <w:tcW w:w="1230" w:type="dxa"/>
            <w:vAlign w:val="top"/>
          </w:tcPr>
          <w:p>
            <w:pPr>
              <w:spacing w:before="121" w:line="174" w:lineRule="auto"/>
              <w:ind w:left="84"/>
              <w:rPr>
                <w:rFonts w:ascii="SimSun" w:eastAsia="SimSun" w:hAnsi="SimSun" w:cs="SimSun"/>
                <w:sz w:val="21"/>
                <w:szCs w:val="21"/>
              </w:rPr>
            </w:pPr>
            <w:r>
              <w:rPr>
                <w:rFonts w:ascii="SimSun" w:eastAsia="SimSun" w:hAnsi="SimSun" w:cs="SimSun"/>
                <w:spacing w:val="-2"/>
                <w:sz w:val="21"/>
                <w:szCs w:val="21"/>
              </w:rPr>
              <w:t>2021-01</w:t>
            </w:r>
          </w:p>
        </w:tc>
        <w:tc>
          <w:tcPr>
            <w:tcW w:w="3080" w:type="dxa"/>
            <w:vAlign w:val="top"/>
          </w:tcPr>
          <w:p>
            <w:pPr>
              <w:spacing w:before="68" w:line="220" w:lineRule="auto"/>
              <w:ind w:left="105"/>
              <w:rPr>
                <w:rFonts w:ascii="SimSun" w:eastAsia="SimSun" w:hAnsi="SimSun" w:cs="SimSun"/>
                <w:sz w:val="21"/>
                <w:szCs w:val="21"/>
              </w:rPr>
            </w:pPr>
            <w:r>
              <w:rPr>
                <w:rFonts w:ascii="SimSun" w:eastAsia="SimSun" w:hAnsi="SimSun" w:cs="SimSun"/>
                <w:spacing w:val="4"/>
                <w:sz w:val="21"/>
                <w:szCs w:val="21"/>
              </w:rPr>
              <w:t>图形</w:t>
            </w:r>
          </w:p>
        </w:tc>
        <w:tc>
          <w:tcPr>
            <w:tcW w:w="1959" w:type="dxa"/>
            <w:vMerge/>
            <w:tcBorders>
              <w:top w:val="nil"/>
              <w:bottom w:val="nil"/>
              <w:right w:val="nil"/>
            </w:tcBorders>
            <w:vAlign w:val="top"/>
          </w:tcPr>
          <w:p>
            <w:pPr>
              <w:pStyle w:val="TableText"/>
            </w:pPr>
          </w:p>
        </w:tc>
      </w:tr>
      <w:tr>
        <w:tblPrEx>
          <w:tblW w:w="8489" w:type="dxa"/>
          <w:tblInd w:w="240" w:type="dxa"/>
          <w:tblLayout w:type="fixed"/>
        </w:tblPrEx>
        <w:trPr>
          <w:trHeight w:val="544"/>
        </w:trPr>
        <w:tc>
          <w:tcPr>
            <w:tcW w:w="690" w:type="dxa"/>
            <w:tcBorders>
              <w:left w:val="nil"/>
            </w:tcBorders>
            <w:vAlign w:val="top"/>
          </w:tcPr>
          <w:p>
            <w:pPr>
              <w:spacing w:before="232" w:line="183" w:lineRule="auto"/>
              <w:ind w:left="290"/>
              <w:rPr>
                <w:rFonts w:ascii="SimSun" w:eastAsia="SimSun" w:hAnsi="SimSun" w:cs="SimSun"/>
                <w:sz w:val="21"/>
                <w:szCs w:val="21"/>
              </w:rPr>
            </w:pPr>
            <w:r>
              <w:rPr>
                <w:rFonts w:ascii="SimSun" w:eastAsia="SimSun" w:hAnsi="SimSun" w:cs="SimSun"/>
                <w:sz w:val="21"/>
                <w:szCs w:val="21"/>
              </w:rPr>
              <w:t>8</w:t>
            </w:r>
          </w:p>
        </w:tc>
        <w:tc>
          <w:tcPr>
            <w:tcW w:w="1530" w:type="dxa"/>
            <w:vAlign w:val="top"/>
          </w:tcPr>
          <w:p>
            <w:pPr>
              <w:spacing w:before="232" w:line="183" w:lineRule="auto"/>
              <w:ind w:left="104"/>
              <w:rPr>
                <w:rFonts w:ascii="SimSun" w:eastAsia="SimSun" w:hAnsi="SimSun" w:cs="SimSun"/>
                <w:sz w:val="21"/>
                <w:szCs w:val="21"/>
              </w:rPr>
            </w:pPr>
            <w:r>
              <w:rPr>
                <w:rFonts w:ascii="SimSun" w:eastAsia="SimSun" w:hAnsi="SimSun" w:cs="SimSun"/>
                <w:spacing w:val="-1"/>
                <w:sz w:val="21"/>
                <w:szCs w:val="21"/>
              </w:rPr>
              <w:t>46757063</w:t>
            </w:r>
          </w:p>
        </w:tc>
        <w:tc>
          <w:tcPr>
            <w:tcW w:w="1230" w:type="dxa"/>
            <w:vAlign w:val="top"/>
          </w:tcPr>
          <w:p>
            <w:pPr>
              <w:spacing w:before="231" w:line="184" w:lineRule="auto"/>
              <w:ind w:left="84"/>
              <w:rPr>
                <w:rFonts w:ascii="SimSun" w:eastAsia="SimSun" w:hAnsi="SimSun" w:cs="SimSun"/>
                <w:sz w:val="21"/>
                <w:szCs w:val="21"/>
              </w:rPr>
            </w:pPr>
            <w:r>
              <w:rPr>
                <w:rFonts w:ascii="SimSun" w:eastAsia="SimSun" w:hAnsi="SimSun" w:cs="SimSun"/>
                <w:spacing w:val="-2"/>
                <w:sz w:val="21"/>
                <w:szCs w:val="21"/>
              </w:rPr>
              <w:t>2021-01</w:t>
            </w:r>
          </w:p>
        </w:tc>
        <w:tc>
          <w:tcPr>
            <w:tcW w:w="3080" w:type="dxa"/>
            <w:vAlign w:val="top"/>
          </w:tcPr>
          <w:p>
            <w:pPr>
              <w:spacing w:before="179" w:line="221" w:lineRule="auto"/>
              <w:ind w:left="105"/>
              <w:rPr>
                <w:rFonts w:ascii="SimSun" w:eastAsia="SimSun" w:hAnsi="SimSun" w:cs="SimSun"/>
                <w:sz w:val="21"/>
                <w:szCs w:val="21"/>
              </w:rPr>
            </w:pPr>
            <w:r>
              <w:rPr>
                <w:rFonts w:ascii="SimSun" w:eastAsia="SimSun" w:hAnsi="SimSun" w:cs="SimSun"/>
                <w:spacing w:val="4"/>
                <w:sz w:val="21"/>
                <w:szCs w:val="21"/>
              </w:rPr>
              <w:t>图形</w:t>
            </w:r>
          </w:p>
        </w:tc>
        <w:tc>
          <w:tcPr>
            <w:tcW w:w="1959" w:type="dxa"/>
            <w:vMerge/>
            <w:tcBorders>
              <w:top w:val="nil"/>
              <w:right w:val="nil"/>
            </w:tcBorders>
            <w:vAlign w:val="top"/>
          </w:tcPr>
          <w:p>
            <w:pPr>
              <w:pStyle w:val="TableText"/>
            </w:pPr>
          </w:p>
        </w:tc>
      </w:tr>
    </w:tbl>
    <w:p>
      <w:pPr>
        <w:pStyle w:val="BodyText"/>
        <w:spacing w:before="155" w:line="184" w:lineRule="auto"/>
        <w:ind w:left="719"/>
      </w:pPr>
      <w:r>
        <w:rPr>
          <w:spacing w:val="2"/>
        </w:rPr>
        <w:t>合同权益系由凤阳硅谷与凤阳中福矿山机械工程有限公司签订的150 万吨石</w:t>
      </w:r>
    </w:p>
    <w:p>
      <w:pPr>
        <w:spacing w:line="184" w:lineRule="auto"/>
        <w:sectPr>
          <w:headerReference w:type="default" r:id="rId86"/>
          <w:footerReference w:type="default" r:id="rId87"/>
          <w:type w:val="nextPage"/>
          <w:pgSz w:w="11900" w:h="16840"/>
          <w:pgMar w:top="400" w:right="1460" w:bottom="1590" w:left="1460" w:header="0" w:footer="1309" w:gutter="0"/>
          <w:pgNumType w:start="40"/>
          <w:cols w:num="1" w:space="708" w:equalWidth="0">
            <w:col w:w="8980" w:space="0"/>
          </w:cols>
          <w:titlePg w:val="0"/>
        </w:sectPr>
      </w:pPr>
    </w:p>
    <w:p>
      <w:pPr>
        <w:spacing w:line="302" w:lineRule="auto"/>
        <w:rPr>
          <w:rFonts w:ascii="Arial"/>
          <w:sz w:val="21"/>
        </w:rPr>
      </w:pPr>
    </w:p>
    <w:p>
      <w:pPr>
        <w:pStyle w:val="BodyText"/>
        <w:spacing w:before="78" w:line="346" w:lineRule="auto"/>
        <w:ind w:left="36" w:right="30" w:firstLine="2"/>
        <w:jc w:val="both"/>
      </w:pPr>
      <w:r>
        <w:rPr>
          <w:spacing w:val="-7"/>
        </w:rPr>
        <w:t>英砂锁价采购合同形成，</w:t>
      </w:r>
      <w:r>
        <w:rPr>
          <w:spacing w:val="62"/>
        </w:rPr>
        <w:t xml:space="preserve"> </w:t>
      </w:r>
      <w:r>
        <w:rPr>
          <w:rFonts w:ascii="Times New Roman" w:eastAsia="Times New Roman" w:hAnsi="Times New Roman" w:cs="Times New Roman"/>
          <w:spacing w:val="-7"/>
        </w:rPr>
        <w:t>2022</w:t>
      </w:r>
      <w:r>
        <w:rPr>
          <w:rFonts w:ascii="Times New Roman" w:eastAsia="Times New Roman" w:hAnsi="Times New Roman" w:cs="Times New Roman"/>
          <w:spacing w:val="27"/>
          <w:w w:val="101"/>
        </w:rPr>
        <w:t xml:space="preserve"> </w:t>
      </w:r>
      <w:r>
        <w:rPr>
          <w:spacing w:val="-7"/>
        </w:rPr>
        <w:t xml:space="preserve">年 </w:t>
      </w:r>
      <w:r>
        <w:rPr>
          <w:rFonts w:ascii="Times New Roman" w:eastAsia="Times New Roman" w:hAnsi="Times New Roman" w:cs="Times New Roman"/>
          <w:spacing w:val="-7"/>
        </w:rPr>
        <w:t>1</w:t>
      </w:r>
      <w:r>
        <w:rPr>
          <w:rFonts w:ascii="Times New Roman" w:eastAsia="Times New Roman" w:hAnsi="Times New Roman" w:cs="Times New Roman"/>
          <w:spacing w:val="32"/>
        </w:rPr>
        <w:t xml:space="preserve"> </w:t>
      </w:r>
      <w:r>
        <w:rPr>
          <w:spacing w:val="-7"/>
        </w:rPr>
        <w:t>月凤阳硅谷通过公开挂牌方式自凤阳县交通投</w:t>
      </w:r>
      <w:r>
        <w:t xml:space="preserve"> </w:t>
      </w:r>
      <w:r>
        <w:rPr>
          <w:spacing w:val="-1"/>
        </w:rPr>
        <w:t>资有限公司取得</w:t>
      </w:r>
      <w:r>
        <w:rPr>
          <w:spacing w:val="-21"/>
        </w:rPr>
        <w:t xml:space="preserve"> </w:t>
      </w:r>
      <w:r>
        <w:rPr>
          <w:rFonts w:ascii="Times New Roman" w:eastAsia="Times New Roman" w:hAnsi="Times New Roman" w:cs="Times New Roman"/>
          <w:spacing w:val="-1"/>
        </w:rPr>
        <w:t>262.48</w:t>
      </w:r>
      <w:r>
        <w:rPr>
          <w:rFonts w:ascii="Times New Roman" w:eastAsia="Times New Roman" w:hAnsi="Times New Roman" w:cs="Times New Roman"/>
          <w:spacing w:val="37"/>
        </w:rPr>
        <w:t xml:space="preserve"> </w:t>
      </w:r>
      <w:r>
        <w:rPr>
          <w:spacing w:val="-1"/>
        </w:rPr>
        <w:t>万吨石英岩矿石，而后平价销售给凤阳中福矿山机械工程</w:t>
      </w:r>
      <w:r>
        <w:t xml:space="preserve"> </w:t>
      </w:r>
      <w:r>
        <w:rPr>
          <w:spacing w:val="-1"/>
        </w:rPr>
        <w:t xml:space="preserve">有限公司，同时与该公司签订了 </w:t>
      </w:r>
      <w:r>
        <w:rPr>
          <w:rFonts w:ascii="Times New Roman" w:eastAsia="Times New Roman" w:hAnsi="Times New Roman" w:cs="Times New Roman"/>
          <w:spacing w:val="-1"/>
        </w:rPr>
        <w:t xml:space="preserve">150  </w:t>
      </w:r>
      <w:r>
        <w:rPr>
          <w:spacing w:val="-1"/>
        </w:rPr>
        <w:t>万吨石英砂锁价采购合同，锁定的石英砂采</w:t>
      </w:r>
      <w:r>
        <w:rPr>
          <w:spacing w:val="17"/>
        </w:rPr>
        <w:t xml:space="preserve"> </w:t>
      </w:r>
      <w:r>
        <w:rPr>
          <w:spacing w:val="-1"/>
        </w:rPr>
        <w:t>购单价为含税</w:t>
      </w:r>
      <w:r>
        <w:rPr>
          <w:spacing w:val="-20"/>
        </w:rPr>
        <w:t xml:space="preserve"> </w:t>
      </w:r>
      <w:r>
        <w:rPr>
          <w:rFonts w:ascii="Times New Roman" w:eastAsia="Times New Roman" w:hAnsi="Times New Roman" w:cs="Times New Roman"/>
          <w:spacing w:val="-1"/>
        </w:rPr>
        <w:t>310</w:t>
      </w:r>
      <w:r>
        <w:rPr>
          <w:rFonts w:ascii="Times New Roman" w:eastAsia="Times New Roman" w:hAnsi="Times New Roman" w:cs="Times New Roman"/>
          <w:spacing w:val="28"/>
        </w:rPr>
        <w:t xml:space="preserve"> </w:t>
      </w:r>
      <w:r>
        <w:rPr>
          <w:spacing w:val="-1"/>
        </w:rPr>
        <w:t>元</w:t>
      </w:r>
      <w:r>
        <w:rPr>
          <w:rFonts w:ascii="Times New Roman" w:eastAsia="Times New Roman" w:hAnsi="Times New Roman" w:cs="Times New Roman"/>
          <w:spacing w:val="-1"/>
        </w:rPr>
        <w:t>/</w:t>
      </w:r>
      <w:r>
        <w:rPr>
          <w:spacing w:val="-1"/>
        </w:rPr>
        <w:t>吨，因石英砂锁定采购价较基准日市场价低，上述采购事项</w:t>
      </w:r>
      <w:r>
        <w:t xml:space="preserve"> </w:t>
      </w:r>
      <w:r>
        <w:rPr>
          <w:spacing w:val="-6"/>
        </w:rPr>
        <w:t>存在合同权益价值。截至评估基准日， 凤阳硅谷已按合同约定采购石英砂</w:t>
      </w:r>
      <w:r>
        <w:rPr>
          <w:spacing w:val="-44"/>
        </w:rPr>
        <w:t xml:space="preserve"> </w:t>
      </w:r>
      <w:r>
        <w:rPr>
          <w:rFonts w:ascii="Times New Roman" w:eastAsia="Times New Roman" w:hAnsi="Times New Roman" w:cs="Times New Roman"/>
          <w:spacing w:val="-6"/>
        </w:rPr>
        <w:t>77.68</w:t>
      </w:r>
      <w:r>
        <w:rPr>
          <w:rFonts w:ascii="Times New Roman" w:eastAsia="Times New Roman" w:hAnsi="Times New Roman" w:cs="Times New Roman"/>
          <w:spacing w:val="13"/>
        </w:rPr>
        <w:t xml:space="preserve"> </w:t>
      </w:r>
      <w:r>
        <w:rPr>
          <w:spacing w:val="-6"/>
        </w:rPr>
        <w:t>万</w:t>
      </w:r>
    </w:p>
    <w:p>
      <w:pPr>
        <w:pStyle w:val="BodyText"/>
        <w:spacing w:line="218" w:lineRule="auto"/>
        <w:ind w:left="49"/>
      </w:pPr>
      <w:r>
        <w:rPr>
          <w:spacing w:val="-2"/>
        </w:rPr>
        <w:t>吨，尚存锁价采购量</w:t>
      </w:r>
      <w:r>
        <w:rPr>
          <w:spacing w:val="-47"/>
        </w:rPr>
        <w:t xml:space="preserve"> </w:t>
      </w:r>
      <w:r>
        <w:rPr>
          <w:rFonts w:ascii="Times New Roman" w:eastAsia="Times New Roman" w:hAnsi="Times New Roman" w:cs="Times New Roman"/>
          <w:spacing w:val="-2"/>
        </w:rPr>
        <w:t xml:space="preserve">72.32 </w:t>
      </w:r>
      <w:r>
        <w:rPr>
          <w:spacing w:val="-2"/>
        </w:rPr>
        <w:t>万吨。</w:t>
      </w:r>
    </w:p>
    <w:p>
      <w:pPr>
        <w:pStyle w:val="BodyText"/>
        <w:spacing w:before="225" w:line="451" w:lineRule="exact"/>
        <w:ind w:right="13"/>
        <w:jc w:val="right"/>
      </w:pPr>
      <w:r>
        <w:rPr>
          <w:spacing w:val="-4"/>
          <w:position w:val="16"/>
        </w:rPr>
        <w:t>（三）引用其他机构出具的报告结论所涉及的资产类型、数量和账面金额（或</w:t>
      </w:r>
    </w:p>
    <w:p>
      <w:pPr>
        <w:pStyle w:val="BodyText"/>
        <w:spacing w:line="218" w:lineRule="auto"/>
        <w:ind w:left="40"/>
      </w:pPr>
      <w:r>
        <w:rPr>
          <w:spacing w:val="-5"/>
        </w:rPr>
        <w:t>者评估值）</w:t>
      </w:r>
    </w:p>
    <w:p>
      <w:pPr>
        <w:pStyle w:val="BodyText"/>
        <w:spacing w:before="225" w:line="218" w:lineRule="auto"/>
        <w:ind w:left="519"/>
      </w:pPr>
      <w:r>
        <w:rPr>
          <w:spacing w:val="-1"/>
        </w:rPr>
        <w:t>本资产评估报告未引用其他机构出具的报告结论。</w:t>
      </w:r>
    </w:p>
    <w:p>
      <w:pPr>
        <w:pStyle w:val="BodyText"/>
        <w:spacing w:before="322" w:line="224" w:lineRule="auto"/>
        <w:ind w:left="493"/>
        <w:outlineLvl w:val="0"/>
        <w:rPr>
          <w:sz w:val="27"/>
          <w:szCs w:val="27"/>
        </w:rPr>
      </w:pPr>
      <w:r>
        <w:rPr>
          <w:b/>
          <w:bCs/>
          <w:spacing w:val="-15"/>
          <w:sz w:val="27"/>
          <w:szCs w:val="27"/>
        </w:rPr>
        <w:t>四、</w:t>
      </w:r>
      <w:r>
        <w:rPr>
          <w:spacing w:val="-36"/>
          <w:sz w:val="27"/>
          <w:szCs w:val="27"/>
        </w:rPr>
        <w:t xml:space="preserve"> </w:t>
      </w:r>
      <w:r>
        <w:rPr>
          <w:b/>
          <w:bCs/>
          <w:spacing w:val="-15"/>
          <w:sz w:val="27"/>
          <w:szCs w:val="27"/>
        </w:rPr>
        <w:t>价值类型</w:t>
      </w:r>
    </w:p>
    <w:p>
      <w:pPr>
        <w:pStyle w:val="BodyText"/>
        <w:spacing w:before="315" w:line="346" w:lineRule="auto"/>
        <w:ind w:left="38" w:right="27" w:firstLine="490"/>
        <w:jc w:val="both"/>
      </w:pPr>
      <w:r>
        <w:rPr>
          <w:spacing w:val="2"/>
        </w:rPr>
        <w:t>资产评估的价值类型取决于评估特定的目的、市场条件和评估对象的使用状</w:t>
      </w:r>
      <w:r>
        <w:rPr>
          <w:spacing w:val="13"/>
        </w:rPr>
        <w:t xml:space="preserve"> </w:t>
      </w:r>
      <w:r>
        <w:rPr>
          <w:spacing w:val="-1"/>
        </w:rPr>
        <w:t>况。本次评估是在持续经营假设前提下， 通过充分考虑评估目的、市场条件、评</w:t>
      </w:r>
      <w:r>
        <w:rPr>
          <w:spacing w:val="10"/>
        </w:rPr>
        <w:t xml:space="preserve"> </w:t>
      </w:r>
      <w:r>
        <w:rPr>
          <w:spacing w:val="3"/>
        </w:rPr>
        <w:t>估对象自身条件等因素，评估凤阳硅谷股东全部权益价值。本次评</w:t>
      </w:r>
      <w:r>
        <w:rPr>
          <w:spacing w:val="2"/>
        </w:rPr>
        <w:t>估对市场条件</w:t>
      </w:r>
    </w:p>
    <w:p>
      <w:pPr>
        <w:pStyle w:val="BodyText"/>
        <w:spacing w:line="218" w:lineRule="auto"/>
        <w:ind w:left="39"/>
      </w:pPr>
      <w:r>
        <w:rPr>
          <w:spacing w:val="-1"/>
        </w:rPr>
        <w:t>和评估对象的使用等无特别限制和要求，因此选择的评估价</w:t>
      </w:r>
      <w:r>
        <w:rPr>
          <w:spacing w:val="-2"/>
        </w:rPr>
        <w:t>值类型为市场价值。</w:t>
      </w:r>
    </w:p>
    <w:p>
      <w:pPr>
        <w:pStyle w:val="BodyText"/>
        <w:spacing w:before="225" w:line="452" w:lineRule="exact"/>
        <w:ind w:right="33"/>
        <w:jc w:val="right"/>
      </w:pPr>
      <w:r>
        <w:rPr>
          <w:spacing w:val="3"/>
          <w:position w:val="16"/>
        </w:rPr>
        <w:t>本报告书所称市场价值是指自愿买方和自愿卖方在各自理性</w:t>
      </w:r>
      <w:r>
        <w:rPr>
          <w:spacing w:val="2"/>
          <w:position w:val="16"/>
        </w:rPr>
        <w:t>行事且未受任何</w:t>
      </w:r>
    </w:p>
    <w:p>
      <w:pPr>
        <w:pStyle w:val="BodyText"/>
        <w:spacing w:line="218" w:lineRule="auto"/>
        <w:ind w:left="43"/>
      </w:pPr>
      <w:r>
        <w:rPr>
          <w:spacing w:val="-1"/>
        </w:rPr>
        <w:t>强迫的情况下，评估对象在评估基准日进行正常公平交易的价值估计数额。</w:t>
      </w:r>
    </w:p>
    <w:p>
      <w:pPr>
        <w:pStyle w:val="BodyText"/>
        <w:spacing w:before="317" w:line="224" w:lineRule="auto"/>
        <w:ind w:left="471"/>
        <w:outlineLvl w:val="0"/>
        <w:rPr>
          <w:sz w:val="27"/>
          <w:szCs w:val="27"/>
        </w:rPr>
      </w:pPr>
      <w:r>
        <w:rPr>
          <w:b/>
          <w:bCs/>
          <w:spacing w:val="4"/>
          <w:sz w:val="27"/>
          <w:szCs w:val="27"/>
        </w:rPr>
        <w:t>五、评估基准日</w:t>
      </w:r>
    </w:p>
    <w:p>
      <w:pPr>
        <w:pStyle w:val="BodyText"/>
        <w:spacing w:before="315" w:line="218" w:lineRule="auto"/>
        <w:ind w:left="537"/>
      </w:pPr>
      <w:r>
        <w:rPr>
          <w:rFonts w:ascii="Times New Roman" w:eastAsia="Times New Roman" w:hAnsi="Times New Roman" w:cs="Times New Roman"/>
          <w:spacing w:val="-5"/>
        </w:rPr>
        <w:t>1.</w:t>
      </w:r>
      <w:r>
        <w:rPr>
          <w:spacing w:val="-5"/>
        </w:rPr>
        <w:t>本项目评估基准日是</w:t>
      </w:r>
      <w:r>
        <w:rPr>
          <w:spacing w:val="-57"/>
        </w:rPr>
        <w:t xml:space="preserve"> </w:t>
      </w:r>
      <w:r>
        <w:rPr>
          <w:rFonts w:ascii="Times New Roman" w:eastAsia="Times New Roman" w:hAnsi="Times New Roman" w:cs="Times New Roman"/>
          <w:spacing w:val="-5"/>
        </w:rPr>
        <w:t xml:space="preserve">2023 </w:t>
      </w:r>
      <w:r>
        <w:rPr>
          <w:spacing w:val="-5"/>
        </w:rPr>
        <w:t>年</w:t>
      </w:r>
      <w:r>
        <w:rPr>
          <w:spacing w:val="-53"/>
        </w:rPr>
        <w:t xml:space="preserve"> </w:t>
      </w:r>
      <w:r>
        <w:rPr>
          <w:rFonts w:ascii="Times New Roman" w:eastAsia="Times New Roman" w:hAnsi="Times New Roman" w:cs="Times New Roman"/>
          <w:spacing w:val="-5"/>
        </w:rPr>
        <w:t>9</w:t>
      </w:r>
      <w:r>
        <w:rPr>
          <w:rFonts w:ascii="Times New Roman" w:eastAsia="Times New Roman" w:hAnsi="Times New Roman" w:cs="Times New Roman"/>
          <w:spacing w:val="18"/>
        </w:rPr>
        <w:t xml:space="preserve"> </w:t>
      </w:r>
      <w:r>
        <w:rPr>
          <w:spacing w:val="-5"/>
        </w:rPr>
        <w:t>月</w:t>
      </w:r>
      <w:r>
        <w:rPr>
          <w:spacing w:val="-52"/>
        </w:rPr>
        <w:t xml:space="preserve"> </w:t>
      </w:r>
      <w:r>
        <w:rPr>
          <w:rFonts w:ascii="Times New Roman" w:eastAsia="Times New Roman" w:hAnsi="Times New Roman" w:cs="Times New Roman"/>
          <w:spacing w:val="-6"/>
        </w:rPr>
        <w:t xml:space="preserve">30  </w:t>
      </w:r>
      <w:r>
        <w:rPr>
          <w:spacing w:val="-6"/>
        </w:rPr>
        <w:t>日。</w:t>
      </w:r>
    </w:p>
    <w:p>
      <w:pPr>
        <w:pStyle w:val="BodyText"/>
        <w:spacing w:before="231" w:line="446" w:lineRule="exact"/>
        <w:ind w:right="34"/>
        <w:jc w:val="right"/>
      </w:pPr>
      <w:r>
        <w:rPr>
          <w:rFonts w:ascii="Times New Roman" w:eastAsia="Times New Roman" w:hAnsi="Times New Roman" w:cs="Times New Roman"/>
          <w:spacing w:val="5"/>
          <w:position w:val="15"/>
        </w:rPr>
        <w:t>2.</w:t>
      </w:r>
      <w:r>
        <w:rPr>
          <w:spacing w:val="5"/>
          <w:position w:val="15"/>
        </w:rPr>
        <w:t>评估基准日的选择主要考虑尽可能接近经济</w:t>
      </w:r>
      <w:r>
        <w:rPr>
          <w:spacing w:val="4"/>
          <w:position w:val="15"/>
        </w:rPr>
        <w:t>行为的实现日期以更好地为评</w:t>
      </w:r>
    </w:p>
    <w:p>
      <w:pPr>
        <w:pStyle w:val="BodyText"/>
        <w:spacing w:line="218" w:lineRule="auto"/>
        <w:ind w:left="38"/>
      </w:pPr>
      <w:r>
        <w:rPr>
          <w:spacing w:val="-5"/>
        </w:rPr>
        <w:t>估目的服务、与财务报表日期一致以便于资产清查等</w:t>
      </w:r>
      <w:r>
        <w:rPr>
          <w:spacing w:val="-6"/>
        </w:rPr>
        <w:t>因素，</w:t>
      </w:r>
      <w:r>
        <w:rPr>
          <w:spacing w:val="47"/>
        </w:rPr>
        <w:t xml:space="preserve"> </w:t>
      </w:r>
      <w:r>
        <w:rPr>
          <w:spacing w:val="-6"/>
        </w:rPr>
        <w:t>由委托人确定。</w:t>
      </w:r>
    </w:p>
    <w:p>
      <w:pPr>
        <w:pStyle w:val="BodyText"/>
        <w:spacing w:before="230" w:line="447" w:lineRule="exact"/>
        <w:ind w:right="28"/>
        <w:jc w:val="right"/>
      </w:pPr>
      <w:r>
        <w:rPr>
          <w:rFonts w:ascii="Times New Roman" w:eastAsia="Times New Roman" w:hAnsi="Times New Roman" w:cs="Times New Roman"/>
          <w:spacing w:val="-2"/>
          <w:position w:val="15"/>
        </w:rPr>
        <w:t xml:space="preserve">3.  </w:t>
      </w:r>
      <w:r>
        <w:rPr>
          <w:spacing w:val="-2"/>
          <w:position w:val="15"/>
        </w:rPr>
        <w:t>评估基准日的确定对评估结果的影响符合常规情况，无特</w:t>
      </w:r>
      <w:r>
        <w:rPr>
          <w:spacing w:val="-3"/>
          <w:position w:val="15"/>
        </w:rPr>
        <w:t>别影响因素。 本</w:t>
      </w:r>
    </w:p>
    <w:p>
      <w:pPr>
        <w:pStyle w:val="BodyText"/>
        <w:spacing w:line="218" w:lineRule="auto"/>
        <w:ind w:left="44"/>
      </w:pPr>
      <w:r>
        <w:rPr>
          <w:spacing w:val="-3"/>
        </w:rPr>
        <w:t>次评估的取价标准为评估基准日有效的价格标准。</w:t>
      </w:r>
    </w:p>
    <w:p>
      <w:pPr>
        <w:pStyle w:val="BodyText"/>
        <w:spacing w:before="322" w:line="224" w:lineRule="auto"/>
        <w:ind w:left="469"/>
        <w:outlineLvl w:val="0"/>
        <w:rPr>
          <w:sz w:val="27"/>
          <w:szCs w:val="27"/>
        </w:rPr>
        <w:sectPr>
          <w:headerReference w:type="default" r:id="rId88"/>
          <w:footerReference w:type="default" r:id="rId89"/>
          <w:pgSz w:w="11905" w:h="16839"/>
          <w:pgMar w:top="1637" w:right="1666" w:bottom="1579" w:left="1670" w:header="1154" w:footer="1314" w:gutter="0"/>
          <w:pgNumType w:start="41"/>
          <w:cols w:space="708"/>
        </w:sectPr>
      </w:pPr>
      <w:r>
        <w:rPr>
          <w:b/>
          <w:bCs/>
          <w:spacing w:val="5"/>
          <w:sz w:val="27"/>
          <w:szCs w:val="27"/>
        </w:rPr>
        <w:t>六、评估依据</w:t>
      </w:r>
    </w:p>
    <w:p>
      <w:pPr>
        <w:pStyle w:val="BodyText"/>
        <w:spacing w:before="315" w:line="447" w:lineRule="exact"/>
        <w:ind w:right="33"/>
        <w:jc w:val="right"/>
      </w:pPr>
      <w:r>
        <w:rPr>
          <w:spacing w:val="1"/>
          <w:position w:val="15"/>
        </w:rPr>
        <w:t>本次评估工作中所遵循的经济行为、法律法规、评估准则、 资产</w:t>
      </w:r>
      <w:r>
        <w:rPr>
          <w:position w:val="15"/>
        </w:rPr>
        <w:t>权属和评估</w:t>
      </w:r>
    </w:p>
    <w:p>
      <w:pPr>
        <w:pStyle w:val="BodyText"/>
        <w:spacing w:line="218" w:lineRule="auto"/>
        <w:ind w:left="41"/>
      </w:pPr>
      <w:r>
        <w:rPr>
          <w:spacing w:val="-2"/>
        </w:rPr>
        <w:t>取价等依据如下：</w:t>
      </w:r>
    </w:p>
    <w:p>
      <w:pPr>
        <w:pStyle w:val="BodyText"/>
        <w:spacing w:before="230" w:line="219" w:lineRule="auto"/>
        <w:ind w:left="525"/>
      </w:pPr>
      <w:r>
        <w:rPr>
          <w:b/>
          <w:bCs/>
          <w:spacing w:val="-4"/>
        </w:rPr>
        <w:t>（一）经济行为依据</w:t>
      </w:r>
    </w:p>
    <w:p>
      <w:pPr>
        <w:spacing w:line="219" w:lineRule="auto"/>
        <w:sectPr>
          <w:headerReference w:type="default" r:id="rId90"/>
          <w:footerReference w:type="default" r:id="rId91"/>
          <w:type w:val="nextPage"/>
          <w:pgSz w:w="11905" w:h="16839"/>
          <w:pgMar w:top="1637" w:right="1666" w:bottom="1579" w:left="1670" w:header="1154" w:footer="1314" w:gutter="0"/>
          <w:pgNumType w:start="42"/>
          <w:cols w:space="708"/>
          <w:titlePg w:val="0"/>
        </w:sectPr>
      </w:pPr>
    </w:p>
    <w:p>
      <w:pPr>
        <w:spacing w:line="299" w:lineRule="auto"/>
        <w:rPr>
          <w:rFonts w:ascii="Arial"/>
          <w:sz w:val="21"/>
        </w:rPr>
      </w:pPr>
    </w:p>
    <w:p>
      <w:pPr>
        <w:pStyle w:val="BodyText"/>
        <w:spacing w:before="78" w:line="219" w:lineRule="auto"/>
        <w:ind w:left="537"/>
      </w:pPr>
      <w:r>
        <w:rPr>
          <w:rFonts w:ascii="Times New Roman" w:eastAsia="Times New Roman" w:hAnsi="Times New Roman" w:cs="Times New Roman"/>
          <w:spacing w:val="-10"/>
        </w:rPr>
        <w:t xml:space="preserve">1. 2023 </w:t>
      </w:r>
      <w:r>
        <w:rPr>
          <w:spacing w:val="-10"/>
        </w:rPr>
        <w:t>年</w:t>
      </w:r>
      <w:r>
        <w:rPr>
          <w:spacing w:val="-33"/>
        </w:rPr>
        <w:t xml:space="preserve"> </w:t>
      </w:r>
      <w:r>
        <w:rPr>
          <w:rFonts w:ascii="Times New Roman" w:eastAsia="Times New Roman" w:hAnsi="Times New Roman" w:cs="Times New Roman"/>
          <w:spacing w:val="-10"/>
        </w:rPr>
        <w:t xml:space="preserve">11 </w:t>
      </w:r>
      <w:r>
        <w:rPr>
          <w:spacing w:val="-10"/>
        </w:rPr>
        <w:t>月</w:t>
      </w:r>
      <w:r>
        <w:rPr>
          <w:spacing w:val="-63"/>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34"/>
        </w:rPr>
        <w:t xml:space="preserve"> </w:t>
      </w:r>
      <w:r>
        <w:rPr>
          <w:spacing w:val="-10"/>
        </w:rPr>
        <w:t>日常州亚玛顿股份有限公司《第五届董事会第十一次会议》。</w:t>
      </w:r>
    </w:p>
    <w:p>
      <w:pPr>
        <w:pStyle w:val="BodyText"/>
        <w:spacing w:before="229" w:line="219" w:lineRule="auto"/>
        <w:ind w:left="467"/>
      </w:pPr>
      <w:r>
        <w:rPr>
          <w:b/>
          <w:bCs/>
          <w:spacing w:val="-4"/>
        </w:rPr>
        <w:t>（二）法律法规依据</w:t>
      </w:r>
    </w:p>
    <w:p>
      <w:pPr>
        <w:pStyle w:val="BodyText"/>
        <w:spacing w:before="224" w:line="451" w:lineRule="exact"/>
        <w:ind w:left="537"/>
      </w:pPr>
      <w:r>
        <w:rPr>
          <w:rFonts w:ascii="Times New Roman" w:eastAsia="Times New Roman" w:hAnsi="Times New Roman" w:cs="Times New Roman"/>
          <w:spacing w:val="-7"/>
          <w:position w:val="16"/>
        </w:rPr>
        <w:t>1.</w:t>
      </w:r>
      <w:r>
        <w:rPr>
          <w:spacing w:val="-7"/>
          <w:position w:val="16"/>
        </w:rPr>
        <w:t>《中华人民共和国资产评估法》</w:t>
      </w:r>
      <w:r>
        <w:rPr>
          <w:spacing w:val="79"/>
          <w:position w:val="16"/>
        </w:rPr>
        <w:t xml:space="preserve"> </w:t>
      </w:r>
      <w:r>
        <w:rPr>
          <w:spacing w:val="-7"/>
          <w:position w:val="16"/>
        </w:rPr>
        <w:t>（中华人民共和国主席令第</w:t>
      </w:r>
      <w:r>
        <w:rPr>
          <w:spacing w:val="-41"/>
          <w:position w:val="16"/>
        </w:rPr>
        <w:t xml:space="preserve"> </w:t>
      </w:r>
      <w:r>
        <w:rPr>
          <w:rFonts w:ascii="Times New Roman" w:eastAsia="Times New Roman" w:hAnsi="Times New Roman" w:cs="Times New Roman"/>
          <w:spacing w:val="-7"/>
          <w:position w:val="16"/>
        </w:rPr>
        <w:t>46</w:t>
      </w:r>
      <w:r>
        <w:rPr>
          <w:rFonts w:ascii="Times New Roman" w:eastAsia="Times New Roman" w:hAnsi="Times New Roman" w:cs="Times New Roman"/>
          <w:spacing w:val="12"/>
          <w:position w:val="16"/>
        </w:rPr>
        <w:t xml:space="preserve"> </w:t>
      </w:r>
      <w:r>
        <w:rPr>
          <w:spacing w:val="-7"/>
          <w:position w:val="16"/>
        </w:rPr>
        <w:t>号，</w:t>
      </w:r>
      <w:r>
        <w:rPr>
          <w:rFonts w:ascii="Times New Roman" w:eastAsia="Times New Roman" w:hAnsi="Times New Roman" w:cs="Times New Roman"/>
          <w:spacing w:val="-7"/>
          <w:position w:val="16"/>
        </w:rPr>
        <w:t xml:space="preserve">2016 </w:t>
      </w:r>
      <w:r>
        <w:rPr>
          <w:spacing w:val="-7"/>
          <w:position w:val="16"/>
        </w:rPr>
        <w:t>年</w:t>
      </w:r>
    </w:p>
    <w:p>
      <w:pPr>
        <w:pStyle w:val="BodyText"/>
        <w:spacing w:before="1" w:line="218" w:lineRule="auto"/>
        <w:ind w:left="37"/>
      </w:pPr>
      <w:r>
        <w:rPr>
          <w:rFonts w:ascii="Times New Roman" w:eastAsia="Times New Roman" w:hAnsi="Times New Roman" w:cs="Times New Roman"/>
          <w:spacing w:val="-2"/>
        </w:rPr>
        <w:t xml:space="preserve">7 </w:t>
      </w:r>
      <w:r>
        <w:rPr>
          <w:spacing w:val="-2"/>
        </w:rPr>
        <w:t>月</w:t>
      </w:r>
      <w:r>
        <w:rPr>
          <w:spacing w:val="-57"/>
        </w:rPr>
        <w:t xml:space="preserve"> </w:t>
      </w:r>
      <w:r>
        <w:rPr>
          <w:rFonts w:ascii="Times New Roman" w:eastAsia="Times New Roman" w:hAnsi="Times New Roman" w:cs="Times New Roman"/>
          <w:spacing w:val="-2"/>
        </w:rPr>
        <w:t xml:space="preserve">2  </w:t>
      </w:r>
      <w:r>
        <w:rPr>
          <w:spacing w:val="-2"/>
        </w:rPr>
        <w:t>日第十二届全国人民代表大会常务委员会</w:t>
      </w:r>
      <w:r>
        <w:rPr>
          <w:spacing w:val="-3"/>
        </w:rPr>
        <w:t>第二十一次会议通过</w:t>
      </w:r>
      <w:r>
        <w:t>）；</w:t>
      </w:r>
    </w:p>
    <w:p>
      <w:pPr>
        <w:pStyle w:val="BodyText"/>
        <w:spacing w:before="224" w:line="451" w:lineRule="exact"/>
        <w:ind w:left="514"/>
      </w:pPr>
      <w:r>
        <w:rPr>
          <w:rFonts w:ascii="Times New Roman" w:eastAsia="Times New Roman" w:hAnsi="Times New Roman" w:cs="Times New Roman"/>
          <w:spacing w:val="-10"/>
          <w:position w:val="15"/>
        </w:rPr>
        <w:t>2.</w:t>
      </w:r>
      <w:r>
        <w:rPr>
          <w:spacing w:val="-10"/>
          <w:position w:val="15"/>
        </w:rPr>
        <w:t>《中华人民共和国公司法》</w:t>
      </w:r>
      <w:r>
        <w:rPr>
          <w:spacing w:val="64"/>
          <w:position w:val="15"/>
        </w:rPr>
        <w:t xml:space="preserve"> </w:t>
      </w:r>
      <w:r>
        <w:rPr>
          <w:spacing w:val="-10"/>
          <w:position w:val="15"/>
        </w:rPr>
        <w:t>（中华人民共和国主席令第</w:t>
      </w:r>
      <w:r>
        <w:rPr>
          <w:spacing w:val="-34"/>
          <w:position w:val="15"/>
        </w:rPr>
        <w:t xml:space="preserve"> </w:t>
      </w:r>
      <w:r>
        <w:rPr>
          <w:rFonts w:ascii="Times New Roman" w:eastAsia="Times New Roman" w:hAnsi="Times New Roman" w:cs="Times New Roman"/>
          <w:spacing w:val="-10"/>
          <w:position w:val="15"/>
        </w:rPr>
        <w:t>15</w:t>
      </w:r>
      <w:r>
        <w:rPr>
          <w:rFonts w:ascii="Times New Roman" w:eastAsia="Times New Roman" w:hAnsi="Times New Roman" w:cs="Times New Roman"/>
          <w:spacing w:val="13"/>
          <w:position w:val="15"/>
        </w:rPr>
        <w:t xml:space="preserve"> </w:t>
      </w:r>
      <w:r>
        <w:rPr>
          <w:spacing w:val="-10"/>
          <w:position w:val="15"/>
        </w:rPr>
        <w:t>号，</w:t>
      </w:r>
      <w:r>
        <w:rPr>
          <w:rFonts w:ascii="Times New Roman" w:eastAsia="Times New Roman" w:hAnsi="Times New Roman" w:cs="Times New Roman"/>
          <w:spacing w:val="-10"/>
          <w:position w:val="15"/>
        </w:rPr>
        <w:t xml:space="preserve">2018 </w:t>
      </w:r>
      <w:r>
        <w:rPr>
          <w:spacing w:val="-10"/>
          <w:position w:val="15"/>
        </w:rPr>
        <w:t>年</w:t>
      </w:r>
      <w:r>
        <w:rPr>
          <w:spacing w:val="-34"/>
          <w:position w:val="15"/>
        </w:rPr>
        <w:t xml:space="preserve"> </w:t>
      </w:r>
      <w:r>
        <w:rPr>
          <w:rFonts w:ascii="Times New Roman" w:eastAsia="Times New Roman" w:hAnsi="Times New Roman" w:cs="Times New Roman"/>
          <w:spacing w:val="-10"/>
          <w:position w:val="15"/>
        </w:rPr>
        <w:t>10</w:t>
      </w:r>
      <w:r>
        <w:rPr>
          <w:rFonts w:ascii="Times New Roman" w:eastAsia="Times New Roman" w:hAnsi="Times New Roman" w:cs="Times New Roman"/>
          <w:spacing w:val="13"/>
          <w:position w:val="15"/>
        </w:rPr>
        <w:t xml:space="preserve"> </w:t>
      </w:r>
      <w:r>
        <w:rPr>
          <w:spacing w:val="-10"/>
          <w:position w:val="15"/>
        </w:rPr>
        <w:t>月</w:t>
      </w:r>
    </w:p>
    <w:p>
      <w:pPr>
        <w:pStyle w:val="BodyText"/>
        <w:spacing w:before="1" w:line="218" w:lineRule="auto"/>
        <w:ind w:left="33"/>
      </w:pPr>
      <w:r>
        <w:rPr>
          <w:rFonts w:ascii="Times New Roman" w:eastAsia="Times New Roman" w:hAnsi="Times New Roman" w:cs="Times New Roman"/>
          <w:spacing w:val="-2"/>
        </w:rPr>
        <w:t>26</w:t>
      </w:r>
      <w:r>
        <w:rPr>
          <w:rFonts w:ascii="Times New Roman" w:eastAsia="Times New Roman" w:hAnsi="Times New Roman" w:cs="Times New Roman"/>
          <w:spacing w:val="50"/>
        </w:rPr>
        <w:t xml:space="preserve"> </w:t>
      </w:r>
      <w:r>
        <w:rPr>
          <w:spacing w:val="-2"/>
        </w:rPr>
        <w:t>日第十三届全国人民代表大会常务委员会第六次会议第四次修正</w:t>
      </w:r>
      <w:r>
        <w:rPr>
          <w:spacing w:val="1"/>
        </w:rPr>
        <w:t>）；</w:t>
      </w:r>
    </w:p>
    <w:p>
      <w:pPr>
        <w:pStyle w:val="BodyText"/>
        <w:spacing w:before="224" w:line="451" w:lineRule="exact"/>
        <w:ind w:left="519"/>
      </w:pPr>
      <w:r>
        <w:rPr>
          <w:rFonts w:ascii="Times New Roman" w:eastAsia="Times New Roman" w:hAnsi="Times New Roman" w:cs="Times New Roman"/>
          <w:spacing w:val="-4"/>
          <w:position w:val="15"/>
        </w:rPr>
        <w:t>3.</w:t>
      </w:r>
      <w:r>
        <w:rPr>
          <w:spacing w:val="-4"/>
          <w:position w:val="15"/>
        </w:rPr>
        <w:t>《中华人民共和国证券法》（中华人民共</w:t>
      </w:r>
      <w:r>
        <w:rPr>
          <w:spacing w:val="-5"/>
          <w:position w:val="15"/>
        </w:rPr>
        <w:t>和国主席令第</w:t>
      </w:r>
      <w:r>
        <w:rPr>
          <w:spacing w:val="-52"/>
          <w:position w:val="15"/>
        </w:rPr>
        <w:t xml:space="preserve"> </w:t>
      </w:r>
      <w:r>
        <w:rPr>
          <w:rFonts w:ascii="Times New Roman" w:eastAsia="Times New Roman" w:hAnsi="Times New Roman" w:cs="Times New Roman"/>
          <w:spacing w:val="-5"/>
          <w:position w:val="15"/>
        </w:rPr>
        <w:t>37</w:t>
      </w:r>
      <w:r>
        <w:rPr>
          <w:rFonts w:ascii="Times New Roman" w:eastAsia="Times New Roman" w:hAnsi="Times New Roman" w:cs="Times New Roman"/>
          <w:spacing w:val="13"/>
          <w:position w:val="15"/>
        </w:rPr>
        <w:t xml:space="preserve"> </w:t>
      </w:r>
      <w:r>
        <w:rPr>
          <w:spacing w:val="-5"/>
          <w:position w:val="15"/>
        </w:rPr>
        <w:t>号，</w:t>
      </w:r>
      <w:r>
        <w:rPr>
          <w:rFonts w:ascii="Times New Roman" w:eastAsia="Times New Roman" w:hAnsi="Times New Roman" w:cs="Times New Roman"/>
          <w:spacing w:val="-5"/>
          <w:position w:val="15"/>
        </w:rPr>
        <w:t xml:space="preserve">2019 </w:t>
      </w:r>
      <w:r>
        <w:rPr>
          <w:spacing w:val="-5"/>
          <w:position w:val="15"/>
        </w:rPr>
        <w:t>年</w:t>
      </w:r>
      <w:r>
        <w:rPr>
          <w:spacing w:val="-34"/>
          <w:position w:val="15"/>
        </w:rPr>
        <w:t xml:space="preserve"> </w:t>
      </w:r>
      <w:r>
        <w:rPr>
          <w:rFonts w:ascii="Times New Roman" w:eastAsia="Times New Roman" w:hAnsi="Times New Roman" w:cs="Times New Roman"/>
          <w:spacing w:val="-5"/>
          <w:position w:val="15"/>
        </w:rPr>
        <w:t xml:space="preserve">12 </w:t>
      </w:r>
      <w:r>
        <w:rPr>
          <w:spacing w:val="-5"/>
          <w:position w:val="15"/>
        </w:rPr>
        <w:t>月</w:t>
      </w:r>
    </w:p>
    <w:p>
      <w:pPr>
        <w:pStyle w:val="BodyText"/>
        <w:spacing w:before="2" w:line="218" w:lineRule="auto"/>
        <w:ind w:left="33"/>
      </w:pPr>
      <w:r>
        <w:rPr>
          <w:rFonts w:ascii="Times New Roman" w:eastAsia="Times New Roman" w:hAnsi="Times New Roman" w:cs="Times New Roman"/>
          <w:spacing w:val="-7"/>
        </w:rPr>
        <w:t>28</w:t>
      </w:r>
      <w:r>
        <w:rPr>
          <w:rFonts w:ascii="Times New Roman" w:eastAsia="Times New Roman" w:hAnsi="Times New Roman" w:cs="Times New Roman"/>
          <w:spacing w:val="49"/>
        </w:rPr>
        <w:t xml:space="preserve"> </w:t>
      </w:r>
      <w:r>
        <w:rPr>
          <w:spacing w:val="-7"/>
        </w:rPr>
        <w:t>日第十三届全国人民代表大会第十五次会议第二次修订</w:t>
      </w:r>
      <w:r>
        <w:rPr>
          <w:spacing w:val="-5"/>
        </w:rPr>
        <w:t>）</w:t>
      </w:r>
      <w:r>
        <w:rPr>
          <w:spacing w:val="16"/>
        </w:rPr>
        <w:t xml:space="preserve"> </w:t>
      </w:r>
      <w:r>
        <w:rPr>
          <w:spacing w:val="-5"/>
        </w:rPr>
        <w:t>；</w:t>
      </w:r>
    </w:p>
    <w:p>
      <w:pPr>
        <w:pStyle w:val="BodyText"/>
        <w:spacing w:before="224" w:line="452" w:lineRule="exact"/>
        <w:ind w:left="513"/>
      </w:pPr>
      <w:r>
        <w:rPr>
          <w:rFonts w:ascii="Times New Roman" w:eastAsia="Times New Roman" w:hAnsi="Times New Roman" w:cs="Times New Roman"/>
          <w:position w:val="15"/>
        </w:rPr>
        <w:t>4.</w:t>
      </w:r>
      <w:r>
        <w:rPr>
          <w:position w:val="15"/>
        </w:rPr>
        <w:t>《中华人民共和国民法典》（中华人民共和</w:t>
      </w:r>
      <w:r>
        <w:rPr>
          <w:spacing w:val="-1"/>
          <w:position w:val="15"/>
        </w:rPr>
        <w:t>国主席令第</w:t>
      </w:r>
      <w:r>
        <w:rPr>
          <w:spacing w:val="-57"/>
          <w:position w:val="15"/>
        </w:rPr>
        <w:t xml:space="preserve"> </w:t>
      </w:r>
      <w:r>
        <w:rPr>
          <w:rFonts w:ascii="Times New Roman" w:eastAsia="Times New Roman" w:hAnsi="Times New Roman" w:cs="Times New Roman"/>
          <w:spacing w:val="-1"/>
          <w:position w:val="15"/>
        </w:rPr>
        <w:t xml:space="preserve">45 </w:t>
      </w:r>
      <w:r>
        <w:rPr>
          <w:spacing w:val="-1"/>
          <w:position w:val="15"/>
        </w:rPr>
        <w:t>号，</w:t>
      </w:r>
      <w:r>
        <w:rPr>
          <w:rFonts w:ascii="Times New Roman" w:eastAsia="Times New Roman" w:hAnsi="Times New Roman" w:cs="Times New Roman"/>
          <w:spacing w:val="-1"/>
          <w:position w:val="15"/>
        </w:rPr>
        <w:t xml:space="preserve">2020 </w:t>
      </w:r>
      <w:r>
        <w:rPr>
          <w:spacing w:val="-1"/>
          <w:position w:val="15"/>
        </w:rPr>
        <w:t>年</w:t>
      </w:r>
      <w:r>
        <w:rPr>
          <w:spacing w:val="-51"/>
          <w:position w:val="15"/>
        </w:rPr>
        <w:t xml:space="preserve"> </w:t>
      </w:r>
      <w:r>
        <w:rPr>
          <w:rFonts w:ascii="Times New Roman" w:eastAsia="Times New Roman" w:hAnsi="Times New Roman" w:cs="Times New Roman"/>
          <w:spacing w:val="-1"/>
          <w:position w:val="15"/>
        </w:rPr>
        <w:t xml:space="preserve">5 </w:t>
      </w:r>
      <w:r>
        <w:rPr>
          <w:spacing w:val="-1"/>
          <w:position w:val="15"/>
        </w:rPr>
        <w:t>月</w:t>
      </w:r>
    </w:p>
    <w:p>
      <w:pPr>
        <w:pStyle w:val="BodyText"/>
        <w:spacing w:before="1" w:line="218" w:lineRule="auto"/>
        <w:ind w:left="33"/>
      </w:pPr>
      <w:r>
        <w:rPr>
          <w:rFonts w:ascii="Times New Roman" w:eastAsia="Times New Roman" w:hAnsi="Times New Roman" w:cs="Times New Roman"/>
          <w:spacing w:val="-3"/>
        </w:rPr>
        <w:t>28</w:t>
      </w:r>
      <w:r>
        <w:rPr>
          <w:rFonts w:ascii="Times New Roman" w:eastAsia="Times New Roman" w:hAnsi="Times New Roman" w:cs="Times New Roman"/>
          <w:spacing w:val="50"/>
        </w:rPr>
        <w:t xml:space="preserve"> </w:t>
      </w:r>
      <w:r>
        <w:rPr>
          <w:spacing w:val="-3"/>
        </w:rPr>
        <w:t>日第十三届全国人民代表大会第三次会议通过</w:t>
      </w:r>
      <w:r>
        <w:rPr>
          <w:spacing w:val="4"/>
        </w:rPr>
        <w:t>）；</w:t>
      </w:r>
    </w:p>
    <w:p>
      <w:pPr>
        <w:pStyle w:val="BodyText"/>
        <w:spacing w:before="224" w:line="452" w:lineRule="exact"/>
        <w:ind w:left="520"/>
      </w:pPr>
      <w:r>
        <w:rPr>
          <w:rFonts w:ascii="Times New Roman" w:eastAsia="Times New Roman" w:hAnsi="Times New Roman" w:cs="Times New Roman"/>
          <w:spacing w:val="-4"/>
          <w:position w:val="16"/>
        </w:rPr>
        <w:t>5.</w:t>
      </w:r>
      <w:r>
        <w:rPr>
          <w:spacing w:val="-4"/>
          <w:position w:val="16"/>
        </w:rPr>
        <w:t>《中华人民共和国城市房地产管理法》 （中华人民共和</w:t>
      </w:r>
      <w:r>
        <w:rPr>
          <w:spacing w:val="-5"/>
          <w:position w:val="16"/>
        </w:rPr>
        <w:t>国主席令第</w:t>
      </w:r>
      <w:r>
        <w:rPr>
          <w:spacing w:val="-29"/>
          <w:position w:val="16"/>
        </w:rPr>
        <w:t xml:space="preserve"> </w:t>
      </w:r>
      <w:r>
        <w:rPr>
          <w:rFonts w:ascii="Times New Roman" w:eastAsia="Times New Roman" w:hAnsi="Times New Roman" w:cs="Times New Roman"/>
          <w:spacing w:val="-5"/>
          <w:position w:val="16"/>
        </w:rPr>
        <w:t>72</w:t>
      </w:r>
      <w:r>
        <w:rPr>
          <w:rFonts w:ascii="Times New Roman" w:eastAsia="Times New Roman" w:hAnsi="Times New Roman" w:cs="Times New Roman"/>
          <w:spacing w:val="37"/>
          <w:w w:val="101"/>
          <w:position w:val="16"/>
        </w:rPr>
        <w:t xml:space="preserve"> </w:t>
      </w:r>
      <w:r>
        <w:rPr>
          <w:spacing w:val="-5"/>
          <w:position w:val="16"/>
        </w:rPr>
        <w:t>号，</w:t>
      </w:r>
    </w:p>
    <w:p>
      <w:pPr>
        <w:pStyle w:val="BodyText"/>
        <w:spacing w:before="1" w:line="218" w:lineRule="auto"/>
        <w:ind w:left="33"/>
      </w:pPr>
      <w:r>
        <w:rPr>
          <w:rFonts w:ascii="Times New Roman" w:eastAsia="Times New Roman" w:hAnsi="Times New Roman" w:cs="Times New Roman"/>
          <w:spacing w:val="-3"/>
        </w:rPr>
        <w:t xml:space="preserve">2007 </w:t>
      </w:r>
      <w:r>
        <w:rPr>
          <w:spacing w:val="-3"/>
        </w:rPr>
        <w:t>年</w:t>
      </w:r>
      <w:r>
        <w:rPr>
          <w:spacing w:val="-47"/>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7"/>
          <w:w w:val="101"/>
        </w:rPr>
        <w:t xml:space="preserve"> </w:t>
      </w:r>
      <w:r>
        <w:rPr>
          <w:spacing w:val="-3"/>
        </w:rPr>
        <w:t>月</w:t>
      </w:r>
      <w:r>
        <w:rPr>
          <w:spacing w:val="-53"/>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48"/>
          <w:w w:val="101"/>
        </w:rPr>
        <w:t xml:space="preserve"> </w:t>
      </w:r>
      <w:r>
        <w:rPr>
          <w:spacing w:val="-3"/>
        </w:rPr>
        <w:t>日第十届全国人民代表大会常务委员会第二十九次会议修正</w:t>
      </w:r>
      <w:r>
        <w:rPr>
          <w:spacing w:val="8"/>
        </w:rPr>
        <w:t>）；</w:t>
      </w:r>
    </w:p>
    <w:p>
      <w:pPr>
        <w:pStyle w:val="BodyText"/>
        <w:spacing w:before="224" w:line="451" w:lineRule="exact"/>
        <w:ind w:left="519"/>
        <w:rPr>
          <w:rFonts w:ascii="Times New Roman" w:eastAsia="Times New Roman" w:hAnsi="Times New Roman" w:cs="Times New Roman"/>
        </w:rPr>
      </w:pPr>
      <w:r>
        <w:rPr>
          <w:rFonts w:ascii="Times New Roman" w:eastAsia="Times New Roman" w:hAnsi="Times New Roman" w:cs="Times New Roman"/>
          <w:spacing w:val="-4"/>
          <w:position w:val="16"/>
        </w:rPr>
        <w:t>6.</w:t>
      </w:r>
      <w:r>
        <w:rPr>
          <w:spacing w:val="-4"/>
          <w:position w:val="16"/>
        </w:rPr>
        <w:t>《中华人民共和国土地管理法》</w:t>
      </w:r>
      <w:r>
        <w:rPr>
          <w:rFonts w:ascii="Times New Roman" w:eastAsia="Times New Roman" w:hAnsi="Times New Roman" w:cs="Times New Roman"/>
          <w:spacing w:val="-4"/>
          <w:position w:val="16"/>
        </w:rPr>
        <w:t>(</w:t>
      </w:r>
      <w:r>
        <w:rPr>
          <w:spacing w:val="-4"/>
          <w:position w:val="16"/>
        </w:rPr>
        <w:t>中华人民共和国主席令第</w:t>
      </w:r>
      <w:r>
        <w:rPr>
          <w:spacing w:val="-57"/>
          <w:position w:val="16"/>
        </w:rPr>
        <w:t xml:space="preserve"> </w:t>
      </w:r>
      <w:r>
        <w:rPr>
          <w:rFonts w:ascii="Times New Roman" w:eastAsia="Times New Roman" w:hAnsi="Times New Roman" w:cs="Times New Roman"/>
          <w:spacing w:val="-4"/>
          <w:position w:val="16"/>
        </w:rPr>
        <w:t xml:space="preserve">28 </w:t>
      </w:r>
      <w:r>
        <w:rPr>
          <w:spacing w:val="-4"/>
          <w:position w:val="16"/>
        </w:rPr>
        <w:t xml:space="preserve">号， </w:t>
      </w:r>
      <w:r>
        <w:rPr>
          <w:rFonts w:ascii="Times New Roman" w:eastAsia="Times New Roman" w:hAnsi="Times New Roman" w:cs="Times New Roman"/>
          <w:spacing w:val="-4"/>
          <w:position w:val="16"/>
        </w:rPr>
        <w:t>19</w:t>
      </w:r>
      <w:r>
        <w:rPr>
          <w:rFonts w:ascii="Times New Roman" w:eastAsia="Times New Roman" w:hAnsi="Times New Roman" w:cs="Times New Roman"/>
          <w:spacing w:val="-5"/>
          <w:position w:val="16"/>
        </w:rPr>
        <w:t xml:space="preserve">99 </w:t>
      </w:r>
      <w:r>
        <w:rPr>
          <w:spacing w:val="-5"/>
          <w:position w:val="16"/>
        </w:rPr>
        <w:t>年</w:t>
      </w:r>
      <w:r>
        <w:rPr>
          <w:spacing w:val="-34"/>
          <w:position w:val="16"/>
        </w:rPr>
        <w:t xml:space="preserve"> </w:t>
      </w:r>
      <w:r>
        <w:rPr>
          <w:rFonts w:ascii="Times New Roman" w:eastAsia="Times New Roman" w:hAnsi="Times New Roman" w:cs="Times New Roman"/>
          <w:spacing w:val="-5"/>
          <w:position w:val="16"/>
        </w:rPr>
        <w:t>1</w:t>
      </w:r>
    </w:p>
    <w:p>
      <w:pPr>
        <w:pStyle w:val="BodyText"/>
        <w:spacing w:before="1" w:line="212" w:lineRule="auto"/>
        <w:ind w:left="43"/>
      </w:pPr>
      <w:r>
        <w:rPr>
          <w:spacing w:val="-12"/>
        </w:rPr>
        <w:t>月</w:t>
      </w:r>
      <w:r>
        <w:rPr>
          <w:spacing w:val="-33"/>
        </w:rPr>
        <w:t xml:space="preserve"> </w:t>
      </w:r>
      <w:r>
        <w:rPr>
          <w:rFonts w:ascii="Times New Roman" w:eastAsia="Times New Roman" w:hAnsi="Times New Roman" w:cs="Times New Roman"/>
          <w:spacing w:val="-12"/>
        </w:rPr>
        <w:t>1</w:t>
      </w:r>
      <w:r>
        <w:rPr>
          <w:rFonts w:ascii="Times New Roman" w:eastAsia="Times New Roman" w:hAnsi="Times New Roman" w:cs="Times New Roman"/>
          <w:spacing w:val="48"/>
          <w:w w:val="101"/>
        </w:rPr>
        <w:t xml:space="preserve"> </w:t>
      </w:r>
      <w:r>
        <w:rPr>
          <w:spacing w:val="-12"/>
        </w:rPr>
        <w:t>日起施行</w:t>
      </w:r>
      <w:r>
        <w:rPr>
          <w:rFonts w:ascii="Times New Roman" w:eastAsia="Times New Roman" w:hAnsi="Times New Roman" w:cs="Times New Roman"/>
          <w:spacing w:val="-12"/>
        </w:rPr>
        <w:t>)</w:t>
      </w:r>
      <w:r>
        <w:rPr>
          <w:spacing w:val="-12"/>
        </w:rPr>
        <w:t>；</w:t>
      </w:r>
    </w:p>
    <w:p>
      <w:pPr>
        <w:pStyle w:val="BodyText"/>
        <w:spacing w:before="232" w:line="452" w:lineRule="exact"/>
        <w:ind w:left="518"/>
        <w:rPr>
          <w:rFonts w:ascii="Times New Roman" w:eastAsia="Times New Roman" w:hAnsi="Times New Roman" w:cs="Times New Roman"/>
        </w:rPr>
      </w:pPr>
      <w:r>
        <w:rPr>
          <w:rFonts w:ascii="Times New Roman" w:eastAsia="Times New Roman" w:hAnsi="Times New Roman" w:cs="Times New Roman"/>
          <w:spacing w:val="-8"/>
          <w:position w:val="16"/>
        </w:rPr>
        <w:t>7.</w:t>
      </w:r>
      <w:r>
        <w:rPr>
          <w:spacing w:val="-8"/>
          <w:position w:val="16"/>
        </w:rPr>
        <w:t xml:space="preserve">《中华人民共和国企业所得税法》  （中华人民共和国主席令第 </w:t>
      </w:r>
      <w:r>
        <w:rPr>
          <w:rFonts w:ascii="Times New Roman" w:eastAsia="Times New Roman" w:hAnsi="Times New Roman" w:cs="Times New Roman"/>
          <w:spacing w:val="-8"/>
          <w:position w:val="16"/>
        </w:rPr>
        <w:t xml:space="preserve">63  </w:t>
      </w:r>
      <w:r>
        <w:rPr>
          <w:spacing w:val="-8"/>
          <w:position w:val="16"/>
        </w:rPr>
        <w:t>号，</w:t>
      </w:r>
      <w:r>
        <w:rPr>
          <w:rFonts w:ascii="Times New Roman" w:eastAsia="Times New Roman" w:hAnsi="Times New Roman" w:cs="Times New Roman"/>
          <w:spacing w:val="-8"/>
          <w:position w:val="16"/>
        </w:rPr>
        <w:t>2017</w:t>
      </w:r>
    </w:p>
    <w:p>
      <w:pPr>
        <w:pStyle w:val="BodyText"/>
        <w:spacing w:before="1" w:line="218" w:lineRule="auto"/>
        <w:jc w:val="right"/>
      </w:pPr>
      <w:r>
        <w:rPr>
          <w:spacing w:val="-2"/>
        </w:rPr>
        <w:t>年</w:t>
      </w:r>
      <w:r>
        <w:rPr>
          <w:spacing w:val="-57"/>
        </w:rPr>
        <w:t xml:space="preserve"> </w:t>
      </w:r>
      <w:r>
        <w:rPr>
          <w:rFonts w:ascii="Times New Roman" w:eastAsia="Times New Roman" w:hAnsi="Times New Roman" w:cs="Times New Roman"/>
          <w:spacing w:val="-2"/>
        </w:rPr>
        <w:t xml:space="preserve">2 </w:t>
      </w:r>
      <w:r>
        <w:rPr>
          <w:spacing w:val="-2"/>
        </w:rPr>
        <w:t>月</w:t>
      </w:r>
      <w:r>
        <w:rPr>
          <w:spacing w:val="-57"/>
        </w:rPr>
        <w:t xml:space="preserve"> </w:t>
      </w:r>
      <w:r>
        <w:rPr>
          <w:rFonts w:ascii="Times New Roman" w:eastAsia="Times New Roman" w:hAnsi="Times New Roman" w:cs="Times New Roman"/>
          <w:spacing w:val="-2"/>
        </w:rPr>
        <w:t xml:space="preserve">24  </w:t>
      </w:r>
      <w:r>
        <w:rPr>
          <w:spacing w:val="-2"/>
        </w:rPr>
        <w:t>日第十二届全国人民代表大会常务委员会第二十六次会议第一次修正</w:t>
      </w:r>
      <w:r>
        <w:rPr>
          <w:spacing w:val="-34"/>
        </w:rPr>
        <w:t>）；</w:t>
      </w:r>
    </w:p>
    <w:p>
      <w:pPr>
        <w:pStyle w:val="BodyText"/>
        <w:spacing w:before="224" w:line="620" w:lineRule="exact"/>
        <w:ind w:left="523"/>
      </w:pPr>
      <w:r>
        <w:rPr>
          <w:rFonts w:ascii="Times New Roman" w:eastAsia="Times New Roman" w:hAnsi="Times New Roman" w:cs="Times New Roman"/>
          <w:spacing w:val="-3"/>
          <w:position w:val="29"/>
        </w:rPr>
        <w:t>8.</w:t>
      </w:r>
      <w:r>
        <w:rPr>
          <w:spacing w:val="-3"/>
          <w:position w:val="29"/>
        </w:rPr>
        <w:t>《中华人民共和国企业所得税法实施条</w:t>
      </w:r>
      <w:r>
        <w:rPr>
          <w:spacing w:val="-4"/>
          <w:position w:val="29"/>
        </w:rPr>
        <w:t>例》（国务院</w:t>
      </w:r>
      <w:r>
        <w:rPr>
          <w:spacing w:val="-42"/>
          <w:position w:val="29"/>
        </w:rPr>
        <w:t xml:space="preserve"> </w:t>
      </w:r>
      <w:r>
        <w:rPr>
          <w:rFonts w:ascii="Times New Roman" w:eastAsia="Times New Roman" w:hAnsi="Times New Roman" w:cs="Times New Roman"/>
          <w:spacing w:val="-4"/>
          <w:position w:val="29"/>
        </w:rPr>
        <w:t xml:space="preserve">2007 </w:t>
      </w:r>
      <w:r>
        <w:rPr>
          <w:spacing w:val="-4"/>
          <w:position w:val="29"/>
        </w:rPr>
        <w:t>年</w:t>
      </w:r>
      <w:r>
        <w:rPr>
          <w:spacing w:val="-51"/>
          <w:position w:val="29"/>
        </w:rPr>
        <w:t xml:space="preserve"> </w:t>
      </w:r>
      <w:r>
        <w:rPr>
          <w:rFonts w:ascii="Times New Roman" w:eastAsia="Times New Roman" w:hAnsi="Times New Roman" w:cs="Times New Roman"/>
          <w:spacing w:val="-4"/>
          <w:position w:val="29"/>
        </w:rPr>
        <w:t xml:space="preserve">512 </w:t>
      </w:r>
      <w:r>
        <w:rPr>
          <w:spacing w:val="-4"/>
          <w:position w:val="29"/>
        </w:rPr>
        <w:t>号令</w:t>
      </w:r>
      <w:r>
        <w:rPr>
          <w:position w:val="29"/>
        </w:rPr>
        <w:t>）</w:t>
      </w:r>
      <w:r>
        <w:rPr>
          <w:spacing w:val="-34"/>
          <w:position w:val="29"/>
        </w:rPr>
        <w:t xml:space="preserve"> </w:t>
      </w:r>
      <w:r>
        <w:rPr>
          <w:position w:val="29"/>
        </w:rPr>
        <w:t>；</w:t>
      </w:r>
    </w:p>
    <w:p>
      <w:pPr>
        <w:pStyle w:val="BodyText"/>
        <w:spacing w:before="1" w:line="218" w:lineRule="auto"/>
        <w:ind w:left="518"/>
      </w:pPr>
      <w:r>
        <w:rPr>
          <w:rFonts w:ascii="Times New Roman" w:eastAsia="Times New Roman" w:hAnsi="Times New Roman" w:cs="Times New Roman"/>
          <w:spacing w:val="-2"/>
        </w:rPr>
        <w:t>9.</w:t>
      </w:r>
      <w:r>
        <w:rPr>
          <w:spacing w:val="-2"/>
        </w:rPr>
        <w:t>《中华人民共和国增值税暂行条例》（国务院</w:t>
      </w:r>
      <w:r>
        <w:rPr>
          <w:spacing w:val="-41"/>
        </w:rPr>
        <w:t xml:space="preserve"> </w:t>
      </w:r>
      <w:r>
        <w:rPr>
          <w:rFonts w:ascii="Times New Roman" w:eastAsia="Times New Roman" w:hAnsi="Times New Roman" w:cs="Times New Roman"/>
          <w:spacing w:val="-2"/>
        </w:rPr>
        <w:t xml:space="preserve">2008 </w:t>
      </w:r>
      <w:r>
        <w:rPr>
          <w:spacing w:val="-2"/>
        </w:rPr>
        <w:t>年</w:t>
      </w:r>
      <w:r>
        <w:rPr>
          <w:spacing w:val="-51"/>
        </w:rPr>
        <w:t xml:space="preserve"> </w:t>
      </w:r>
      <w:r>
        <w:rPr>
          <w:rFonts w:ascii="Times New Roman" w:eastAsia="Times New Roman" w:hAnsi="Times New Roman" w:cs="Times New Roman"/>
          <w:spacing w:val="-2"/>
        </w:rPr>
        <w:t xml:space="preserve">538 </w:t>
      </w:r>
      <w:r>
        <w:rPr>
          <w:spacing w:val="-2"/>
        </w:rPr>
        <w:t>号令</w:t>
      </w:r>
      <w:r>
        <w:rPr>
          <w:spacing w:val="-7"/>
        </w:rPr>
        <w:t>）；</w:t>
      </w:r>
    </w:p>
    <w:p>
      <w:pPr>
        <w:spacing w:line="260" w:lineRule="auto"/>
        <w:rPr>
          <w:rFonts w:ascii="Arial"/>
          <w:sz w:val="21"/>
        </w:rPr>
      </w:pPr>
    </w:p>
    <w:p>
      <w:pPr>
        <w:pStyle w:val="BodyText"/>
        <w:spacing w:before="78" w:line="451" w:lineRule="exact"/>
        <w:ind w:left="537"/>
      </w:pPr>
      <w:r>
        <w:rPr>
          <w:rFonts w:ascii="Times New Roman" w:eastAsia="Times New Roman" w:hAnsi="Times New Roman" w:cs="Times New Roman"/>
          <w:position w:val="15"/>
        </w:rPr>
        <w:t>10.</w:t>
      </w:r>
      <w:r>
        <w:rPr>
          <w:position w:val="15"/>
        </w:rPr>
        <w:t>《中华人民共和国增值税暂行条例实施细则》（财政部、国家税务总局令</w:t>
      </w:r>
    </w:p>
    <w:p>
      <w:pPr>
        <w:pStyle w:val="BodyText"/>
        <w:spacing w:before="2" w:line="218" w:lineRule="auto"/>
        <w:ind w:left="38"/>
      </w:pPr>
      <w:r>
        <w:rPr>
          <w:spacing w:val="-11"/>
        </w:rPr>
        <w:t>第</w:t>
      </w:r>
      <w:r>
        <w:rPr>
          <w:spacing w:val="-49"/>
        </w:rPr>
        <w:t xml:space="preserve"> </w:t>
      </w:r>
      <w:r>
        <w:rPr>
          <w:rFonts w:ascii="Times New Roman" w:eastAsia="Times New Roman" w:hAnsi="Times New Roman" w:cs="Times New Roman"/>
          <w:spacing w:val="-11"/>
        </w:rPr>
        <w:t>50</w:t>
      </w:r>
      <w:r>
        <w:rPr>
          <w:rFonts w:ascii="Times New Roman" w:eastAsia="Times New Roman" w:hAnsi="Times New Roman" w:cs="Times New Roman"/>
          <w:spacing w:val="13"/>
        </w:rPr>
        <w:t xml:space="preserve"> </w:t>
      </w:r>
      <w:r>
        <w:rPr>
          <w:spacing w:val="-11"/>
        </w:rPr>
        <w:t>号公布</w:t>
      </w:r>
      <w:r>
        <w:rPr>
          <w:spacing w:val="-7"/>
        </w:rPr>
        <w:t>）；</w:t>
      </w:r>
    </w:p>
    <w:p>
      <w:pPr>
        <w:pStyle w:val="BodyText"/>
        <w:spacing w:before="223" w:line="220" w:lineRule="auto"/>
        <w:ind w:left="537"/>
      </w:pPr>
      <w:r>
        <w:rPr>
          <w:rFonts w:ascii="Times New Roman" w:eastAsia="Times New Roman" w:hAnsi="Times New Roman" w:cs="Times New Roman"/>
          <w:spacing w:val="-4"/>
        </w:rPr>
        <w:t>11.</w:t>
      </w:r>
      <w:r>
        <w:rPr>
          <w:spacing w:val="-4"/>
        </w:rPr>
        <w:t>其它相关的法律法规文件。</w:t>
      </w:r>
    </w:p>
    <w:p>
      <w:pPr>
        <w:pStyle w:val="BodyText"/>
        <w:spacing w:before="224" w:line="218" w:lineRule="auto"/>
        <w:ind w:left="467"/>
        <w:sectPr>
          <w:headerReference w:type="default" r:id="rId92"/>
          <w:footerReference w:type="default" r:id="rId93"/>
          <w:pgSz w:w="11905" w:h="16839"/>
          <w:pgMar w:top="1637" w:right="1510" w:bottom="1579" w:left="1670" w:header="1154" w:footer="1314" w:gutter="0"/>
          <w:pgNumType w:start="43"/>
          <w:cols w:space="708"/>
        </w:sectPr>
      </w:pPr>
      <w:r>
        <w:rPr>
          <w:b/>
          <w:bCs/>
          <w:spacing w:val="-4"/>
        </w:rPr>
        <w:t>（三）评估准则依据</w:t>
      </w:r>
    </w:p>
    <w:p>
      <w:pPr>
        <w:pStyle w:val="BodyText"/>
        <w:spacing w:before="230" w:line="218" w:lineRule="auto"/>
        <w:ind w:left="537"/>
      </w:pPr>
      <w:r>
        <w:rPr>
          <w:rFonts w:ascii="Times New Roman" w:eastAsia="Times New Roman" w:hAnsi="Times New Roman" w:cs="Times New Roman"/>
          <w:spacing w:val="-1"/>
        </w:rPr>
        <w:t>1.</w:t>
      </w:r>
      <w:r>
        <w:rPr>
          <w:spacing w:val="-1"/>
        </w:rPr>
        <w:t>《资产评估基本准则》（财资〔</w:t>
      </w:r>
      <w:r>
        <w:rPr>
          <w:rFonts w:ascii="Times New Roman" w:eastAsia="Times New Roman" w:hAnsi="Times New Roman" w:cs="Times New Roman"/>
          <w:spacing w:val="-1"/>
        </w:rPr>
        <w:t>2017</w:t>
      </w:r>
      <w:r>
        <w:rPr>
          <w:spacing w:val="-1"/>
        </w:rPr>
        <w:t>〕</w:t>
      </w:r>
      <w:r>
        <w:rPr>
          <w:rFonts w:ascii="Times New Roman" w:eastAsia="Times New Roman" w:hAnsi="Times New Roman" w:cs="Times New Roman"/>
          <w:spacing w:val="-1"/>
        </w:rPr>
        <w:t>4</w:t>
      </w:r>
      <w:r>
        <w:rPr>
          <w:rFonts w:ascii="Times New Roman" w:eastAsia="Times New Roman" w:hAnsi="Times New Roman" w:cs="Times New Roman"/>
          <w:spacing w:val="-2"/>
        </w:rPr>
        <w:t xml:space="preserve">3 </w:t>
      </w:r>
      <w:r>
        <w:rPr>
          <w:spacing w:val="-2"/>
        </w:rPr>
        <w:t>号</w:t>
      </w:r>
      <w:r>
        <w:t>）；</w:t>
      </w:r>
    </w:p>
    <w:p>
      <w:pPr>
        <w:pStyle w:val="BodyText"/>
        <w:spacing w:before="226" w:line="215" w:lineRule="auto"/>
        <w:ind w:left="514"/>
      </w:pPr>
      <w:r>
        <w:rPr>
          <w:rFonts w:ascii="Times New Roman" w:eastAsia="Times New Roman" w:hAnsi="Times New Roman" w:cs="Times New Roman"/>
          <w:spacing w:val="-4"/>
        </w:rPr>
        <w:t>2.</w:t>
      </w:r>
      <w:r>
        <w:rPr>
          <w:spacing w:val="-4"/>
        </w:rPr>
        <w:t>《资产评估职业道德准则》 （中评协</w:t>
      </w:r>
      <w:r>
        <w:rPr>
          <w:rFonts w:ascii="Times New Roman" w:eastAsia="Times New Roman" w:hAnsi="Times New Roman" w:cs="Times New Roman"/>
          <w:spacing w:val="-4"/>
        </w:rPr>
        <w:t>[2017</w:t>
      </w:r>
      <w:r>
        <w:rPr>
          <w:rFonts w:ascii="Times New Roman" w:eastAsia="Times New Roman" w:hAnsi="Times New Roman" w:cs="Times New Roman"/>
          <w:spacing w:val="-5"/>
        </w:rPr>
        <w:t xml:space="preserve">]30 </w:t>
      </w:r>
      <w:r>
        <w:rPr>
          <w:spacing w:val="-5"/>
        </w:rPr>
        <w:t>号</w:t>
      </w:r>
      <w:r>
        <w:rPr>
          <w:spacing w:val="-14"/>
        </w:rPr>
        <w:t>）；</w:t>
      </w:r>
    </w:p>
    <w:p>
      <w:pPr>
        <w:pStyle w:val="BodyText"/>
        <w:spacing w:before="229" w:line="509" w:lineRule="exact"/>
        <w:ind w:left="519"/>
      </w:pPr>
      <w:r>
        <w:rPr>
          <w:rFonts w:ascii="Times New Roman" w:eastAsia="Times New Roman" w:hAnsi="Times New Roman" w:cs="Times New Roman"/>
          <w:spacing w:val="-1"/>
          <w:position w:val="20"/>
        </w:rPr>
        <w:t>3.</w:t>
      </w:r>
      <w:r>
        <w:rPr>
          <w:spacing w:val="-1"/>
          <w:position w:val="20"/>
        </w:rPr>
        <w:t>《资产评估执业准则</w:t>
      </w:r>
      <w:r>
        <w:rPr>
          <w:rFonts w:ascii="Times New Roman" w:eastAsia="Times New Roman" w:hAnsi="Times New Roman" w:cs="Times New Roman"/>
          <w:spacing w:val="-1"/>
          <w:position w:val="20"/>
        </w:rPr>
        <w:t>—</w:t>
      </w:r>
      <w:r>
        <w:rPr>
          <w:rFonts w:ascii="Times New Roman" w:eastAsia="Times New Roman" w:hAnsi="Times New Roman" w:cs="Times New Roman"/>
          <w:spacing w:val="-43"/>
          <w:position w:val="20"/>
        </w:rPr>
        <w:t xml:space="preserve"> </w:t>
      </w:r>
      <w:r>
        <w:rPr>
          <w:spacing w:val="-1"/>
          <w:position w:val="20"/>
        </w:rPr>
        <w:t>资产评估报告》（中评协</w:t>
      </w:r>
      <w:r>
        <w:rPr>
          <w:rFonts w:ascii="Times New Roman" w:eastAsia="Times New Roman" w:hAnsi="Times New Roman" w:cs="Times New Roman"/>
          <w:spacing w:val="-1"/>
          <w:position w:val="20"/>
        </w:rPr>
        <w:t xml:space="preserve">[2018]35 </w:t>
      </w:r>
      <w:r>
        <w:rPr>
          <w:spacing w:val="-1"/>
          <w:position w:val="20"/>
        </w:rPr>
        <w:t>号</w:t>
      </w:r>
      <w:r>
        <w:rPr>
          <w:spacing w:val="5"/>
          <w:position w:val="20"/>
        </w:rPr>
        <w:t>）；</w:t>
      </w:r>
    </w:p>
    <w:p>
      <w:pPr>
        <w:pStyle w:val="BodyText"/>
        <w:spacing w:before="1" w:line="215" w:lineRule="auto"/>
        <w:ind w:left="513"/>
      </w:pPr>
      <w:r>
        <w:rPr>
          <w:rFonts w:ascii="Times New Roman" w:eastAsia="Times New Roman" w:hAnsi="Times New Roman" w:cs="Times New Roman"/>
          <w:spacing w:val="-1"/>
        </w:rPr>
        <w:t>4.</w:t>
      </w:r>
      <w:r>
        <w:rPr>
          <w:spacing w:val="-1"/>
        </w:rPr>
        <w:t>《资产评估执业准则</w:t>
      </w:r>
      <w:r>
        <w:rPr>
          <w:rFonts w:ascii="Times New Roman" w:eastAsia="Times New Roman" w:hAnsi="Times New Roman" w:cs="Times New Roman"/>
          <w:spacing w:val="-1"/>
        </w:rPr>
        <w:t>—</w:t>
      </w:r>
      <w:r>
        <w:rPr>
          <w:rFonts w:ascii="Times New Roman" w:eastAsia="Times New Roman" w:hAnsi="Times New Roman" w:cs="Times New Roman"/>
          <w:spacing w:val="-43"/>
        </w:rPr>
        <w:t xml:space="preserve"> </w:t>
      </w:r>
      <w:r>
        <w:rPr>
          <w:spacing w:val="-1"/>
        </w:rPr>
        <w:t>资产评估程序》（中评协</w:t>
      </w:r>
      <w:r>
        <w:rPr>
          <w:rFonts w:ascii="Times New Roman" w:eastAsia="Times New Roman" w:hAnsi="Times New Roman" w:cs="Times New Roman"/>
          <w:spacing w:val="-1"/>
        </w:rPr>
        <w:t xml:space="preserve">[2018]36 </w:t>
      </w:r>
      <w:r>
        <w:rPr>
          <w:spacing w:val="-1"/>
        </w:rPr>
        <w:t>号</w:t>
      </w:r>
      <w:r>
        <w:rPr>
          <w:spacing w:val="8"/>
        </w:rPr>
        <w:t>）；</w:t>
      </w:r>
    </w:p>
    <w:p>
      <w:pPr>
        <w:spacing w:line="215" w:lineRule="auto"/>
        <w:sectPr>
          <w:headerReference w:type="default" r:id="rId94"/>
          <w:footerReference w:type="default" r:id="rId95"/>
          <w:type w:val="nextPage"/>
          <w:pgSz w:w="11905" w:h="16839"/>
          <w:pgMar w:top="1637" w:right="1510" w:bottom="1579" w:left="1670" w:header="1154" w:footer="1314" w:gutter="0"/>
          <w:pgNumType w:start="44"/>
          <w:cols w:space="708"/>
          <w:titlePg w:val="0"/>
        </w:sectPr>
      </w:pPr>
    </w:p>
    <w:p>
      <w:pPr>
        <w:spacing w:line="299" w:lineRule="auto"/>
        <w:rPr>
          <w:rFonts w:ascii="Arial"/>
          <w:sz w:val="21"/>
        </w:rPr>
      </w:pPr>
    </w:p>
    <w:p>
      <w:pPr>
        <w:pStyle w:val="BodyText"/>
        <w:spacing w:before="78" w:line="514" w:lineRule="exact"/>
        <w:ind w:left="520"/>
      </w:pPr>
      <w:r>
        <w:rPr>
          <w:rFonts w:ascii="Times New Roman" w:eastAsia="Times New Roman" w:hAnsi="Times New Roman" w:cs="Times New Roman"/>
          <w:spacing w:val="-1"/>
          <w:position w:val="21"/>
        </w:rPr>
        <w:t>5.</w:t>
      </w:r>
      <w:r>
        <w:rPr>
          <w:spacing w:val="-1"/>
          <w:position w:val="21"/>
        </w:rPr>
        <w:t>《资产评估执业准则</w:t>
      </w:r>
      <w:r>
        <w:rPr>
          <w:rFonts w:ascii="Times New Roman" w:eastAsia="Times New Roman" w:hAnsi="Times New Roman" w:cs="Times New Roman"/>
          <w:spacing w:val="-1"/>
          <w:position w:val="21"/>
        </w:rPr>
        <w:t>—</w:t>
      </w:r>
      <w:r>
        <w:rPr>
          <w:rFonts w:ascii="Times New Roman" w:eastAsia="Times New Roman" w:hAnsi="Times New Roman" w:cs="Times New Roman"/>
          <w:spacing w:val="-42"/>
          <w:position w:val="21"/>
        </w:rPr>
        <w:t xml:space="preserve"> </w:t>
      </w:r>
      <w:r>
        <w:rPr>
          <w:spacing w:val="-1"/>
          <w:position w:val="21"/>
        </w:rPr>
        <w:t>资产评估委托合同》（中评协</w:t>
      </w:r>
      <w:r>
        <w:rPr>
          <w:rFonts w:ascii="Times New Roman" w:eastAsia="Times New Roman" w:hAnsi="Times New Roman" w:cs="Times New Roman"/>
          <w:spacing w:val="-1"/>
          <w:position w:val="21"/>
        </w:rPr>
        <w:t xml:space="preserve">[2017]33 </w:t>
      </w:r>
      <w:r>
        <w:rPr>
          <w:spacing w:val="-1"/>
          <w:position w:val="21"/>
        </w:rPr>
        <w:t>号</w:t>
      </w:r>
      <w:r>
        <w:rPr>
          <w:spacing w:val="5"/>
          <w:position w:val="21"/>
        </w:rPr>
        <w:t>）；</w:t>
      </w:r>
    </w:p>
    <w:p>
      <w:pPr>
        <w:pStyle w:val="BodyText"/>
        <w:spacing w:line="215" w:lineRule="auto"/>
        <w:ind w:left="519"/>
      </w:pPr>
      <w:r>
        <w:rPr>
          <w:rFonts w:ascii="Times New Roman" w:eastAsia="Times New Roman" w:hAnsi="Times New Roman" w:cs="Times New Roman"/>
          <w:spacing w:val="-1"/>
        </w:rPr>
        <w:t>6.</w:t>
      </w:r>
      <w:r>
        <w:rPr>
          <w:spacing w:val="-1"/>
        </w:rPr>
        <w:t>《资产评估执业准则</w:t>
      </w:r>
      <w:r>
        <w:rPr>
          <w:rFonts w:ascii="Times New Roman" w:eastAsia="Times New Roman" w:hAnsi="Times New Roman" w:cs="Times New Roman"/>
          <w:spacing w:val="-1"/>
        </w:rPr>
        <w:t>—</w:t>
      </w:r>
      <w:r>
        <w:rPr>
          <w:rFonts w:ascii="Times New Roman" w:eastAsia="Times New Roman" w:hAnsi="Times New Roman" w:cs="Times New Roman"/>
          <w:spacing w:val="-41"/>
        </w:rPr>
        <w:t xml:space="preserve"> </w:t>
      </w:r>
      <w:r>
        <w:rPr>
          <w:spacing w:val="-1"/>
        </w:rPr>
        <w:t>资产评估档案》（中评协</w:t>
      </w:r>
      <w:r>
        <w:rPr>
          <w:rFonts w:ascii="Times New Roman" w:eastAsia="Times New Roman" w:hAnsi="Times New Roman" w:cs="Times New Roman"/>
          <w:spacing w:val="-1"/>
        </w:rPr>
        <w:t xml:space="preserve">[2018]37 </w:t>
      </w:r>
      <w:r>
        <w:rPr>
          <w:spacing w:val="-1"/>
        </w:rPr>
        <w:t>号</w:t>
      </w:r>
      <w:r>
        <w:rPr>
          <w:spacing w:val="4"/>
        </w:rPr>
        <w:t>）；</w:t>
      </w:r>
    </w:p>
    <w:p>
      <w:pPr>
        <w:pStyle w:val="BodyText"/>
        <w:spacing w:before="229" w:line="215" w:lineRule="auto"/>
        <w:ind w:left="518"/>
      </w:pPr>
      <w:r>
        <w:rPr>
          <w:rFonts w:ascii="Times New Roman" w:eastAsia="Times New Roman" w:hAnsi="Times New Roman" w:cs="Times New Roman"/>
          <w:spacing w:val="-3"/>
        </w:rPr>
        <w:t>7.</w:t>
      </w:r>
      <w:r>
        <w:rPr>
          <w:spacing w:val="-3"/>
        </w:rPr>
        <w:t>《资产评估执业准则</w:t>
      </w:r>
      <w:r>
        <w:rPr>
          <w:rFonts w:ascii="Times New Roman" w:eastAsia="Times New Roman" w:hAnsi="Times New Roman" w:cs="Times New Roman"/>
          <w:spacing w:val="-3"/>
        </w:rPr>
        <w:t>—</w:t>
      </w:r>
      <w:r>
        <w:rPr>
          <w:rFonts w:ascii="Times New Roman" w:eastAsia="Times New Roman" w:hAnsi="Times New Roman" w:cs="Times New Roman"/>
          <w:spacing w:val="-42"/>
        </w:rPr>
        <w:t xml:space="preserve"> </w:t>
      </w:r>
      <w:r>
        <w:rPr>
          <w:spacing w:val="-3"/>
        </w:rPr>
        <w:t>资产评估方法》（中评协</w:t>
      </w:r>
      <w:r>
        <w:rPr>
          <w:rFonts w:ascii="Times New Roman" w:eastAsia="Times New Roman" w:hAnsi="Times New Roman" w:cs="Times New Roman"/>
          <w:spacing w:val="-3"/>
        </w:rPr>
        <w:t xml:space="preserve">[2019]35 </w:t>
      </w:r>
      <w:r>
        <w:rPr>
          <w:spacing w:val="-3"/>
        </w:rPr>
        <w:t>号</w:t>
      </w:r>
      <w:r>
        <w:rPr>
          <w:spacing w:val="8"/>
        </w:rPr>
        <w:t>）</w:t>
      </w:r>
      <w:r>
        <w:rPr>
          <w:spacing w:val="-60"/>
        </w:rPr>
        <w:t xml:space="preserve"> </w:t>
      </w:r>
      <w:r>
        <w:rPr>
          <w:spacing w:val="8"/>
        </w:rPr>
        <w:t>；</w:t>
      </w:r>
    </w:p>
    <w:p>
      <w:pPr>
        <w:pStyle w:val="BodyText"/>
        <w:spacing w:before="229" w:line="215" w:lineRule="auto"/>
        <w:ind w:left="523"/>
      </w:pPr>
      <w:r>
        <w:rPr>
          <w:rFonts w:ascii="Times New Roman" w:eastAsia="Times New Roman" w:hAnsi="Times New Roman" w:cs="Times New Roman"/>
          <w:spacing w:val="-1"/>
        </w:rPr>
        <w:t>8.</w:t>
      </w:r>
      <w:r>
        <w:rPr>
          <w:spacing w:val="-1"/>
        </w:rPr>
        <w:t>《资产评估执业准则</w:t>
      </w:r>
      <w:r>
        <w:rPr>
          <w:rFonts w:ascii="Times New Roman" w:eastAsia="Times New Roman" w:hAnsi="Times New Roman" w:cs="Times New Roman"/>
          <w:spacing w:val="-1"/>
        </w:rPr>
        <w:t>—</w:t>
      </w:r>
      <w:r>
        <w:rPr>
          <w:spacing w:val="-1"/>
        </w:rPr>
        <w:t>企业价值》（中评协</w:t>
      </w:r>
      <w:r>
        <w:rPr>
          <w:rFonts w:ascii="Times New Roman" w:eastAsia="Times New Roman" w:hAnsi="Times New Roman" w:cs="Times New Roman"/>
          <w:spacing w:val="-1"/>
        </w:rPr>
        <w:t xml:space="preserve">[2018]38 </w:t>
      </w:r>
      <w:r>
        <w:rPr>
          <w:spacing w:val="-1"/>
        </w:rPr>
        <w:t>号</w:t>
      </w:r>
      <w:r>
        <w:rPr>
          <w:spacing w:val="-9"/>
        </w:rPr>
        <w:t>）；</w:t>
      </w:r>
    </w:p>
    <w:p>
      <w:pPr>
        <w:pStyle w:val="BodyText"/>
        <w:spacing w:before="229" w:line="215" w:lineRule="auto"/>
        <w:ind w:left="518"/>
      </w:pPr>
      <w:r>
        <w:rPr>
          <w:rFonts w:ascii="Times New Roman" w:eastAsia="Times New Roman" w:hAnsi="Times New Roman" w:cs="Times New Roman"/>
        </w:rPr>
        <w:t>9.</w:t>
      </w:r>
      <w:r>
        <w:t>《资产评估执业准则</w:t>
      </w:r>
      <w:r>
        <w:rPr>
          <w:rFonts w:ascii="Times New Roman" w:eastAsia="Times New Roman" w:hAnsi="Times New Roman" w:cs="Times New Roman"/>
        </w:rPr>
        <w:t>—</w:t>
      </w:r>
      <w:r>
        <w:t>机器设备》（中评</w:t>
      </w:r>
      <w:r>
        <w:rPr>
          <w:spacing w:val="-1"/>
        </w:rPr>
        <w:t>协</w:t>
      </w:r>
      <w:r>
        <w:rPr>
          <w:rFonts w:ascii="Times New Roman" w:eastAsia="Times New Roman" w:hAnsi="Times New Roman" w:cs="Times New Roman"/>
          <w:spacing w:val="-1"/>
        </w:rPr>
        <w:t xml:space="preserve">[2017]39 </w:t>
      </w:r>
      <w:r>
        <w:rPr>
          <w:spacing w:val="-1"/>
        </w:rPr>
        <w:t>号</w:t>
      </w:r>
      <w:r>
        <w:rPr>
          <w:spacing w:val="-14"/>
        </w:rPr>
        <w:t>）；</w:t>
      </w:r>
    </w:p>
    <w:p>
      <w:pPr>
        <w:pStyle w:val="BodyText"/>
        <w:spacing w:before="234" w:line="215" w:lineRule="auto"/>
        <w:ind w:left="537"/>
      </w:pPr>
      <w:r>
        <w:rPr>
          <w:rFonts w:ascii="Times New Roman" w:eastAsia="Times New Roman" w:hAnsi="Times New Roman" w:cs="Times New Roman"/>
          <w:spacing w:val="-5"/>
        </w:rPr>
        <w:t>10.</w:t>
      </w:r>
      <w:r>
        <w:rPr>
          <w:spacing w:val="-5"/>
        </w:rPr>
        <w:t>《资产评估执业准则</w:t>
      </w:r>
      <w:r>
        <w:rPr>
          <w:rFonts w:ascii="Times New Roman" w:eastAsia="Times New Roman" w:hAnsi="Times New Roman" w:cs="Times New Roman"/>
          <w:spacing w:val="-5"/>
        </w:rPr>
        <w:t>—</w:t>
      </w:r>
      <w:r>
        <w:rPr>
          <w:spacing w:val="-5"/>
        </w:rPr>
        <w:t>不动产》 （中评协</w:t>
      </w:r>
      <w:r>
        <w:rPr>
          <w:rFonts w:ascii="Times New Roman" w:eastAsia="Times New Roman" w:hAnsi="Times New Roman" w:cs="Times New Roman"/>
          <w:spacing w:val="-5"/>
        </w:rPr>
        <w:t xml:space="preserve">[2017]38 </w:t>
      </w:r>
      <w:r>
        <w:rPr>
          <w:spacing w:val="-5"/>
        </w:rPr>
        <w:t>号</w:t>
      </w:r>
      <w:r>
        <w:rPr>
          <w:spacing w:val="5"/>
        </w:rPr>
        <w:t>）；</w:t>
      </w:r>
    </w:p>
    <w:p>
      <w:pPr>
        <w:pStyle w:val="BodyText"/>
        <w:spacing w:before="230" w:line="215" w:lineRule="auto"/>
        <w:ind w:left="537"/>
      </w:pPr>
      <w:r>
        <w:rPr>
          <w:rFonts w:ascii="Times New Roman" w:eastAsia="Times New Roman" w:hAnsi="Times New Roman" w:cs="Times New Roman"/>
          <w:spacing w:val="-1"/>
        </w:rPr>
        <w:t>11.</w:t>
      </w:r>
      <w:r>
        <w:rPr>
          <w:spacing w:val="-1"/>
        </w:rPr>
        <w:t>《资产评估执业准则</w:t>
      </w:r>
      <w:r>
        <w:rPr>
          <w:rFonts w:ascii="Times New Roman" w:eastAsia="Times New Roman" w:hAnsi="Times New Roman" w:cs="Times New Roman"/>
          <w:spacing w:val="-1"/>
        </w:rPr>
        <w:t>—</w:t>
      </w:r>
      <w:r>
        <w:rPr>
          <w:spacing w:val="-1"/>
        </w:rPr>
        <w:t>无形资产》（中评协</w:t>
      </w:r>
      <w:r>
        <w:rPr>
          <w:rFonts w:ascii="Times New Roman" w:eastAsia="Times New Roman" w:hAnsi="Times New Roman" w:cs="Times New Roman"/>
          <w:spacing w:val="-1"/>
        </w:rPr>
        <w:t xml:space="preserve">[2017]37 </w:t>
      </w:r>
      <w:r>
        <w:rPr>
          <w:spacing w:val="-1"/>
        </w:rPr>
        <w:t>号</w:t>
      </w:r>
      <w:r>
        <w:rPr>
          <w:spacing w:val="1"/>
        </w:rPr>
        <w:t>）；</w:t>
      </w:r>
    </w:p>
    <w:p>
      <w:pPr>
        <w:pStyle w:val="BodyText"/>
        <w:spacing w:before="229" w:line="215" w:lineRule="auto"/>
        <w:ind w:left="537"/>
      </w:pPr>
      <w:r>
        <w:rPr>
          <w:rFonts w:ascii="Times New Roman" w:eastAsia="Times New Roman" w:hAnsi="Times New Roman" w:cs="Times New Roman"/>
          <w:spacing w:val="-3"/>
        </w:rPr>
        <w:t>12.</w:t>
      </w:r>
      <w:r>
        <w:rPr>
          <w:spacing w:val="-3"/>
        </w:rPr>
        <w:t>《资产评估执业准则</w:t>
      </w:r>
      <w:r>
        <w:rPr>
          <w:rFonts w:ascii="Times New Roman" w:eastAsia="Times New Roman" w:hAnsi="Times New Roman" w:cs="Times New Roman"/>
          <w:spacing w:val="-3"/>
        </w:rPr>
        <w:t>—</w:t>
      </w:r>
      <w:r>
        <w:rPr>
          <w:spacing w:val="-3"/>
        </w:rPr>
        <w:t>知识产权》（中评协</w:t>
      </w:r>
      <w:r>
        <w:rPr>
          <w:rFonts w:ascii="Times New Roman" w:eastAsia="Times New Roman" w:hAnsi="Times New Roman" w:cs="Times New Roman"/>
          <w:spacing w:val="-3"/>
        </w:rPr>
        <w:t xml:space="preserve">[2023]14 </w:t>
      </w:r>
      <w:r>
        <w:rPr>
          <w:spacing w:val="-3"/>
        </w:rPr>
        <w:t>号</w:t>
      </w:r>
      <w:r>
        <w:rPr>
          <w:spacing w:val="3"/>
        </w:rPr>
        <w:t>）</w:t>
      </w:r>
      <w:r>
        <w:rPr>
          <w:spacing w:val="-59"/>
        </w:rPr>
        <w:t xml:space="preserve"> </w:t>
      </w:r>
      <w:r>
        <w:rPr>
          <w:spacing w:val="3"/>
        </w:rPr>
        <w:t>；</w:t>
      </w:r>
    </w:p>
    <w:p>
      <w:pPr>
        <w:pStyle w:val="BodyText"/>
        <w:spacing w:before="230" w:line="393" w:lineRule="auto"/>
        <w:ind w:left="537" w:right="1351"/>
      </w:pPr>
      <w:r>
        <w:rPr>
          <w:rFonts w:ascii="Times New Roman" w:eastAsia="Times New Roman" w:hAnsi="Times New Roman" w:cs="Times New Roman"/>
          <w:spacing w:val="-1"/>
        </w:rPr>
        <w:t>13.</w:t>
      </w:r>
      <w:r>
        <w:rPr>
          <w:spacing w:val="-1"/>
        </w:rPr>
        <w:t>《资产评估机构业务质量控制指南》（中评协</w:t>
      </w:r>
      <w:r>
        <w:rPr>
          <w:rFonts w:ascii="Times New Roman" w:eastAsia="Times New Roman" w:hAnsi="Times New Roman" w:cs="Times New Roman"/>
          <w:spacing w:val="-1"/>
        </w:rPr>
        <w:t xml:space="preserve">[2017]46 </w:t>
      </w:r>
      <w:r>
        <w:rPr>
          <w:spacing w:val="-1"/>
        </w:rPr>
        <w:t>号</w:t>
      </w:r>
      <w:r>
        <w:rPr>
          <w:spacing w:val="-26"/>
        </w:rPr>
        <w:t>）；</w:t>
      </w:r>
      <w:r>
        <w:rPr>
          <w:spacing w:val="1"/>
        </w:rPr>
        <w:t xml:space="preserve"> </w:t>
      </w:r>
      <w:r>
        <w:rPr>
          <w:rFonts w:ascii="Times New Roman" w:eastAsia="Times New Roman" w:hAnsi="Times New Roman" w:cs="Times New Roman"/>
          <w:spacing w:val="-1"/>
        </w:rPr>
        <w:t>14.</w:t>
      </w:r>
      <w:r>
        <w:rPr>
          <w:spacing w:val="-1"/>
        </w:rPr>
        <w:t>《资产评估对象法律权属指导意见》（中评协</w:t>
      </w:r>
      <w:r>
        <w:rPr>
          <w:rFonts w:ascii="Times New Roman" w:eastAsia="Times New Roman" w:hAnsi="Times New Roman" w:cs="Times New Roman"/>
          <w:spacing w:val="-1"/>
        </w:rPr>
        <w:t xml:space="preserve">[2017]48 </w:t>
      </w:r>
      <w:r>
        <w:rPr>
          <w:spacing w:val="-1"/>
        </w:rPr>
        <w:t>号</w:t>
      </w:r>
      <w:r>
        <w:rPr>
          <w:spacing w:val="-26"/>
        </w:rPr>
        <w:t>）；</w:t>
      </w:r>
    </w:p>
    <w:p>
      <w:pPr>
        <w:pStyle w:val="BodyText"/>
        <w:spacing w:line="215" w:lineRule="auto"/>
        <w:ind w:left="537"/>
      </w:pPr>
      <w:r>
        <w:rPr>
          <w:rFonts w:ascii="Times New Roman" w:eastAsia="Times New Roman" w:hAnsi="Times New Roman" w:cs="Times New Roman"/>
          <w:spacing w:val="-1"/>
        </w:rPr>
        <w:t>15.</w:t>
      </w:r>
      <w:r>
        <w:rPr>
          <w:spacing w:val="-1"/>
        </w:rPr>
        <w:t>《资产评估价值类型指导意见》（中评协</w:t>
      </w:r>
      <w:r>
        <w:rPr>
          <w:rFonts w:ascii="Times New Roman" w:eastAsia="Times New Roman" w:hAnsi="Times New Roman" w:cs="Times New Roman"/>
          <w:spacing w:val="-1"/>
        </w:rPr>
        <w:t xml:space="preserve">[2017]47 </w:t>
      </w:r>
      <w:r>
        <w:rPr>
          <w:spacing w:val="-1"/>
        </w:rPr>
        <w:t>号</w:t>
      </w:r>
      <w:r>
        <w:rPr>
          <w:spacing w:val="-13"/>
        </w:rPr>
        <w:t>）；</w:t>
      </w:r>
    </w:p>
    <w:p>
      <w:pPr>
        <w:pStyle w:val="BodyText"/>
        <w:spacing w:before="230" w:line="215" w:lineRule="auto"/>
        <w:ind w:left="537"/>
      </w:pPr>
      <w:r>
        <w:rPr>
          <w:rFonts w:ascii="Times New Roman" w:eastAsia="Times New Roman" w:hAnsi="Times New Roman" w:cs="Times New Roman"/>
          <w:spacing w:val="-1"/>
        </w:rPr>
        <w:t>16.</w:t>
      </w:r>
      <w:r>
        <w:rPr>
          <w:spacing w:val="-1"/>
        </w:rPr>
        <w:t>《专利资产评估指导意见》（中评协</w:t>
      </w:r>
      <w:r>
        <w:rPr>
          <w:rFonts w:ascii="Times New Roman" w:eastAsia="Times New Roman" w:hAnsi="Times New Roman" w:cs="Times New Roman"/>
          <w:spacing w:val="-1"/>
        </w:rPr>
        <w:t xml:space="preserve">[2017]49 </w:t>
      </w:r>
      <w:r>
        <w:rPr>
          <w:spacing w:val="-1"/>
        </w:rPr>
        <w:t>号</w:t>
      </w:r>
      <w:r>
        <w:rPr>
          <w:spacing w:val="-12"/>
        </w:rPr>
        <w:t>）；</w:t>
      </w:r>
    </w:p>
    <w:p>
      <w:pPr>
        <w:pStyle w:val="BodyText"/>
        <w:spacing w:before="229" w:line="513" w:lineRule="exact"/>
        <w:ind w:left="537"/>
      </w:pPr>
      <w:r>
        <w:rPr>
          <w:rFonts w:ascii="Times New Roman" w:eastAsia="Times New Roman" w:hAnsi="Times New Roman" w:cs="Times New Roman"/>
          <w:spacing w:val="-1"/>
          <w:position w:val="21"/>
        </w:rPr>
        <w:t>17.</w:t>
      </w:r>
      <w:r>
        <w:rPr>
          <w:spacing w:val="-1"/>
          <w:position w:val="21"/>
        </w:rPr>
        <w:t>《投资性房地产评估指导意见》（中评协</w:t>
      </w:r>
      <w:r>
        <w:rPr>
          <w:rFonts w:ascii="Times New Roman" w:eastAsia="Times New Roman" w:hAnsi="Times New Roman" w:cs="Times New Roman"/>
          <w:spacing w:val="-1"/>
          <w:position w:val="21"/>
        </w:rPr>
        <w:t xml:space="preserve">[2017]53 </w:t>
      </w:r>
      <w:r>
        <w:rPr>
          <w:spacing w:val="-1"/>
          <w:position w:val="21"/>
        </w:rPr>
        <w:t>号</w:t>
      </w:r>
      <w:r>
        <w:rPr>
          <w:spacing w:val="-13"/>
          <w:position w:val="21"/>
        </w:rPr>
        <w:t>）；</w:t>
      </w:r>
    </w:p>
    <w:p>
      <w:pPr>
        <w:pStyle w:val="BodyText"/>
        <w:spacing w:before="1" w:line="215" w:lineRule="auto"/>
        <w:ind w:left="537"/>
      </w:pPr>
      <w:r>
        <w:rPr>
          <w:rFonts w:ascii="Times New Roman" w:eastAsia="Times New Roman" w:hAnsi="Times New Roman" w:cs="Times New Roman"/>
          <w:spacing w:val="-1"/>
        </w:rPr>
        <w:t>18.</w:t>
      </w:r>
      <w:r>
        <w:rPr>
          <w:spacing w:val="-1"/>
        </w:rPr>
        <w:t>《著作权资产评估指导意见》（中评协</w:t>
      </w:r>
      <w:r>
        <w:rPr>
          <w:rFonts w:ascii="Times New Roman" w:eastAsia="Times New Roman" w:hAnsi="Times New Roman" w:cs="Times New Roman"/>
          <w:spacing w:val="-1"/>
        </w:rPr>
        <w:t xml:space="preserve">[2017]50 </w:t>
      </w:r>
      <w:r>
        <w:rPr>
          <w:spacing w:val="-1"/>
        </w:rPr>
        <w:t>号</w:t>
      </w:r>
      <w:r>
        <w:t>）；</w:t>
      </w:r>
    </w:p>
    <w:p>
      <w:pPr>
        <w:pStyle w:val="BodyText"/>
        <w:spacing w:before="230" w:line="215" w:lineRule="auto"/>
        <w:ind w:left="537"/>
      </w:pPr>
      <w:r>
        <w:rPr>
          <w:rFonts w:ascii="Times New Roman" w:eastAsia="Times New Roman" w:hAnsi="Times New Roman" w:cs="Times New Roman"/>
          <w:spacing w:val="-7"/>
        </w:rPr>
        <w:t>19.</w:t>
      </w:r>
      <w:r>
        <w:rPr>
          <w:spacing w:val="-7"/>
        </w:rPr>
        <w:t>《商标资产评估指导意见》 （中评协</w:t>
      </w:r>
      <w:r>
        <w:rPr>
          <w:rFonts w:ascii="Times New Roman" w:eastAsia="Times New Roman" w:hAnsi="Times New Roman" w:cs="Times New Roman"/>
          <w:spacing w:val="-7"/>
        </w:rPr>
        <w:t>[2017]51</w:t>
      </w:r>
      <w:r>
        <w:rPr>
          <w:rFonts w:ascii="Times New Roman" w:eastAsia="Times New Roman" w:hAnsi="Times New Roman" w:cs="Times New Roman"/>
          <w:spacing w:val="12"/>
        </w:rPr>
        <w:t xml:space="preserve"> </w:t>
      </w:r>
      <w:r>
        <w:rPr>
          <w:spacing w:val="-7"/>
        </w:rPr>
        <w:t>号）</w:t>
      </w:r>
      <w:r>
        <w:rPr>
          <w:spacing w:val="-59"/>
        </w:rPr>
        <w:t xml:space="preserve"> </w:t>
      </w:r>
      <w:r>
        <w:rPr>
          <w:spacing w:val="-7"/>
        </w:rPr>
        <w:t>。</w:t>
      </w:r>
    </w:p>
    <w:p>
      <w:pPr>
        <w:pStyle w:val="BodyText"/>
        <w:spacing w:before="228" w:line="219" w:lineRule="auto"/>
        <w:ind w:left="467"/>
      </w:pPr>
      <w:r>
        <w:rPr>
          <w:b/>
          <w:bCs/>
          <w:spacing w:val="-5"/>
        </w:rPr>
        <w:t>（四）权属依据</w:t>
      </w:r>
    </w:p>
    <w:p>
      <w:pPr>
        <w:pStyle w:val="BodyText"/>
        <w:spacing w:before="224" w:line="515" w:lineRule="exact"/>
        <w:ind w:left="537"/>
      </w:pPr>
      <w:r>
        <w:rPr>
          <w:rFonts w:ascii="Times New Roman" w:eastAsia="Times New Roman" w:hAnsi="Times New Roman" w:cs="Times New Roman"/>
          <w:spacing w:val="-13"/>
          <w:position w:val="21"/>
        </w:rPr>
        <w:t>1.</w:t>
      </w:r>
      <w:r>
        <w:rPr>
          <w:spacing w:val="-13"/>
          <w:position w:val="21"/>
        </w:rPr>
        <w:t>企业法人营业执照、</w:t>
      </w:r>
      <w:r>
        <w:rPr>
          <w:spacing w:val="62"/>
          <w:position w:val="21"/>
        </w:rPr>
        <w:t xml:space="preserve"> </w:t>
      </w:r>
      <w:r>
        <w:rPr>
          <w:spacing w:val="-13"/>
          <w:position w:val="21"/>
        </w:rPr>
        <w:t>公司章程；</w:t>
      </w:r>
    </w:p>
    <w:p>
      <w:pPr>
        <w:pStyle w:val="BodyText"/>
        <w:spacing w:line="219" w:lineRule="auto"/>
        <w:ind w:left="514"/>
      </w:pPr>
      <w:r>
        <w:rPr>
          <w:rFonts w:ascii="Times New Roman" w:eastAsia="Times New Roman" w:hAnsi="Times New Roman" w:cs="Times New Roman"/>
          <w:spacing w:val="-1"/>
        </w:rPr>
        <w:t>2.</w:t>
      </w:r>
      <w:r>
        <w:rPr>
          <w:spacing w:val="-1"/>
        </w:rPr>
        <w:t>不动产权证、土地出让合同；</w:t>
      </w:r>
    </w:p>
    <w:p>
      <w:pPr>
        <w:pStyle w:val="BodyText"/>
        <w:spacing w:before="224" w:line="509" w:lineRule="exact"/>
        <w:ind w:left="519"/>
      </w:pPr>
      <w:r>
        <w:rPr>
          <w:rFonts w:ascii="Times New Roman" w:eastAsia="Times New Roman" w:hAnsi="Times New Roman" w:cs="Times New Roman"/>
          <w:spacing w:val="-2"/>
          <w:position w:val="20"/>
        </w:rPr>
        <w:t>3.</w:t>
      </w:r>
      <w:r>
        <w:rPr>
          <w:spacing w:val="-2"/>
          <w:position w:val="20"/>
        </w:rPr>
        <w:t>建设用地规划许可证、建筑工程规划许可证、建设工程施工许可证；</w:t>
      </w:r>
    </w:p>
    <w:p>
      <w:pPr>
        <w:pStyle w:val="BodyText"/>
        <w:spacing w:before="1" w:line="218" w:lineRule="auto"/>
        <w:ind w:left="513"/>
      </w:pPr>
      <w:r>
        <w:rPr>
          <w:rFonts w:ascii="Times New Roman" w:eastAsia="Times New Roman" w:hAnsi="Times New Roman" w:cs="Times New Roman"/>
          <w:spacing w:val="-1"/>
        </w:rPr>
        <w:t>4.</w:t>
      </w:r>
      <w:r>
        <w:rPr>
          <w:spacing w:val="-1"/>
        </w:rPr>
        <w:t>机动车行驶证及登记证；</w:t>
      </w:r>
    </w:p>
    <w:p>
      <w:pPr>
        <w:pStyle w:val="BodyText"/>
        <w:spacing w:before="224" w:line="514" w:lineRule="exact"/>
        <w:ind w:left="520"/>
      </w:pPr>
      <w:r>
        <w:rPr>
          <w:rFonts w:ascii="Times New Roman" w:eastAsia="Times New Roman" w:hAnsi="Times New Roman" w:cs="Times New Roman"/>
          <w:spacing w:val="-1"/>
          <w:position w:val="20"/>
        </w:rPr>
        <w:t>5.</w:t>
      </w:r>
      <w:r>
        <w:rPr>
          <w:spacing w:val="-1"/>
          <w:position w:val="20"/>
        </w:rPr>
        <w:t>主要设备购置合同、发票，以及有关协议、合同等资料；</w:t>
      </w:r>
    </w:p>
    <w:p>
      <w:pPr>
        <w:pStyle w:val="BodyText"/>
        <w:spacing w:before="1" w:line="218" w:lineRule="auto"/>
        <w:ind w:left="519"/>
      </w:pPr>
      <w:r>
        <w:rPr>
          <w:rFonts w:ascii="Times New Roman" w:eastAsia="Times New Roman" w:hAnsi="Times New Roman" w:cs="Times New Roman"/>
          <w:spacing w:val="-1"/>
        </w:rPr>
        <w:t>6.</w:t>
      </w:r>
      <w:r>
        <w:rPr>
          <w:spacing w:val="-1"/>
        </w:rPr>
        <w:t>专利证书及国家知识产权局专利查询网站查询信息；</w:t>
      </w:r>
    </w:p>
    <w:p>
      <w:pPr>
        <w:pStyle w:val="BodyText"/>
        <w:spacing w:before="225" w:line="220" w:lineRule="auto"/>
        <w:ind w:left="518"/>
      </w:pPr>
      <w:r>
        <w:rPr>
          <w:rFonts w:ascii="Times New Roman" w:eastAsia="Times New Roman" w:hAnsi="Times New Roman" w:cs="Times New Roman"/>
          <w:spacing w:val="-7"/>
        </w:rPr>
        <w:t>7.</w:t>
      </w:r>
      <w:r>
        <w:rPr>
          <w:spacing w:val="-7"/>
        </w:rPr>
        <w:t>商标注册证；</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6" w:history="1">
        <w:r>
          <w:rPr>
            <w:rFonts w:ascii="SimSun" w:eastAsia="SimSun" w:hAnsi="SimSun" w:cs="SimSun"/>
            <w:b/>
            <w:bCs/>
            <w:noProof w:val="0"/>
            <w:snapToGrid/>
            <w:color w:val="0000EE"/>
            <w:kern w:val="0"/>
            <w:sz w:val="30"/>
            <w:szCs w:val="30"/>
            <w:u w:val="single" w:color="0000EE"/>
          </w:rPr>
          <w:t>https://d.book118.com/438002045006006040</w:t>
        </w:r>
      </w:hyperlink>
    </w:p>
    <w:p>
      <w:pPr>
        <w:pStyle w:val="BodyText"/>
        <w:spacing w:before="225" w:line="220" w:lineRule="auto"/>
        <w:ind w:left="518"/>
      </w:pPr>
    </w:p>
    <w:sectPr>
      <w:headerReference w:type="default" r:id="rId97"/>
      <w:footerReference w:type="default" r:id="rId98"/>
      <w:pgSz w:w="11905" w:h="16839"/>
      <w:pgMar w:top="1637" w:right="1666" w:bottom="1579" w:left="1670" w:header="1154" w:footer="1314"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5" w:line="210" w:lineRule="auto"/>
      <w:ind w:left="7"/>
      <w:rPr>
        <w:sz w:val="18"/>
        <w:szCs w:val="18"/>
      </w:rPr>
    </w:pPr>
    <w:r>
      <w:pict>
        <v:shape id="_x0000_s2049" style="width:418.75pt;height:0.5pt;margin-top:783.82pt;margin-left:84.98pt;mso-position-horizontal-relative:page;mso-position-vertical-relative:page;position:absolute;z-index:251658240" coordorigin="0,0" coordsize="8375,10" o:allowincell="f" path="m,9l8374,9l8374,l,l,9xe" filled="t" fillcolor="gray" stroked="f"/>
      </w:pict>
    </w:r>
    <w:r>
      <w:rPr>
        <w:spacing w:val="-1"/>
        <w:sz w:val="18"/>
        <w:szCs w:val="18"/>
      </w:rPr>
      <w:t>江苏天健华辰资产评估有限公司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0" style="width:418.75pt;height:0.5pt;margin-top:762.94pt;margin-left:84.98pt;mso-position-horizontal-relative:page;mso-position-vertical-relative:page;position:absolute;z-index:251659264" coordorigin="0,0" coordsize="8375,10" o:allowincell="f" path="m,9l8374,9l8374,l,l,9xe" filled="t" fillcolor="gray" stroked="f"/>
      </w:pict>
    </w:r>
    <w:r>
      <w:rPr>
        <w:spacing w:val="-1"/>
        <w:sz w:val="18"/>
        <w:szCs w:val="18"/>
      </w:rPr>
      <w:t>江苏天健华辰资产评估有限公司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1" style="width:418.75pt;height:0.5pt;margin-top:762.94pt;margin-left:84.98pt;mso-position-horizontal-relative:page;mso-position-vertical-relative:page;position:absolute;z-index:251660288" coordorigin="0,0" coordsize="8375,10" o:allowincell="f" path="m,9l8374,9l8374,l,l,9xe" filled="t" fillcolor="gray" stroked="f"/>
      </w:pict>
    </w:r>
    <w:r>
      <w:rPr>
        <w:spacing w:val="-1"/>
        <w:sz w:val="18"/>
        <w:szCs w:val="18"/>
      </w:rPr>
      <w:t>江苏天健华辰资产评估有限公司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2" style="width:418.75pt;height:0.5pt;margin-top:762.94pt;margin-left:84.98pt;mso-position-horizontal-relative:page;mso-position-vertical-relative:page;position:absolute;z-index:251661312" coordorigin="0,0" coordsize="8375,10" o:allowincell="f" path="m,9l8374,9l8374,l,l,9xe" filled="t" fillcolor="gray" stroked="f"/>
      </w:pict>
    </w:r>
    <w:r>
      <w:rPr>
        <w:spacing w:val="-1"/>
        <w:sz w:val="18"/>
        <w:szCs w:val="18"/>
      </w:rPr>
      <w:t>江苏天健华辰资产评估有限公司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3" style="width:418.75pt;height:0.5pt;margin-top:762.94pt;margin-left:84.98pt;mso-position-horizontal-relative:page;mso-position-vertical-relative:page;position:absolute;z-index:251662336" coordorigin="0,0" coordsize="8375,10" o:allowincell="f" path="m,9l8374,9l8374,l,l,9xe" filled="t" fillcolor="gray" stroked="f"/>
      </w:pict>
    </w:r>
    <w:r>
      <w:rPr>
        <w:spacing w:val="-1"/>
        <w:sz w:val="18"/>
        <w:szCs w:val="18"/>
      </w:rPr>
      <w:t>江苏天健华辰资产评估有限公司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4" style="width:418.75pt;height:0.5pt;margin-top:762.94pt;margin-left:84.98pt;mso-position-horizontal-relative:page;mso-position-vertical-relative:page;position:absolute;z-index:251663360" coordorigin="0,0" coordsize="8375,10" o:allowincell="f" path="m,9l8374,9l8374,l,l,9xe" filled="t" fillcolor="gray" stroked="f"/>
      </w:pict>
    </w:r>
    <w:r>
      <w:rPr>
        <w:spacing w:val="-1"/>
        <w:sz w:val="18"/>
        <w:szCs w:val="18"/>
      </w:rPr>
      <w:t>江苏天健华辰资产评估有限公司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23"/>
      <w:rPr>
        <w:sz w:val="18"/>
        <w:szCs w:val="18"/>
      </w:rPr>
    </w:pPr>
    <w:r>
      <w:pict>
        <v:shape id="_x0000_s2055" style="width:418.75pt;height:0.5pt;margin-top:762.94pt;margin-left:84.98pt;mso-position-horizontal-relative:page;mso-position-vertical-relative:page;position:absolute;z-index:251664384" coordorigin="0,0" coordsize="8375,10" o:allowincell="f" path="m,9l8374,9l8374,l,l,9xe" filled="t" fillcolor="gray" stroked="f"/>
      </w:pict>
    </w:r>
    <w:r>
      <w:rPr>
        <w:spacing w:val="-1"/>
        <w:sz w:val="18"/>
        <w:szCs w:val="18"/>
      </w:rPr>
      <w:t>江苏天健华辰资产评估有限公司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23"/>
      <w:rPr>
        <w:sz w:val="18"/>
        <w:szCs w:val="18"/>
      </w:rPr>
    </w:pPr>
    <w:r>
      <w:pict>
        <v:shape id="_x0000_s2056" style="width:418.75pt;height:0.5pt;margin-top:762.94pt;margin-left:84.98pt;mso-position-horizontal-relative:page;mso-position-vertical-relative:page;position:absolute;z-index:251665408" coordorigin="0,0" coordsize="8375,10" o:allowincell="f" path="m,9l8374,9l8374,l,l,9xe" filled="t" fillcolor="gray" stroked="f"/>
      </w:pict>
    </w:r>
    <w:r>
      <w:rPr>
        <w:spacing w:val="-1"/>
        <w:sz w:val="18"/>
        <w:szCs w:val="18"/>
      </w:rPr>
      <w:t>江苏天健华辰资产评估有限公司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
      <w:rPr>
        <w:sz w:val="18"/>
        <w:szCs w:val="18"/>
      </w:rPr>
    </w:pPr>
    <w:r>
      <w:pict>
        <v:shape id="_x0000_s2057" style="width:418.75pt;height:0.5pt;margin-top:762.94pt;margin-left:84.98pt;mso-position-horizontal-relative:page;mso-position-vertical-relative:page;position:absolute;z-index:251666432" coordorigin="0,0" coordsize="8375,10" o:allowincell="f" path="m,9l8374,9l8374,l,l,9xe" filled="t" fillcolor="gray" stroked="f"/>
      </w:pict>
    </w:r>
    <w:r>
      <w:rPr>
        <w:spacing w:val="-1"/>
        <w:sz w:val="18"/>
        <w:szCs w:val="18"/>
      </w:rPr>
      <w:t>江苏天健华辰资产评估有限公司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
      <w:rPr>
        <w:sz w:val="18"/>
        <w:szCs w:val="18"/>
      </w:rPr>
    </w:pPr>
    <w:r>
      <w:pict>
        <v:shape id="_x0000_s2058" style="width:418.75pt;height:0.5pt;margin-top:762.94pt;margin-left:84.98pt;mso-position-horizontal-relative:page;mso-position-vertical-relative:page;position:absolute;z-index:251667456" coordorigin="0,0" coordsize="8375,10" o:allowincell="f" path="m,9l8374,9l8374,l,l,9xe" filled="t" fillcolor="gray" stroked="f"/>
      </w:pict>
    </w:r>
    <w:r>
      <w:rPr>
        <w:spacing w:val="-1"/>
        <w:sz w:val="18"/>
        <w:szCs w:val="18"/>
      </w:rPr>
      <w:t>江苏天健华辰资产评估有限公司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9" style="width:418.75pt;height:0.5pt;margin-top:762.94pt;margin-left:84.98pt;mso-position-horizontal-relative:page;mso-position-vertical-relative:page;position:absolute;z-index:251668480" coordorigin="0,0" coordsize="8375,10" o:allowincell="f" path="m,9l8374,9l8374,l,l,9xe" filled="t" fillcolor="gray" stroked="f"/>
      </w:pict>
    </w:r>
    <w:r>
      <w:rPr>
        <w:spacing w:val="-1"/>
        <w:sz w:val="18"/>
        <w:szCs w:val="18"/>
      </w:rPr>
      <w:t>江苏天健华辰资产评估有限公司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60" style="width:418.75pt;height:0.5pt;margin-top:762.94pt;margin-left:84.98pt;mso-position-horizontal-relative:page;mso-position-vertical-relative:page;position:absolute;z-index:251669504" coordorigin="0,0" coordsize="8375,10" o:allowincell="f" path="m,9l8374,9l8374,l,l,9xe" filled="t" fillcolor="gray" stroked="f"/>
      </w:pict>
    </w:r>
    <w:r>
      <w:rPr>
        <w:spacing w:val="-1"/>
        <w:sz w:val="18"/>
        <w:szCs w:val="18"/>
      </w:rPr>
      <w:t>江苏天健华辰资产评估有限公司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61" style="width:418.75pt;height:0.5pt;margin-top:762.94pt;margin-left:84.98pt;mso-position-horizontal-relative:page;mso-position-vertical-relative:page;position:absolute;z-index:251670528" coordorigin="0,0" coordsize="8375,10" o:allowincell="f" path="m,9l8374,9l8374,l,l,9xe" filled="t" fillcolor="gray" stroked="f"/>
      </w:pict>
    </w:r>
    <w:r>
      <w:rPr>
        <w:spacing w:val="-1"/>
        <w:sz w:val="18"/>
        <w:szCs w:val="18"/>
      </w:rPr>
      <w:t>江苏天健华辰资产评估有限公司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2" style="width:418.75pt;height:0.5pt;margin-top:762.94pt;margin-left:84.98pt;mso-position-horizontal-relative:page;mso-position-vertical-relative:page;position:absolute;z-index:251671552" coordorigin="0,0" coordsize="8375,10" o:allowincell="f" path="m,9l8374,9l8374,l,l,9xe" filled="t" fillcolor="gray" stroked="f"/>
      </w:pict>
    </w:r>
    <w:r>
      <w:rPr>
        <w:spacing w:val="-1"/>
        <w:sz w:val="18"/>
        <w:szCs w:val="18"/>
      </w:rPr>
      <w:t>江苏天健华辰资产评估有限公司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3" style="width:418.75pt;height:0.5pt;margin-top:762.94pt;margin-left:84.98pt;mso-position-horizontal-relative:page;mso-position-vertical-relative:page;position:absolute;z-index:251672576" coordorigin="0,0" coordsize="8375,10" o:allowincell="f" path="m,9l8374,9l8374,l,l,9xe" filled="t" fillcolor="gray" stroked="f"/>
      </w:pict>
    </w:r>
    <w:r>
      <w:rPr>
        <w:spacing w:val="-1"/>
        <w:sz w:val="18"/>
        <w:szCs w:val="18"/>
      </w:rPr>
      <w:t>江苏天健华辰资产评估有限公司</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4" style="width:418.75pt;height:0.5pt;margin-top:762.94pt;margin-left:84.98pt;mso-position-horizontal-relative:page;mso-position-vertical-relative:page;position:absolute;z-index:251673600" coordorigin="0,0" coordsize="8375,10" o:allowincell="f" path="m,9l8374,9l8374,l,l,9xe" filled="t" fillcolor="gray" stroked="f"/>
      </w:pict>
    </w:r>
    <w:r>
      <w:rPr>
        <w:spacing w:val="-1"/>
        <w:sz w:val="18"/>
        <w:szCs w:val="18"/>
      </w:rPr>
      <w:t>江苏天健华辰资产评估有限公司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5" style="width:418.75pt;height:0.5pt;margin-top:762.94pt;margin-left:84.98pt;mso-position-horizontal-relative:page;mso-position-vertical-relative:page;position:absolute;z-index:251674624" coordorigin="0,0" coordsize="8375,10" o:allowincell="f" path="m,9l8374,9l8374,l,l,9xe" filled="t" fillcolor="gray" stroked="f"/>
      </w:pict>
    </w:r>
    <w:r>
      <w:rPr>
        <w:spacing w:val="-1"/>
        <w:sz w:val="18"/>
        <w:szCs w:val="18"/>
      </w:rPr>
      <w:t>江苏天健华辰资产评估有限公司</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8" style="width:418.75pt;height:0.5pt;margin-top:762.94pt;margin-left:84.98pt;mso-position-horizontal-relative:page;mso-position-vertical-relative:page;position:absolute;z-index:251675648" coordorigin="0,0" coordsize="8375,10" o:allowincell="f" path="m,9l8374,9l8374,l,l,9xe" filled="t" fillcolor="gray" stroked="f"/>
      </w:pict>
    </w:r>
    <w:r>
      <w:rPr>
        <w:spacing w:val="-1"/>
        <w:sz w:val="18"/>
        <w:szCs w:val="18"/>
      </w:rPr>
      <w:t>江苏天健华辰资产评估有限公司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71" style="width:418.75pt;height:0.5pt;margin-top:762.94pt;margin-left:84.98pt;mso-position-horizontal-relative:page;mso-position-vertical-relative:page;position:absolute;z-index:251676672" coordorigin="0,0" coordsize="8375,10" o:allowincell="f" path="m,9l8374,9l8374,l,l,9xe" filled="t" fillcolor="gray" stroked="f"/>
      </w:pict>
    </w:r>
    <w:r>
      <w:rPr>
        <w:spacing w:val="-1"/>
        <w:sz w:val="18"/>
        <w:szCs w:val="18"/>
      </w:rPr>
      <w:t>江苏天健华辰资产评估有限公司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3"/>
      <w:rPr>
        <w:sz w:val="18"/>
        <w:szCs w:val="18"/>
      </w:rPr>
    </w:pPr>
    <w:r>
      <w:pict>
        <v:shape id="_x0000_s2074" style="width:418.75pt;height:0.5pt;margin-top:762.94pt;margin-left:84.98pt;mso-position-horizontal-relative:page;mso-position-vertical-relative:page;position:absolute;z-index:251677696" coordorigin="0,0" coordsize="8375,10" o:allowincell="f" path="m,9l8374,9l8374,l,l,9xe" filled="t" fillcolor="gray" stroked="f"/>
      </w:pict>
    </w:r>
    <w:r>
      <w:rPr>
        <w:spacing w:val="-1"/>
        <w:sz w:val="18"/>
        <w:szCs w:val="18"/>
      </w:rPr>
      <w:t>江苏天健华辰资产评估有限公司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3"/>
      <w:rPr>
        <w:sz w:val="18"/>
        <w:szCs w:val="18"/>
      </w:rPr>
    </w:pPr>
    <w:r>
      <w:pict>
        <v:shape id="_x0000_s2077" style="width:418.75pt;height:0.5pt;margin-top:762.94pt;margin-left:84.98pt;mso-position-horizontal-relative:page;mso-position-vertical-relative:page;position:absolute;z-index:251678720" coordorigin="0,0" coordsize="8375,10" o:allowincell="f" path="m,9l8374,9l8374,l,l,9xe" filled="t" fillcolor="gray" stroked="f"/>
      </w:pict>
    </w:r>
    <w:r>
      <w:rPr>
        <w:spacing w:val="-1"/>
        <w:sz w:val="18"/>
        <w:szCs w:val="18"/>
      </w:rPr>
      <w:t>江苏天健华辰资产评估有限公司</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0" style="width:418.75pt;height:0.5pt;margin-top:762.94pt;margin-left:84.98pt;mso-position-horizontal-relative:page;mso-position-vertical-relative:page;position:absolute;z-index:251679744" coordorigin="0,0" coordsize="8375,10" o:allowincell="f" path="m,9l8374,9l8374,l,l,9xe" filled="t" fillcolor="gray" stroked="f"/>
      </w:pict>
    </w:r>
    <w:r>
      <w:rPr>
        <w:spacing w:val="-1"/>
        <w:sz w:val="18"/>
        <w:szCs w:val="18"/>
      </w:rPr>
      <w:t>江苏天健华辰资产评估有限公司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3" style="width:418.75pt;height:0.5pt;margin-top:762.94pt;margin-left:84.98pt;mso-position-horizontal-relative:page;mso-position-vertical-relative:page;position:absolute;z-index:251680768" coordorigin="0,0" coordsize="8375,10" o:allowincell="f" path="m,9l8374,9l8374,l,l,9xe" filled="t" fillcolor="gray" stroked="f"/>
      </w:pict>
    </w:r>
    <w:r>
      <w:rPr>
        <w:spacing w:val="-1"/>
        <w:sz w:val="18"/>
        <w:szCs w:val="18"/>
      </w:rPr>
      <w:t>江苏天健华辰资产评估有限公司</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7" w:line="209" w:lineRule="auto"/>
      <w:ind w:left="29"/>
      <w:rPr>
        <w:sz w:val="21"/>
        <w:szCs w:val="21"/>
      </w:rPr>
    </w:pPr>
    <w:r>
      <w:drawing>
        <wp:anchor distT="0" distB="0" distL="0" distR="0" simplePos="0" relativeHeight="251681792" behindDoc="0" locked="0" layoutInCell="0" allowOverlap="1">
          <wp:simplePos x="0" y="0"/>
          <wp:positionH relativeFrom="page">
            <wp:posOffset>1060479</wp:posOffset>
          </wp:positionH>
          <wp:positionV relativeFrom="page">
            <wp:posOffset>9683729</wp:posOffset>
          </wp:positionV>
          <wp:extent cx="5340329" cy="641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340329" cy="6416"/>
                  </a:xfrm>
                  <a:prstGeom prst="rect">
                    <a:avLst/>
                  </a:prstGeom>
                </pic:spPr>
              </pic:pic>
            </a:graphicData>
          </a:graphic>
        </wp:anchor>
      </w:drawing>
    </w:r>
    <w:r>
      <w:rPr>
        <w:spacing w:val="-19"/>
        <w:w w:val="95"/>
        <w:sz w:val="21"/>
        <w:szCs w:val="21"/>
      </w:rPr>
      <w:t>江苏天健华辰资产评估有限公司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7" w:line="209" w:lineRule="auto"/>
      <w:ind w:left="29"/>
      <w:rPr>
        <w:sz w:val="21"/>
        <w:szCs w:val="21"/>
      </w:rPr>
    </w:pPr>
    <w:r>
      <w:drawing>
        <wp:anchor distT="0" distB="0" distL="0" distR="0" simplePos="0" relativeHeight="251682816" behindDoc="0" locked="0" layoutInCell="0" allowOverlap="1">
          <wp:simplePos x="0" y="0"/>
          <wp:positionH relativeFrom="page">
            <wp:posOffset>1060479</wp:posOffset>
          </wp:positionH>
          <wp:positionV relativeFrom="page">
            <wp:posOffset>9683729</wp:posOffset>
          </wp:positionV>
          <wp:extent cx="5340329" cy="6416"/>
          <wp:effectExtent l="0" t="0" r="0" b="0"/>
          <wp:wrapNone/>
          <wp:docPr id="2142530530" name="IM 4"/>
          <wp:cNvGraphicFramePr/>
          <a:graphic xmlns:a="http://schemas.openxmlformats.org/drawingml/2006/main">
            <a:graphicData uri="http://schemas.openxmlformats.org/drawingml/2006/picture">
              <pic:pic xmlns:pic="http://schemas.openxmlformats.org/drawingml/2006/picture">
                <pic:nvPicPr>
                  <pic:cNvPr id="2142530530" name="IM 4"/>
                  <pic:cNvPicPr/>
                </pic:nvPicPr>
                <pic:blipFill>
                  <a:blip xmlns:r="http://schemas.openxmlformats.org/officeDocument/2006/relationships" r:embed="rId1"/>
                  <a:stretch>
                    <a:fillRect/>
                  </a:stretch>
                </pic:blipFill>
                <pic:spPr>
                  <a:xfrm>
                    <a:off x="0" y="0"/>
                    <a:ext cx="5340329" cy="6416"/>
                  </a:xfrm>
                  <a:prstGeom prst="rect">
                    <a:avLst/>
                  </a:prstGeom>
                </pic:spPr>
              </pic:pic>
            </a:graphicData>
          </a:graphic>
        </wp:anchor>
      </w:drawing>
    </w:r>
    <w:r>
      <w:rPr>
        <w:spacing w:val="-19"/>
        <w:w w:val="95"/>
        <w:sz w:val="21"/>
        <w:szCs w:val="21"/>
      </w:rPr>
      <w:t>江苏天健华辰资产评估有限公司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6" style="width:418.75pt;height:0.5pt;margin-top:762.94pt;margin-left:84.98pt;mso-position-horizontal-relative:page;mso-position-vertical-relative:page;position:absolute;z-index:251683840" coordorigin="0,0" coordsize="8375,10" o:allowincell="f" path="m,9l8374,9l8374,l,l,9xe" filled="t" fillcolor="gray" stroked="f"/>
      </w:pict>
    </w:r>
    <w:r>
      <w:rPr>
        <w:spacing w:val="-1"/>
        <w:sz w:val="18"/>
        <w:szCs w:val="18"/>
      </w:rPr>
      <w:t>江苏天健华辰资产评估有限公司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9" style="width:418.75pt;height:0.5pt;margin-top:762.94pt;margin-left:84.98pt;mso-position-horizontal-relative:page;mso-position-vertical-relative:page;position:absolute;z-index:251684864" coordorigin="0,0" coordsize="8375,10" o:allowincell="f" path="m,9l8374,9l8374,l,l,9xe" filled="t" fillcolor="gray" stroked="f"/>
      </w:pict>
    </w:r>
    <w:r>
      <w:rPr>
        <w:spacing w:val="-1"/>
        <w:sz w:val="18"/>
        <w:szCs w:val="18"/>
      </w:rPr>
      <w:t>江苏天健华辰资产评估有限公司</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92" style="width:418.75pt;height:0.5pt;margin-top:762.94pt;margin-left:84.98pt;mso-position-horizontal-relative:page;mso-position-vertical-relative:page;position:absolute;z-index:251685888" coordorigin="0,0" coordsize="8375,10" o:allowincell="f" path="m,9l8374,9l8374,l,l,9xe" filled="t" fillcolor="gray" stroked="f"/>
      </w:pict>
    </w:r>
    <w:r>
      <w:rPr>
        <w:spacing w:val="-1"/>
        <w:sz w:val="18"/>
        <w:szCs w:val="18"/>
      </w:rPr>
      <w:t>江苏天健华辰资产评估有限公司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95" style="width:418.75pt;height:0.5pt;margin-top:762.94pt;margin-left:84.98pt;mso-position-horizontal-relative:page;mso-position-vertical-relative:page;position:absolute;z-index:251686912" coordorigin="0,0" coordsize="8375,10" o:allowincell="f" path="m,9l8374,9l8374,l,l,9xe" filled="t" fillcolor="gray" stroked="f"/>
      </w:pict>
    </w:r>
    <w:r>
      <w:rPr>
        <w:spacing w:val="-1"/>
        <w:sz w:val="18"/>
        <w:szCs w:val="18"/>
      </w:rPr>
      <w:t>江苏天健华辰资产评估有限公司</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098" style="width:418.75pt;height:0.5pt;margin-top:762.94pt;margin-left:84.98pt;mso-position-horizontal-relative:page;mso-position-vertical-relative:page;position:absolute;z-index:251687936" coordorigin="0,0" coordsize="8375,10" o:allowincell="f" path="m,9l8374,9l8374,l,l,9xe" filled="t" fillcolor="gray" stroked="f"/>
      </w:pict>
    </w:r>
    <w:r>
      <w:rPr>
        <w:spacing w:val="-1"/>
        <w:sz w:val="18"/>
        <w:szCs w:val="18"/>
      </w:rPr>
      <w:t>江苏天健华辰资产评估有限公司</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101" style="width:418.75pt;height:0.5pt;margin-top:762.94pt;margin-left:84.98pt;mso-position-horizontal-relative:page;mso-position-vertical-relative:page;position:absolute;z-index:251688960" coordorigin="0,0" coordsize="8375,10" o:allowincell="f" path="m,9l8374,9l8374,l,l,9xe" filled="t" fillcolor="gray" stroked="f"/>
      </w:pict>
    </w:r>
    <w:r>
      <w:rPr>
        <w:spacing w:val="-1"/>
        <w:sz w:val="18"/>
        <w:szCs w:val="18"/>
      </w:rPr>
      <w:t>江苏天健华辰资产评估有限公司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6" w:line="208" w:lineRule="auto"/>
      <w:ind w:left="230"/>
      <w:rPr>
        <w:sz w:val="19"/>
        <w:szCs w:val="19"/>
      </w:rPr>
    </w:pPr>
    <w:r>
      <w:drawing>
        <wp:anchor distT="0" distB="0" distL="0" distR="0" simplePos="0" relativeHeight="251689984" behindDoc="0" locked="0" layoutInCell="0" allowOverlap="1">
          <wp:simplePos x="0" y="0"/>
          <wp:positionH relativeFrom="page">
            <wp:posOffset>1060479</wp:posOffset>
          </wp:positionH>
          <wp:positionV relativeFrom="page">
            <wp:posOffset>9683729</wp:posOffset>
          </wp:positionV>
          <wp:extent cx="5346677" cy="641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346677" cy="6416"/>
                  </a:xfrm>
                  <a:prstGeom prst="rect">
                    <a:avLst/>
                  </a:prstGeom>
                </pic:spPr>
              </pic:pic>
            </a:graphicData>
          </a:graphic>
        </wp:anchor>
      </w:drawing>
    </w:r>
    <w:r>
      <w:rPr>
        <w:spacing w:val="-9"/>
        <w:sz w:val="19"/>
        <w:szCs w:val="19"/>
      </w:rPr>
      <w:t>江苏天健华辰资产评估有限公司</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6" w:line="208" w:lineRule="auto"/>
      <w:ind w:left="230"/>
      <w:rPr>
        <w:sz w:val="19"/>
        <w:szCs w:val="19"/>
      </w:rPr>
    </w:pPr>
    <w:r>
      <w:drawing>
        <wp:anchor distT="0" distB="0" distL="0" distR="0" simplePos="0" relativeHeight="251691008" behindDoc="0" locked="0" layoutInCell="0" allowOverlap="1">
          <wp:simplePos x="0" y="0"/>
          <wp:positionH relativeFrom="page">
            <wp:posOffset>1060479</wp:posOffset>
          </wp:positionH>
          <wp:positionV relativeFrom="page">
            <wp:posOffset>9683729</wp:posOffset>
          </wp:positionV>
          <wp:extent cx="5346677" cy="6416"/>
          <wp:effectExtent l="0" t="0" r="0" b="0"/>
          <wp:wrapNone/>
          <wp:docPr id="1734725712" name="IM 6"/>
          <wp:cNvGraphicFramePr/>
          <a:graphic xmlns:a="http://schemas.openxmlformats.org/drawingml/2006/main">
            <a:graphicData uri="http://schemas.openxmlformats.org/drawingml/2006/picture">
              <pic:pic xmlns:pic="http://schemas.openxmlformats.org/drawingml/2006/picture">
                <pic:nvPicPr>
                  <pic:cNvPr id="1734725712" name="IM 6"/>
                  <pic:cNvPicPr/>
                </pic:nvPicPr>
                <pic:blipFill>
                  <a:blip xmlns:r="http://schemas.openxmlformats.org/officeDocument/2006/relationships" r:embed="rId1"/>
                  <a:stretch>
                    <a:fillRect/>
                  </a:stretch>
                </pic:blipFill>
                <pic:spPr>
                  <a:xfrm>
                    <a:off x="0" y="0"/>
                    <a:ext cx="5346677" cy="6416"/>
                  </a:xfrm>
                  <a:prstGeom prst="rect">
                    <a:avLst/>
                  </a:prstGeom>
                </pic:spPr>
              </pic:pic>
            </a:graphicData>
          </a:graphic>
        </wp:anchor>
      </w:drawing>
    </w:r>
    <w:r>
      <w:rPr>
        <w:spacing w:val="-9"/>
        <w:sz w:val="19"/>
        <w:szCs w:val="19"/>
      </w:rPr>
      <w:t>江苏天健华辰资产评估有限公司</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6" w:line="208" w:lineRule="auto"/>
      <w:ind w:left="230"/>
      <w:rPr>
        <w:sz w:val="19"/>
        <w:szCs w:val="19"/>
      </w:rPr>
    </w:pPr>
    <w:r>
      <w:drawing>
        <wp:anchor distT="0" distB="0" distL="0" distR="0" simplePos="0" relativeHeight="251692032" behindDoc="0" locked="0" layoutInCell="0" allowOverlap="1">
          <wp:simplePos x="0" y="0"/>
          <wp:positionH relativeFrom="page">
            <wp:posOffset>1060479</wp:posOffset>
          </wp:positionH>
          <wp:positionV relativeFrom="page">
            <wp:posOffset>9683729</wp:posOffset>
          </wp:positionV>
          <wp:extent cx="5346677" cy="6416"/>
          <wp:effectExtent l="0" t="0" r="0" b="0"/>
          <wp:wrapNone/>
          <wp:docPr id="1275406962" name="IM 6"/>
          <wp:cNvGraphicFramePr/>
          <a:graphic xmlns:a="http://schemas.openxmlformats.org/drawingml/2006/main">
            <a:graphicData uri="http://schemas.openxmlformats.org/drawingml/2006/picture">
              <pic:pic xmlns:pic="http://schemas.openxmlformats.org/drawingml/2006/picture">
                <pic:nvPicPr>
                  <pic:cNvPr id="1275406962" name="IM 6"/>
                  <pic:cNvPicPr/>
                </pic:nvPicPr>
                <pic:blipFill>
                  <a:blip xmlns:r="http://schemas.openxmlformats.org/officeDocument/2006/relationships" r:embed="rId1"/>
                  <a:stretch>
                    <a:fillRect/>
                  </a:stretch>
                </pic:blipFill>
                <pic:spPr>
                  <a:xfrm>
                    <a:off x="0" y="0"/>
                    <a:ext cx="5346677" cy="6416"/>
                  </a:xfrm>
                  <a:prstGeom prst="rect">
                    <a:avLst/>
                  </a:prstGeom>
                </pic:spPr>
              </pic:pic>
            </a:graphicData>
          </a:graphic>
        </wp:anchor>
      </w:drawing>
    </w:r>
    <w:r>
      <w:rPr>
        <w:spacing w:val="-9"/>
        <w:sz w:val="19"/>
        <w:szCs w:val="19"/>
      </w:rPr>
      <w:t>江苏天健华辰资产评估有限公司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6" w:line="208" w:lineRule="auto"/>
      <w:ind w:left="230"/>
      <w:rPr>
        <w:sz w:val="19"/>
        <w:szCs w:val="19"/>
      </w:rPr>
    </w:pPr>
    <w:r>
      <w:drawing>
        <wp:anchor distT="0" distB="0" distL="0" distR="0" simplePos="0" relativeHeight="251693056" behindDoc="0" locked="0" layoutInCell="0" allowOverlap="1">
          <wp:simplePos x="0" y="0"/>
          <wp:positionH relativeFrom="page">
            <wp:posOffset>1060479</wp:posOffset>
          </wp:positionH>
          <wp:positionV relativeFrom="page">
            <wp:posOffset>9683729</wp:posOffset>
          </wp:positionV>
          <wp:extent cx="5346677" cy="6416"/>
          <wp:effectExtent l="0" t="0" r="0" b="0"/>
          <wp:wrapNone/>
          <wp:docPr id="74934580" name="IM 6"/>
          <wp:cNvGraphicFramePr/>
          <a:graphic xmlns:a="http://schemas.openxmlformats.org/drawingml/2006/main">
            <a:graphicData uri="http://schemas.openxmlformats.org/drawingml/2006/picture">
              <pic:pic xmlns:pic="http://schemas.openxmlformats.org/drawingml/2006/picture">
                <pic:nvPicPr>
                  <pic:cNvPr id="74934580" name="IM 6"/>
                  <pic:cNvPicPr/>
                </pic:nvPicPr>
                <pic:blipFill>
                  <a:blip xmlns:r="http://schemas.openxmlformats.org/officeDocument/2006/relationships" r:embed="rId1"/>
                  <a:stretch>
                    <a:fillRect/>
                  </a:stretch>
                </pic:blipFill>
                <pic:spPr>
                  <a:xfrm>
                    <a:off x="0" y="0"/>
                    <a:ext cx="5346677" cy="6416"/>
                  </a:xfrm>
                  <a:prstGeom prst="rect">
                    <a:avLst/>
                  </a:prstGeom>
                </pic:spPr>
              </pic:pic>
            </a:graphicData>
          </a:graphic>
        </wp:anchor>
      </w:drawing>
    </w:r>
    <w:r>
      <w:rPr>
        <w:spacing w:val="-9"/>
        <w:sz w:val="19"/>
        <w:szCs w:val="19"/>
      </w:rPr>
      <w:t>江苏天健华辰资产评估有限公司</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04" style="width:418.75pt;height:0.5pt;margin-top:762.94pt;margin-left:84.98pt;mso-position-horizontal-relative:page;mso-position-vertical-relative:page;position:absolute;z-index:251694080" coordorigin="0,0" coordsize="8375,10" o:allowincell="f" path="m,9l8374,9l8374,l,l,9xe" filled="t" fillcolor="gray" stroked="f"/>
      </w:pict>
    </w:r>
    <w:r>
      <w:rPr>
        <w:spacing w:val="-1"/>
        <w:sz w:val="18"/>
        <w:szCs w:val="18"/>
      </w:rPr>
      <w:t>江苏天健华辰资产评估有限公司</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07" style="width:418.75pt;height:0.5pt;margin-top:762.94pt;margin-left:84.98pt;mso-position-horizontal-relative:page;mso-position-vertical-relative:page;position:absolute;z-index:251695104" coordorigin="0,0" coordsize="8375,10" o:allowincell="f" path="m,9l8374,9l8374,l,l,9xe" filled="t" fillcolor="gray" stroked="f"/>
      </w:pict>
    </w:r>
    <w:r>
      <w:rPr>
        <w:spacing w:val="-1"/>
        <w:sz w:val="18"/>
        <w:szCs w:val="18"/>
      </w:rPr>
      <w:t>江苏天健华辰资产评估有限公司</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0" style="width:418.75pt;height:0.5pt;margin-top:762.94pt;margin-left:84.98pt;mso-position-horizontal-relative:page;mso-position-vertical-relative:page;position:absolute;z-index:251696128" coordorigin="0,0" coordsize="8375,10" o:allowincell="f" path="m,9l8374,9l8374,l,l,9xe" filled="t" fillcolor="gray" stroked="f"/>
      </w:pict>
    </w:r>
    <w:r>
      <w:rPr>
        <w:spacing w:val="-1"/>
        <w:sz w:val="18"/>
        <w:szCs w:val="18"/>
      </w:rPr>
      <w:t>江苏天健华辰资产评估有限公司</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3" style="width:418.75pt;height:0.5pt;margin-top:762.94pt;margin-left:84.98pt;mso-position-horizontal-relative:page;mso-position-vertical-relative:page;position:absolute;z-index:251697152" coordorigin="0,0" coordsize="8375,10" o:allowincell="f" path="m,9l8374,9l8374,l,l,9xe" filled="t" fillcolor="gray" stroked="f"/>
      </w:pict>
    </w:r>
    <w:r>
      <w:rPr>
        <w:spacing w:val="-1"/>
        <w:sz w:val="18"/>
        <w:szCs w:val="18"/>
      </w:rPr>
      <w:t>江苏天健华辰资产评估有限公司</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6" style="width:418.75pt;height:0.5pt;margin-top:762.94pt;margin-left:84.98pt;mso-position-horizontal-relative:page;mso-position-vertical-relative:page;position:absolute;z-index:251698176" coordorigin="0,0" coordsize="8375,10" o:allowincell="f" path="m,9l8374,9l8374,l,l,9xe" filled="t" fillcolor="gray" stroked="f"/>
      </w:pict>
    </w:r>
    <w:r>
      <w:rPr>
        <w:spacing w:val="-1"/>
        <w:sz w:val="18"/>
        <w:szCs w:val="18"/>
      </w:rPr>
      <w:t>江苏天健华辰资产评估有限公司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
      <w:rPr>
        <w:sz w:val="18"/>
        <w:szCs w:val="18"/>
      </w:rPr>
    </w:pPr>
    <w:r>
      <w:rPr>
        <w:spacing w:val="-19"/>
        <w:sz w:val="18"/>
        <w:szCs w:val="18"/>
        <w:u w:val="single" w:color="auto"/>
      </w:rPr>
      <w:t>目录</w:t>
    </w:r>
    <w:r>
      <w:rPr>
        <w:sz w:val="18"/>
        <w:szCs w:val="18"/>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亚玛顿拟发行股份及支付现金购买凤阳硅谷股权项目资产评估报告                              第</w:t>
    </w:r>
    <w:r>
      <w:rPr>
        <w:spacing w:val="-16"/>
        <w:sz w:val="18"/>
        <w:szCs w:val="18"/>
        <w:u w:val="single" w:color="auto"/>
      </w:rPr>
      <w:t xml:space="preserve"> </w:t>
    </w:r>
    <w:r>
      <w:rPr>
        <w:sz w:val="18"/>
        <w:szCs w:val="18"/>
        <w:u w:val="single" w:color="auto"/>
      </w:rPr>
      <w:t>1</w:t>
    </w:r>
    <w:r>
      <w:rPr>
        <w:spacing w:val="-35"/>
        <w:sz w:val="18"/>
        <w:szCs w:val="18"/>
        <w:u w:val="single" w:color="auto"/>
      </w:rPr>
      <w:t xml:space="preserve"> </w:t>
    </w:r>
    <w:r>
      <w:rPr>
        <w:sz w:val="18"/>
        <w:szCs w:val="18"/>
        <w:u w:val="single" w:color="auto"/>
      </w:rPr>
      <w:t>页</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亚玛顿拟发行股份及支付现金购买凤阳硅谷股权项目资产评估报告                              第</w:t>
    </w:r>
    <w:r>
      <w:rPr>
        <w:spacing w:val="-16"/>
        <w:sz w:val="18"/>
        <w:szCs w:val="18"/>
        <w:u w:val="single" w:color="auto"/>
      </w:rPr>
      <w:t xml:space="preserve"> </w:t>
    </w:r>
    <w:r>
      <w:rPr>
        <w:sz w:val="18"/>
        <w:szCs w:val="18"/>
        <w:u w:val="single" w:color="auto"/>
      </w:rPr>
      <w:t>1</w:t>
    </w:r>
    <w:r>
      <w:rPr>
        <w:spacing w:val="-35"/>
        <w:sz w:val="18"/>
        <w:szCs w:val="18"/>
        <w:u w:val="single" w:color="auto"/>
      </w:rPr>
      <w:t xml:space="preserve"> </w:t>
    </w:r>
    <w:r>
      <w:rPr>
        <w:sz w:val="18"/>
        <w:szCs w:val="18"/>
        <w:u w:val="single" w:color="auto"/>
      </w:rPr>
      <w:t>页</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7"/>
        <w:sz w:val="18"/>
        <w:szCs w:val="18"/>
        <w:u w:val="single" w:color="auto"/>
      </w:rPr>
      <w:t xml:space="preserve"> </w:t>
    </w:r>
    <w:r>
      <w:rPr>
        <w:spacing w:val="-1"/>
        <w:sz w:val="18"/>
        <w:szCs w:val="18"/>
        <w:u w:val="single" w:color="auto"/>
      </w:rPr>
      <w:t>2</w:t>
    </w:r>
    <w:r>
      <w:rPr>
        <w:spacing w:val="-35"/>
        <w:sz w:val="18"/>
        <w:szCs w:val="18"/>
        <w:u w:val="single" w:color="auto"/>
      </w:rPr>
      <w:t xml:space="preserve"> </w:t>
    </w:r>
    <w:r>
      <w:rPr>
        <w:spacing w:val="-1"/>
        <w:sz w:val="18"/>
        <w:szCs w:val="18"/>
        <w:u w:val="single" w:color="auto"/>
      </w:rPr>
      <w:t>页</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亚玛顿拟发行股份及支付现金购买凤阳硅谷股</w:t>
    </w:r>
    <w:r>
      <w:rPr>
        <w:sz w:val="18"/>
        <w:szCs w:val="18"/>
        <w:u w:val="single" w:color="auto"/>
      </w:rPr>
      <w:t>权项目资产评估报告                              第</w:t>
    </w:r>
    <w:r>
      <w:rPr>
        <w:spacing w:val="-36"/>
        <w:sz w:val="18"/>
        <w:szCs w:val="18"/>
        <w:u w:val="single" w:color="auto"/>
      </w:rPr>
      <w:t xml:space="preserve"> </w:t>
    </w:r>
    <w:r>
      <w:rPr>
        <w:sz w:val="18"/>
        <w:szCs w:val="18"/>
        <w:u w:val="single" w:color="auto"/>
      </w:rPr>
      <w:t>3</w:t>
    </w:r>
    <w:r>
      <w:rPr>
        <w:spacing w:val="-35"/>
        <w:sz w:val="18"/>
        <w:szCs w:val="18"/>
        <w:u w:val="single" w:color="auto"/>
      </w:rPr>
      <w:t xml:space="preserve"> </w:t>
    </w:r>
    <w:r>
      <w:rPr>
        <w:sz w:val="18"/>
        <w:szCs w:val="18"/>
        <w:u w:val="single" w:color="auto"/>
      </w:rPr>
      <w:t>页</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亚玛顿拟发行股份及支付现金购买凤阳硅谷股</w:t>
    </w:r>
    <w:r>
      <w:rPr>
        <w:sz w:val="18"/>
        <w:szCs w:val="18"/>
        <w:u w:val="single" w:color="auto"/>
      </w:rPr>
      <w:t>权项目资产评估报告                              第</w:t>
    </w:r>
    <w:r>
      <w:rPr>
        <w:spacing w:val="-36"/>
        <w:sz w:val="18"/>
        <w:szCs w:val="18"/>
        <w:u w:val="single" w:color="auto"/>
      </w:rPr>
      <w:t xml:space="preserve"> </w:t>
    </w:r>
    <w:r>
      <w:rPr>
        <w:sz w:val="18"/>
        <w:szCs w:val="18"/>
        <w:u w:val="single" w:color="auto"/>
      </w:rPr>
      <w:t>3</w:t>
    </w:r>
    <w:r>
      <w:rPr>
        <w:spacing w:val="-35"/>
        <w:sz w:val="18"/>
        <w:szCs w:val="18"/>
        <w:u w:val="single" w:color="auto"/>
      </w:rPr>
      <w:t xml:space="preserve"> </w:t>
    </w:r>
    <w:r>
      <w:rPr>
        <w:sz w:val="18"/>
        <w:szCs w:val="18"/>
        <w:u w:val="single" w:color="auto"/>
      </w:rPr>
      <w:t>页</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3"/>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41"/>
        <w:sz w:val="18"/>
        <w:szCs w:val="18"/>
        <w:u w:val="single" w:color="auto"/>
      </w:rPr>
      <w:t xml:space="preserve"> </w:t>
    </w:r>
    <w:r>
      <w:rPr>
        <w:sz w:val="18"/>
        <w:szCs w:val="18"/>
        <w:u w:val="single" w:color="auto"/>
      </w:rPr>
      <w:t>4</w:t>
    </w:r>
    <w:r>
      <w:rPr>
        <w:spacing w:val="-35"/>
        <w:sz w:val="18"/>
        <w:szCs w:val="18"/>
        <w:u w:val="single" w:color="auto"/>
      </w:rPr>
      <w:t xml:space="preserve"> </w:t>
    </w:r>
    <w:r>
      <w:rPr>
        <w:sz w:val="18"/>
        <w:szCs w:val="18"/>
        <w:u w:val="single" w:color="auto"/>
      </w:rPr>
      <w:t>页</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3"/>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41"/>
        <w:sz w:val="18"/>
        <w:szCs w:val="18"/>
        <w:u w:val="single" w:color="auto"/>
      </w:rPr>
      <w:t xml:space="preserve"> </w:t>
    </w:r>
    <w:r>
      <w:rPr>
        <w:sz w:val="18"/>
        <w:szCs w:val="18"/>
        <w:u w:val="single" w:color="auto"/>
      </w:rPr>
      <w:t>4</w:t>
    </w:r>
    <w:r>
      <w:rPr>
        <w:spacing w:val="-35"/>
        <w:sz w:val="18"/>
        <w:szCs w:val="18"/>
        <w:u w:val="single" w:color="auto"/>
      </w:rPr>
      <w:t xml:space="preserve"> </w:t>
    </w:r>
    <w:r>
      <w:rPr>
        <w:sz w:val="18"/>
        <w:szCs w:val="18"/>
        <w:u w:val="single" w:color="auto"/>
      </w:rPr>
      <w:t>页</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6"/>
        <w:sz w:val="18"/>
        <w:szCs w:val="18"/>
        <w:u w:val="single" w:color="auto"/>
      </w:rPr>
      <w:t xml:space="preserve"> </w:t>
    </w:r>
    <w:r>
      <w:rPr>
        <w:spacing w:val="-1"/>
        <w:sz w:val="18"/>
        <w:szCs w:val="18"/>
        <w:u w:val="single" w:color="auto"/>
      </w:rPr>
      <w:t>5</w:t>
    </w:r>
    <w:r>
      <w:rPr>
        <w:spacing w:val="-35"/>
        <w:sz w:val="18"/>
        <w:szCs w:val="18"/>
        <w:u w:val="single" w:color="auto"/>
      </w:rPr>
      <w:t xml:space="preserve"> </w:t>
    </w:r>
    <w:r>
      <w:rPr>
        <w:spacing w:val="-1"/>
        <w:sz w:val="18"/>
        <w:szCs w:val="18"/>
        <w:u w:val="single" w:color="auto"/>
      </w:rPr>
      <w:t>页</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6"/>
        <w:sz w:val="18"/>
        <w:szCs w:val="18"/>
        <w:u w:val="single" w:color="auto"/>
      </w:rPr>
      <w:t xml:space="preserve"> </w:t>
    </w:r>
    <w:r>
      <w:rPr>
        <w:spacing w:val="-1"/>
        <w:sz w:val="18"/>
        <w:szCs w:val="18"/>
        <w:u w:val="single" w:color="auto"/>
      </w:rPr>
      <w:t>5</w:t>
    </w:r>
    <w:r>
      <w:rPr>
        <w:spacing w:val="-35"/>
        <w:sz w:val="18"/>
        <w:szCs w:val="18"/>
        <w:u w:val="single" w:color="auto"/>
      </w:rPr>
      <w:t xml:space="preserve"> </w:t>
    </w:r>
    <w:r>
      <w:rPr>
        <w:spacing w:val="-1"/>
        <w:sz w:val="18"/>
        <w:szCs w:val="18"/>
        <w:u w:val="single" w:color="auto"/>
      </w:rPr>
      <w:t>页</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8"/>
        <w:sz w:val="18"/>
        <w:szCs w:val="18"/>
        <w:u w:val="single" w:color="auto"/>
      </w:rPr>
      <w:t xml:space="preserve"> </w:t>
    </w:r>
    <w:r>
      <w:rPr>
        <w:spacing w:val="-1"/>
        <w:sz w:val="18"/>
        <w:szCs w:val="18"/>
        <w:u w:val="single" w:color="auto"/>
      </w:rPr>
      <w:t>6</w:t>
    </w:r>
    <w:r>
      <w:rPr>
        <w:spacing w:val="-35"/>
        <w:sz w:val="18"/>
        <w:szCs w:val="18"/>
        <w:u w:val="single" w:color="auto"/>
      </w:rPr>
      <w:t xml:space="preserve"> </w:t>
    </w:r>
    <w:r>
      <w:rPr>
        <w:spacing w:val="-1"/>
        <w:sz w:val="18"/>
        <w:szCs w:val="18"/>
        <w:u w:val="single" w:color="auto"/>
      </w:rPr>
      <w:t>页</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w:t>
    </w:r>
    <w:r>
      <w:rPr>
        <w:sz w:val="18"/>
        <w:szCs w:val="18"/>
        <w:u w:val="single" w:color="auto"/>
      </w:rPr>
      <w:t>股权项目资产评估报告                              第</w:t>
    </w:r>
    <w:r>
      <w:rPr>
        <w:spacing w:val="-35"/>
        <w:sz w:val="18"/>
        <w:szCs w:val="18"/>
        <w:u w:val="single" w:color="auto"/>
      </w:rPr>
      <w:t xml:space="preserve"> </w:t>
    </w:r>
    <w:r>
      <w:rPr>
        <w:sz w:val="18"/>
        <w:szCs w:val="18"/>
        <w:u w:val="single" w:color="auto"/>
      </w:rPr>
      <w:t>7</w:t>
    </w:r>
    <w:r>
      <w:rPr>
        <w:spacing w:val="-35"/>
        <w:sz w:val="18"/>
        <w:szCs w:val="18"/>
        <w:u w:val="single" w:color="auto"/>
      </w:rPr>
      <w:t xml:space="preserve"> </w:t>
    </w:r>
    <w:r>
      <w:rPr>
        <w:sz w:val="18"/>
        <w:szCs w:val="18"/>
        <w:u w:val="single" w:color="auto"/>
      </w:rPr>
      <w:t>页</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w:t>
    </w:r>
    <w:r>
      <w:rPr>
        <w:sz w:val="18"/>
        <w:szCs w:val="18"/>
        <w:u w:val="single" w:color="auto"/>
      </w:rPr>
      <w:t>股权项目资产评估报告                              第</w:t>
    </w:r>
    <w:r>
      <w:rPr>
        <w:spacing w:val="-35"/>
        <w:sz w:val="18"/>
        <w:szCs w:val="18"/>
        <w:u w:val="single" w:color="auto"/>
      </w:rPr>
      <w:t xml:space="preserve"> </w:t>
    </w:r>
    <w:r>
      <w:rPr>
        <w:sz w:val="18"/>
        <w:szCs w:val="18"/>
        <w:u w:val="single" w:color="auto"/>
      </w:rPr>
      <w:t>7</w:t>
    </w:r>
    <w:r>
      <w:rPr>
        <w:spacing w:val="-35"/>
        <w:sz w:val="18"/>
        <w:szCs w:val="18"/>
        <w:u w:val="single" w:color="auto"/>
      </w:rPr>
      <w:t xml:space="preserve"> </w:t>
    </w:r>
    <w:r>
      <w:rPr>
        <w:sz w:val="18"/>
        <w:szCs w:val="18"/>
        <w:u w:val="single" w:color="auto"/>
      </w:rPr>
      <w:t>页</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39"/>
        <w:sz w:val="18"/>
        <w:szCs w:val="18"/>
        <w:u w:val="single" w:color="auto"/>
      </w:rPr>
      <w:t xml:space="preserve"> </w:t>
    </w:r>
    <w:r>
      <w:rPr>
        <w:sz w:val="18"/>
        <w:szCs w:val="18"/>
        <w:u w:val="single" w:color="auto"/>
      </w:rPr>
      <w:t>8</w:t>
    </w:r>
    <w:r>
      <w:rPr>
        <w:spacing w:val="-35"/>
        <w:sz w:val="18"/>
        <w:szCs w:val="18"/>
        <w:u w:val="single" w:color="auto"/>
      </w:rPr>
      <w:t xml:space="preserve"> </w:t>
    </w:r>
    <w:r>
      <w:rPr>
        <w:sz w:val="18"/>
        <w:szCs w:val="18"/>
        <w:u w:val="single" w:color="auto"/>
      </w:rPr>
      <w:t>页</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39"/>
        <w:sz w:val="18"/>
        <w:szCs w:val="18"/>
        <w:u w:val="single" w:color="auto"/>
      </w:rPr>
      <w:t xml:space="preserve"> </w:t>
    </w:r>
    <w:r>
      <w:rPr>
        <w:sz w:val="18"/>
        <w:szCs w:val="18"/>
        <w:u w:val="single" w:color="auto"/>
      </w:rPr>
      <w:t>8</w:t>
    </w:r>
    <w:r>
      <w:rPr>
        <w:spacing w:val="-35"/>
        <w:sz w:val="18"/>
        <w:szCs w:val="18"/>
        <w:u w:val="single" w:color="auto"/>
      </w:rPr>
      <w:t xml:space="preserve"> </w:t>
    </w:r>
    <w:r>
      <w:rPr>
        <w:sz w:val="18"/>
        <w:szCs w:val="18"/>
        <w:u w:val="single" w:color="auto"/>
      </w:rPr>
      <w:t>页</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9"/>
        <w:sz w:val="18"/>
        <w:szCs w:val="18"/>
        <w:u w:val="single" w:color="auto"/>
      </w:rPr>
      <w:t xml:space="preserve"> </w:t>
    </w:r>
    <w:r>
      <w:rPr>
        <w:spacing w:val="-1"/>
        <w:sz w:val="18"/>
        <w:szCs w:val="18"/>
        <w:u w:val="single" w:color="auto"/>
      </w:rPr>
      <w:t>9</w:t>
    </w:r>
    <w:r>
      <w:rPr>
        <w:spacing w:val="-35"/>
        <w:sz w:val="18"/>
        <w:szCs w:val="18"/>
        <w:u w:val="single" w:color="auto"/>
      </w:rPr>
      <w:t xml:space="preserve"> </w:t>
    </w:r>
    <w:r>
      <w:rPr>
        <w:spacing w:val="-1"/>
        <w:sz w:val="18"/>
        <w:szCs w:val="18"/>
        <w:u w:val="single" w:color="auto"/>
      </w:rPr>
      <w:t>页</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9"/>
        <w:sz w:val="18"/>
        <w:szCs w:val="18"/>
        <w:u w:val="single" w:color="auto"/>
      </w:rPr>
      <w:t xml:space="preserve"> </w:t>
    </w:r>
    <w:r>
      <w:rPr>
        <w:spacing w:val="-1"/>
        <w:sz w:val="18"/>
        <w:szCs w:val="18"/>
        <w:u w:val="single" w:color="auto"/>
      </w:rPr>
      <w:t>9</w:t>
    </w:r>
    <w:r>
      <w:rPr>
        <w:spacing w:val="-35"/>
        <w:sz w:val="18"/>
        <w:szCs w:val="18"/>
        <w:u w:val="single" w:color="auto"/>
      </w:rPr>
      <w:t xml:space="preserve"> </w:t>
    </w:r>
    <w:r>
      <w:rPr>
        <w:spacing w:val="-1"/>
        <w:sz w:val="18"/>
        <w:szCs w:val="18"/>
        <w:u w:val="single" w:color="auto"/>
      </w:rPr>
      <w:t>页</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109"/>
      <w:rPr>
        <w:sz w:val="18"/>
        <w:szCs w:val="18"/>
      </w:rPr>
    </w:pPr>
    <w:r>
      <w:pict>
        <v:shape id="_x0000_s2066" style="width:428.35pt;height:0.75pt;margin-top:81.14pt;margin-left:83.54pt;mso-position-horizontal-relative:page;mso-position-vertical-relative:page;position:absolute;z-index:25165824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67" type="#_x0000_t202" style="width:22.05pt;height:12.85pt;margin-top:-0.99pt;margin-left:409.44pt;position:absolute;z-index:25165926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10</w:t>
                </w:r>
              </w:p>
            </w:txbxContent>
          </v:textbox>
        </v:shape>
      </w:pict>
    </w:r>
    <w:r>
      <w:rPr>
        <w:sz w:val="18"/>
        <w:szCs w:val="18"/>
      </w:rPr>
      <w:t>亚玛顿拟发行股份及支付现金购买凤阳硅谷股权项目资产评估报告</w:t>
    </w:r>
  </w:p>
  <w:p>
    <w:pPr>
      <w:pStyle w:val="BodyText"/>
      <w:spacing w:line="224" w:lineRule="auto"/>
      <w:ind w:left="112"/>
      <w:rPr>
        <w:sz w:val="18"/>
        <w:szCs w:val="18"/>
      </w:rPr>
    </w:pPr>
    <w:r>
      <w:rPr>
        <w:sz w:val="18"/>
        <w:szCs w:val="18"/>
      </w:rPr>
      <w:t>页</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109"/>
      <w:rPr>
        <w:sz w:val="18"/>
        <w:szCs w:val="18"/>
      </w:rPr>
    </w:pPr>
    <w:r>
      <w:pict>
        <v:shape id="_x0000_s2069" style="width:428.35pt;height:0.75pt;margin-top:81.14pt;margin-left:83.54pt;mso-position-horizontal-relative:page;mso-position-vertical-relative:page;position:absolute;z-index:25166028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0" type="#_x0000_t202" style="width:22.05pt;height:12.85pt;margin-top:-0.99pt;margin-left:409.44pt;position:absolute;z-index:25166131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10</w:t>
                </w:r>
              </w:p>
            </w:txbxContent>
          </v:textbox>
        </v:shape>
      </w:pict>
    </w:r>
    <w:r>
      <w:rPr>
        <w:sz w:val="18"/>
        <w:szCs w:val="18"/>
      </w:rPr>
      <w:t>亚玛顿拟发行股份及支付现金购买凤阳硅谷股权项目资产评估报告</w:t>
    </w:r>
  </w:p>
  <w:p>
    <w:pPr>
      <w:pStyle w:val="BodyText"/>
      <w:spacing w:line="224" w:lineRule="auto"/>
      <w:ind w:left="112"/>
      <w:rPr>
        <w:sz w:val="18"/>
        <w:szCs w:val="18"/>
      </w:rPr>
    </w:pPr>
    <w:r>
      <w:rPr>
        <w:sz w:val="18"/>
        <w:szCs w:val="18"/>
      </w:rPr>
      <w:t>页</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24"/>
      <w:rPr>
        <w:sz w:val="18"/>
        <w:szCs w:val="18"/>
      </w:rPr>
    </w:pPr>
    <w:r>
      <w:pict>
        <v:shape id="_x0000_s2072" style="width:428.35pt;height:0.75pt;margin-top:81.14pt;margin-left:83.54pt;mso-position-horizontal-relative:page;mso-position-vertical-relative:page;position:absolute;z-index:25166233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3" type="#_x0000_t202" style="width:22.05pt;height:12.85pt;margin-top:-0.99pt;margin-left:415.2pt;position:absolute;z-index:25166336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11</w:t>
                </w:r>
              </w:p>
            </w:txbxContent>
          </v:textbox>
        </v:shape>
      </w:pict>
    </w:r>
    <w:r>
      <w:rPr>
        <w:sz w:val="18"/>
        <w:szCs w:val="18"/>
      </w:rPr>
      <w:t>亚玛顿拟发行股份及支付现金购买凤阳硅谷股权项目资产评估报告</w:t>
    </w:r>
  </w:p>
  <w:p>
    <w:pPr>
      <w:pStyle w:val="BodyText"/>
      <w:spacing w:line="224" w:lineRule="auto"/>
      <w:ind w:left="227"/>
      <w:rPr>
        <w:sz w:val="18"/>
        <w:szCs w:val="18"/>
      </w:rPr>
    </w:pPr>
    <w:r>
      <w:rPr>
        <w:sz w:val="18"/>
        <w:szCs w:val="18"/>
      </w:rPr>
      <w:t>页</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24"/>
      <w:rPr>
        <w:sz w:val="18"/>
        <w:szCs w:val="18"/>
      </w:rPr>
    </w:pPr>
    <w:r>
      <w:pict>
        <v:shape id="_x0000_s2075" style="width:428.35pt;height:0.75pt;margin-top:81.14pt;margin-left:83.54pt;mso-position-horizontal-relative:page;mso-position-vertical-relative:page;position:absolute;z-index:25166438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6" type="#_x0000_t202" style="width:22.05pt;height:12.85pt;margin-top:-0.99pt;margin-left:415.2pt;position:absolute;z-index:25166540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11</w:t>
                </w:r>
              </w:p>
            </w:txbxContent>
          </v:textbox>
        </v:shape>
      </w:pict>
    </w:r>
    <w:r>
      <w:rPr>
        <w:sz w:val="18"/>
        <w:szCs w:val="18"/>
      </w:rPr>
      <w:t>亚玛顿拟发行股份及支付现金购买凤阳硅谷股权项目资产评估报告</w:t>
    </w:r>
  </w:p>
  <w:p>
    <w:pPr>
      <w:pStyle w:val="BodyText"/>
      <w:spacing w:line="224" w:lineRule="auto"/>
      <w:ind w:left="227"/>
      <w:rPr>
        <w:sz w:val="18"/>
        <w:szCs w:val="18"/>
      </w:rPr>
    </w:pPr>
    <w:r>
      <w:rPr>
        <w:sz w:val="18"/>
        <w:szCs w:val="18"/>
      </w:rPr>
      <w:t>页</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78" style="width:428.35pt;height:0.75pt;margin-top:81.14pt;margin-left:83.54pt;mso-position-horizontal-relative:page;mso-position-vertical-relative:page;position:absolute;z-index:25166643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9" type="#_x0000_t202" style="width:22.05pt;height:12.85pt;margin-top:-0.99pt;margin-left:405.84pt;position:absolute;z-index:25166745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12</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1" style="width:428.35pt;height:0.75pt;margin-top:81.14pt;margin-left:83.54pt;mso-position-horizontal-relative:page;mso-position-vertical-relative:page;position:absolute;z-index:25166848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2" type="#_x0000_t202" style="width:22.05pt;height:12.85pt;margin-top:-0.99pt;margin-left:405.84pt;position:absolute;z-index:25166950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12</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99" w:lineRule="auto"/>
      <w:ind w:left="29" w:right="28"/>
      <w:rPr>
        <w:rFonts w:ascii="SimHei" w:eastAsia="SimHei" w:hAnsi="SimHei" w:cs="SimHei"/>
        <w:sz w:val="21"/>
        <w:szCs w:val="21"/>
      </w:rPr>
    </w:pPr>
    <w:r>
      <w:rPr>
        <w:spacing w:val="-20"/>
        <w:w w:val="96"/>
        <w:sz w:val="21"/>
        <w:szCs w:val="21"/>
      </w:rPr>
      <w:t>亚玛顿拟发行股份及支付现金购买凤阳硅谷股权项目资产评估报告</w:t>
    </w:r>
    <w:r>
      <w:rPr>
        <w:spacing w:val="1"/>
        <w:sz w:val="21"/>
        <w:szCs w:val="21"/>
      </w:rPr>
      <w:t xml:space="preserve">                           </w:t>
    </w:r>
    <w:r>
      <w:rPr>
        <w:spacing w:val="-20"/>
        <w:w w:val="96"/>
        <w:sz w:val="21"/>
        <w:szCs w:val="21"/>
      </w:rPr>
      <w:t>第13</w:t>
    </w:r>
    <w:r>
      <w:rPr>
        <w:spacing w:val="19"/>
        <w:sz w:val="21"/>
        <w:szCs w:val="21"/>
      </w:rPr>
      <w:t xml:space="preserve"> </w:t>
    </w:r>
    <w:r>
      <w:rPr>
        <w:rFonts w:ascii="SimHei" w:eastAsia="SimHei" w:hAnsi="SimHei" w:cs="SimHei"/>
        <w:spacing w:val="-14"/>
        <w:sz w:val="21"/>
        <w:szCs w:val="21"/>
        <w:u w:val="single" w:color="auto"/>
      </w:rPr>
      <w:t>页</w:t>
    </w:r>
    <w:r>
      <w:rPr>
        <w:rFonts w:ascii="SimHei" w:eastAsia="SimHei" w:hAnsi="SimHei" w:cs="SimHei"/>
        <w:sz w:val="21"/>
        <w:szCs w:val="21"/>
        <w:u w:val="single" w:color="auto"/>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99" w:lineRule="auto"/>
      <w:ind w:left="29" w:right="28"/>
      <w:rPr>
        <w:rFonts w:ascii="SimHei" w:eastAsia="SimHei" w:hAnsi="SimHei" w:cs="SimHei"/>
        <w:sz w:val="21"/>
        <w:szCs w:val="21"/>
      </w:rPr>
    </w:pPr>
    <w:r>
      <w:rPr>
        <w:spacing w:val="-20"/>
        <w:w w:val="96"/>
        <w:sz w:val="21"/>
        <w:szCs w:val="21"/>
      </w:rPr>
      <w:t>亚玛顿拟发行股份及支付现金购买凤阳硅谷股权项目资产评估报告</w:t>
    </w:r>
    <w:r>
      <w:rPr>
        <w:spacing w:val="1"/>
        <w:sz w:val="21"/>
        <w:szCs w:val="21"/>
      </w:rPr>
      <w:t xml:space="preserve">                           </w:t>
    </w:r>
    <w:r>
      <w:rPr>
        <w:spacing w:val="-20"/>
        <w:w w:val="96"/>
        <w:sz w:val="21"/>
        <w:szCs w:val="21"/>
      </w:rPr>
      <w:t>第13</w:t>
    </w:r>
    <w:r>
      <w:rPr>
        <w:spacing w:val="19"/>
        <w:sz w:val="21"/>
        <w:szCs w:val="21"/>
      </w:rPr>
      <w:t xml:space="preserve"> </w:t>
    </w:r>
    <w:r>
      <w:rPr>
        <w:rFonts w:ascii="SimHei" w:eastAsia="SimHei" w:hAnsi="SimHei" w:cs="SimHei"/>
        <w:spacing w:val="-14"/>
        <w:sz w:val="21"/>
        <w:szCs w:val="21"/>
        <w:u w:val="single" w:color="auto"/>
      </w:rPr>
      <w:t>页</w:t>
    </w:r>
    <w:r>
      <w:rPr>
        <w:rFonts w:ascii="SimHei" w:eastAsia="SimHei" w:hAnsi="SimHei" w:cs="SimHei"/>
        <w:sz w:val="21"/>
        <w:szCs w:val="21"/>
        <w:u w:val="single" w:color="auto"/>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4" style="width:428.35pt;height:0.75pt;margin-top:81.14pt;margin-left:83.54pt;mso-position-horizontal-relative:page;mso-position-vertical-relative:page;position:absolute;z-index:25167052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5" type="#_x0000_t202" style="width:22.05pt;height:12.85pt;margin-top:-0.99pt;margin-left:405.84pt;position:absolute;z-index:25167155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14</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7" style="width:428.35pt;height:0.75pt;margin-top:81.14pt;margin-left:83.54pt;mso-position-horizontal-relative:page;mso-position-vertical-relative:page;position:absolute;z-index:25167257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8" type="#_x0000_t202" style="width:22.05pt;height:12.85pt;margin-top:-0.99pt;margin-left:405.84pt;position:absolute;z-index:25167360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14</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90" style="width:428.35pt;height:0.75pt;margin-top:81.14pt;margin-left:83.54pt;mso-position-horizontal-relative:page;mso-position-vertical-relative:page;position:absolute;z-index:25167462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1" type="#_x0000_t202" style="width:22.05pt;height:12.85pt;margin-top:-0.99pt;margin-left:405.84pt;position:absolute;z-index:25167564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15</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93" style="width:428.35pt;height:0.75pt;margin-top:81.14pt;margin-left:83.54pt;mso-position-horizontal-relative:page;mso-position-vertical-relative:page;position:absolute;z-index:25167667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4" type="#_x0000_t202" style="width:22.05pt;height:12.85pt;margin-top:-0.99pt;margin-left:405.84pt;position:absolute;z-index:25167769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15</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096" style="width:428.35pt;height:0.75pt;margin-top:81.14pt;margin-left:83.54pt;mso-position-horizontal-relative:page;mso-position-vertical-relative:page;position:absolute;z-index:25167872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7" type="#_x0000_t202" style="width:22.05pt;height:12.85pt;margin-top:-0.99pt;margin-left:416.64pt;position:absolute;z-index:25167974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16</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099" style="width:428.35pt;height:0.75pt;margin-top:81.14pt;margin-left:83.54pt;mso-position-horizontal-relative:page;mso-position-vertical-relative:page;position:absolute;z-index:25168076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0" type="#_x0000_t202" style="width:22.05pt;height:12.85pt;margin-top:-0.99pt;margin-left:416.64pt;position:absolute;z-index:25168179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16</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02" style="width:428.35pt;height:0.75pt;margin-top:81.14pt;margin-left:83.54pt;mso-position-horizontal-relative:page;mso-position-vertical-relative:page;position:absolute;z-index:25168281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3" type="#_x0000_t202" style="width:22.05pt;height:12.85pt;margin-top:-0.99pt;margin-left:405.84pt;position:absolute;z-index:25168384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18</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05" style="width:428.35pt;height:0.75pt;margin-top:81.14pt;margin-left:83.54pt;mso-position-horizontal-relative:page;mso-position-vertical-relative:page;position:absolute;z-index:25168486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6" type="#_x0000_t202" style="width:22.05pt;height:12.85pt;margin-top:-0.99pt;margin-left:405.84pt;position:absolute;z-index:25168588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18</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08" style="width:428.35pt;height:0.75pt;margin-top:81.14pt;margin-left:83.54pt;mso-position-horizontal-relative:page;mso-position-vertical-relative:page;position:absolute;z-index:25168691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9" type="#_x0000_t202" style="width:22.05pt;height:12.85pt;margin-top:-0.99pt;margin-left:405.84pt;position:absolute;z-index:25168793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19</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11" style="width:428.35pt;height:0.75pt;margin-top:81.14pt;margin-left:83.54pt;mso-position-horizontal-relative:page;mso-position-vertical-relative:page;position:absolute;z-index:25168896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12" type="#_x0000_t202" style="width:22.05pt;height:12.85pt;margin-top:-0.99pt;margin-left:405.84pt;position:absolute;z-index:25168998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19</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14" style="width:428.35pt;height:0.75pt;margin-top:81.14pt;margin-left:83.54pt;mso-position-horizontal-relative:page;mso-position-vertical-relative:page;position:absolute;z-index:25169100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15" type="#_x0000_t202" style="width:22.05pt;height:12.85pt;margin-top:-0.99pt;margin-left:405.84pt;position:absolute;z-index:251692032" filled="f" stroked="f">
          <o:lock v:ext="edit" aspectratio="f"/>
          <v:textbox inset="0,0,0,0">
            <w:txbxContent>
              <w:p>
                <w:pPr>
                  <w:pStyle w:val="BodyText"/>
                  <w:spacing w:before="19" w:line="222" w:lineRule="auto"/>
                  <w:ind w:left="20"/>
                  <w:rPr>
                    <w:sz w:val="18"/>
                    <w:szCs w:val="18"/>
                  </w:rPr>
                </w:pPr>
                <w:r>
                  <w:rPr>
                    <w:spacing w:val="-3"/>
                    <w:sz w:val="18"/>
                    <w:szCs w:val="18"/>
                  </w:rPr>
                  <w:t>第</w:t>
                </w:r>
                <w:r>
                  <w:rPr>
                    <w:spacing w:val="-38"/>
                    <w:sz w:val="18"/>
                    <w:szCs w:val="18"/>
                  </w:rPr>
                  <w:t xml:space="preserve"> </w:t>
                </w:r>
                <w:r>
                  <w:rPr>
                    <w:spacing w:val="-3"/>
                    <w:sz w:val="18"/>
                    <w:szCs w:val="18"/>
                  </w:rPr>
                  <w:t>20</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Arial" w:eastAsia="Arial" w:hAnsi="Arial" w:cs="Arial"/>
      <w:sz w:val="21"/>
      <w:szCs w:val="21"/>
      <w:lang w:val="en-US" w:eastAsia="en-US" w:bidi="ar-SA"/>
    </w:rPr>
  </w:style>
  <w:style w:type="paragraph" w:styleId="BodyText">
    <w:name w:val="Body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styles" Target="styles.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image" Target="media/image2.jpeg"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yperlink" Target="file:///E:/1&#36164;&#20135;&#35780;&#20272;/1&#22825;&#20581;&#20852;&#19994;/0&#35780;&#20272;&#31243;&#24207;/3&#35780;&#20272;&#25253;&#21578;&#27169;&#26495;/1&#35780;&#20272;&#27169;&#26495;-feng/2&#25104;&#26412;&#27861;&#35780;&#20272;&#26126;&#32454;&#34920;/&#36164;&#20135;&#35780;&#20272;&#26126;&#32454;&#34920;&#65288;&#24037;&#36152;&#20225;&#19994;&#65289;.xls#&#20998;&#31867;&#27719;&#24635;!B38" TargetMode="Externa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image" Target="media/image5.jpeg" /><Relationship Id="rId8" Type="http://schemas.openxmlformats.org/officeDocument/2006/relationships/image" Target="media/image1.jpeg" /><Relationship Id="rId80" Type="http://schemas.openxmlformats.org/officeDocument/2006/relationships/header" Target="header37.xml" /><Relationship Id="rId81" Type="http://schemas.openxmlformats.org/officeDocument/2006/relationships/footer" Target="footer37.xml" /><Relationship Id="rId82" Type="http://schemas.openxmlformats.org/officeDocument/2006/relationships/header" Target="header38.xml" /><Relationship Id="rId83" Type="http://schemas.openxmlformats.org/officeDocument/2006/relationships/footer" Target="footer38.xml" /><Relationship Id="rId84" Type="http://schemas.openxmlformats.org/officeDocument/2006/relationships/image" Target="media/image6.jpeg" /><Relationship Id="rId85" Type="http://schemas.openxmlformats.org/officeDocument/2006/relationships/image" Target="media/image7.jpeg"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header" Target="header40.xml" /><Relationship Id="rId89" Type="http://schemas.openxmlformats.org/officeDocument/2006/relationships/footer" Target="footer40.xml" /><Relationship Id="rId9" Type="http://schemas.openxmlformats.org/officeDocument/2006/relationships/header" Target="header3.xml" /><Relationship Id="rId90" Type="http://schemas.openxmlformats.org/officeDocument/2006/relationships/header" Target="header41.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header" Target="header43.xml" /><Relationship Id="rId95" Type="http://schemas.openxmlformats.org/officeDocument/2006/relationships/footer" Target="footer43.xml" /><Relationship Id="rId96" Type="http://schemas.openxmlformats.org/officeDocument/2006/relationships/hyperlink" Target="https://d.book118.com/438002045006006040" TargetMode="External" /><Relationship Id="rId97" Type="http://schemas.openxmlformats.org/officeDocument/2006/relationships/header" Target="header44.xml" /><Relationship Id="rId98" Type="http://schemas.openxmlformats.org/officeDocument/2006/relationships/footer" Target="footer44.xml" /><Relationship Id="rId99" Type="http://schemas.openxmlformats.org/officeDocument/2006/relationships/theme" Target="theme/theme1.xml" /></Relationships>
</file>

<file path=word/_rels/footer28.xml.rels><?xml version="1.0" encoding="utf-8" standalone="yes"?><Relationships xmlns="http://schemas.openxmlformats.org/package/2006/relationships"><Relationship Id="rId1" Type="http://schemas.openxmlformats.org/officeDocument/2006/relationships/image" Target="media/image3.png" /></Relationships>
</file>

<file path=word/_rels/footer29.xml.rels><?xml version="1.0" encoding="utf-8" standalone="yes"?><Relationships xmlns="http://schemas.openxmlformats.org/package/2006/relationships"><Relationship Id="rId1" Type="http://schemas.openxmlformats.org/officeDocument/2006/relationships/image" Target="media/image3.png" /></Relationships>
</file>

<file path=word/_rels/footer36.xml.rels><?xml version="1.0" encoding="utf-8" standalone="yes"?><Relationships xmlns="http://schemas.openxmlformats.org/package/2006/relationships"><Relationship Id="rId1" Type="http://schemas.openxmlformats.org/officeDocument/2006/relationships/image" Target="media/image4.png" /></Relationships>
</file>

<file path=word/_rels/footer37.xml.rels><?xml version="1.0" encoding="utf-8" standalone="yes"?><Relationships xmlns="http://schemas.openxmlformats.org/package/2006/relationships"><Relationship Id="rId1" Type="http://schemas.openxmlformats.org/officeDocument/2006/relationships/image" Target="media/image4.png" /></Relationships>
</file>

<file path=word/_rels/footer38.xml.rels><?xml version="1.0" encoding="utf-8" standalone="yes"?><Relationships xmlns="http://schemas.openxmlformats.org/package/2006/relationships"><Relationship Id="rId1" Type="http://schemas.openxmlformats.org/officeDocument/2006/relationships/image" Target="media/image4.png" /></Relationships>
</file>

<file path=word/_rels/footer39.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2024-02-07T10:55:14Z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2024-02-07T10:55:21Z</vt:filetime>
  </property>
  <property fmtid="{D5CDD505-2E9C-101B-9397-08002B2CF9AE}" pid="3" name="CRO">
    <vt:lpwstr>wqlLaW5nc29mdCBQREYgdG8gV1BTIDkw</vt:lpwstr>
  </property>
  <property fmtid="{D5CDD505-2E9C-101B-9397-08002B2CF9AE}" pid="4" name="UsrData">
    <vt:lpwstr>65c2f10e021855001f7874ddwl</vt:lpwstr>
  </property>
</Properties>
</file>