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128" w:line="218" w:lineRule="auto"/>
        <w:ind w:left="4086" w:right="2563" w:hanging="1534"/>
      </w:pPr>
      <w:r>
        <w:rPr>
          <w:spacing w:val="-19"/>
          <w:w w:val="95"/>
        </w:rPr>
        <w:t>河南联通宽带“</w:t>
      </w:r>
      <w:r>
        <w:rPr>
          <w:spacing w:val="-22"/>
          <w:w w:val="95"/>
        </w:rPr>
        <w:t>480</w:t>
      </w:r>
      <w:r>
        <w:rPr>
          <w:spacing w:val="-6"/>
          <w:w w:val="95"/>
        </w:rPr>
        <w:t>”服务承诺网络支撑保障</w:t>
      </w:r>
      <w:r>
        <w:t>方案及“</w:t>
      </w:r>
      <w:r>
        <w:rPr>
          <w:spacing w:val="2"/>
        </w:rPr>
        <w:t>480</w:t>
      </w:r>
      <w:r>
        <w:t>”服务补偿追究机制</w:t>
      </w:r>
    </w:p>
    <w:p>
      <w:pPr>
        <w:pStyle w:val="BodyText"/>
        <w:spacing w:before="3"/>
        <w:rPr>
          <w:b/>
          <w:sz w:val="67"/>
        </w:rPr>
      </w:pPr>
    </w:p>
    <w:p>
      <w:pPr>
        <w:pStyle w:val="BodyText"/>
        <w:tabs>
          <w:tab w:val="left" w:pos="14345"/>
        </w:tabs>
        <w:spacing w:line="338" w:lineRule="auto"/>
        <w:ind w:left="2553" w:right="2373" w:firstLine="961"/>
      </w:pPr>
      <w:r>
        <w:rPr>
          <w:w w:val="95"/>
        </w:rPr>
        <w:t>为进一步凸显“联通宽带、又好又快”的品牌，巩固和</w:t>
      </w:r>
      <w:r>
        <w:rPr>
          <w:spacing w:val="-18"/>
          <w:w w:val="95"/>
        </w:rPr>
        <w:t xml:space="preserve">强  </w:t>
      </w:r>
      <w:r>
        <w:t>化联通宽带在河南通信市场中的主导地位</w:t>
      </w:r>
      <w:r>
        <w:rPr>
          <w:spacing w:val="-188"/>
        </w:rPr>
        <w:t>，</w:t>
      </w:r>
      <w:r>
        <w:t>有效解决制约和影响宽带快速发展的关键问题，保障河南联通宽带装维</w:t>
      </w:r>
      <w:r>
        <w:rPr>
          <w:spacing w:val="5"/>
        </w:rPr>
        <w:t xml:space="preserve">“480” </w:t>
      </w:r>
      <w:r>
        <w:t>服务承诺工作顺利实施，现制定河南联通宽带“</w:t>
      </w:r>
      <w:r>
        <w:rPr>
          <w:spacing w:val="61"/>
        </w:rPr>
        <w:t xml:space="preserve"> </w:t>
      </w:r>
      <w:r>
        <w:rPr>
          <w:spacing w:val="3"/>
        </w:rPr>
        <w:t>480”</w:t>
        <w:tab/>
      </w:r>
      <w:r>
        <w:t>服务承诺保障支撑方案及服务补偿追究机制</w:t>
      </w:r>
      <w:r>
        <w:rPr>
          <w:spacing w:val="-187"/>
        </w:rPr>
        <w:t>，</w:t>
      </w:r>
      <w:r>
        <w:t>请各市分公司贯彻落实。</w:t>
      </w:r>
    </w:p>
    <w:p>
      <w:pPr>
        <w:pStyle w:val="Heading2"/>
        <w:spacing w:line="710" w:lineRule="exact"/>
      </w:pPr>
      <w:r>
        <w:t>一、 成立组织、加强领导</w:t>
      </w:r>
    </w:p>
    <w:p>
      <w:pPr>
        <w:pStyle w:val="BodyText"/>
        <w:tabs>
          <w:tab w:val="left" w:pos="9945"/>
        </w:tabs>
        <w:spacing w:before="294" w:line="336" w:lineRule="auto"/>
        <w:ind w:left="2553" w:right="2645" w:firstLine="961"/>
      </w:pPr>
      <w:r>
        <w:t>省网络公司成立宽带“</w:t>
      </w:r>
      <w:r>
        <w:rPr>
          <w:spacing w:val="-30"/>
        </w:rPr>
        <w:t xml:space="preserve"> </w:t>
      </w:r>
      <w:r>
        <w:rPr>
          <w:spacing w:val="3"/>
        </w:rPr>
        <w:t>480”</w:t>
        <w:tab/>
      </w:r>
      <w:r>
        <w:t>服务承诺支撑保障领导</w:t>
      </w:r>
      <w:r>
        <w:rPr>
          <w:spacing w:val="-18"/>
        </w:rPr>
        <w:t>小</w:t>
      </w:r>
      <w:r>
        <w:t>组，全面负责全省宽带“480”服务承诺支撑保障工作。</w:t>
      </w:r>
    </w:p>
    <w:p>
      <w:pPr>
        <w:pStyle w:val="BodyText"/>
        <w:tabs>
          <w:tab w:val="left" w:pos="4709"/>
        </w:tabs>
        <w:spacing w:before="11"/>
        <w:ind w:left="3751"/>
      </w:pPr>
      <w:r>
        <w:t>组</w:t>
        <w:tab/>
        <w:t>长：王宜科</w:t>
      </w:r>
    </w:p>
    <w:p>
      <w:pPr>
        <w:pStyle w:val="BodyText"/>
        <w:tabs>
          <w:tab w:val="left" w:pos="4709"/>
          <w:tab w:val="left" w:pos="7590"/>
          <w:tab w:val="left" w:pos="8551"/>
          <w:tab w:val="left" w:pos="9509"/>
          <w:tab w:val="left" w:pos="9750"/>
          <w:tab w:val="left" w:pos="10229"/>
        </w:tabs>
        <w:spacing w:before="294" w:line="336" w:lineRule="auto"/>
        <w:ind w:left="3751" w:right="7149"/>
      </w:pPr>
      <w:r>
        <w:t>副组长：张金成</w:t>
        <w:tab/>
        <w:t>徐文洪</w:t>
        <w:tab/>
        <w:t>娄</w:t>
        <w:tab/>
      </w:r>
      <w:r>
        <w:rPr>
          <w:spacing w:val="-18"/>
        </w:rPr>
        <w:t>伟</w:t>
      </w:r>
      <w:r>
        <w:t>成</w:t>
        <w:tab/>
        <w:t>员：周本汉</w:t>
        <w:tab/>
        <w:t>方</w:t>
        <w:tab/>
        <w:t>东</w:t>
        <w:tab/>
        <w:tab/>
        <w:t>李</w:t>
      </w:r>
      <w:r>
        <w:rPr>
          <w:spacing w:val="-17"/>
        </w:rPr>
        <w:t>锦</w:t>
      </w:r>
    </w:p>
    <w:p>
      <w:pPr>
        <w:pStyle w:val="BodyText"/>
        <w:spacing w:before="10" w:line="336" w:lineRule="auto"/>
        <w:ind w:left="3751" w:right="2312" w:hanging="238"/>
      </w:pPr>
      <w:r>
        <w:rPr>
          <w:spacing w:val="-29"/>
          <w:w w:val="95"/>
        </w:rPr>
        <w:t>职责：负责</w:t>
      </w:r>
      <w:r>
        <w:rPr>
          <w:spacing w:val="-13"/>
          <w:w w:val="95"/>
        </w:rPr>
        <w:t>“480</w:t>
      </w:r>
      <w:r>
        <w:rPr>
          <w:spacing w:val="-9"/>
          <w:w w:val="95"/>
        </w:rPr>
        <w:t xml:space="preserve">”服务承诺支撑保证工作的指导、监督；  </w:t>
      </w:r>
      <w:r>
        <w:t>领导小组下设运维保障组和建设保障组</w:t>
      </w:r>
    </w:p>
    <w:p>
      <w:pPr>
        <w:pStyle w:val="BodyText"/>
        <w:tabs>
          <w:tab w:val="left" w:pos="4460"/>
        </w:tabs>
        <w:spacing w:before="11" w:line="338" w:lineRule="auto"/>
        <w:ind w:left="3503" w:right="10523"/>
      </w:pPr>
      <w:r>
        <w:t>（一）运维保障</w:t>
      </w:r>
      <w:r>
        <w:rPr>
          <w:spacing w:val="-17"/>
        </w:rPr>
        <w:t>组</w:t>
      </w:r>
      <w:r>
        <w:t>组</w:t>
        <w:tab/>
        <w:t>长：徐文洪</w:t>
      </w:r>
    </w:p>
    <w:p>
      <w:pPr>
        <w:pStyle w:val="BodyText"/>
        <w:tabs>
          <w:tab w:val="left" w:pos="7341"/>
        </w:tabs>
        <w:spacing w:line="714" w:lineRule="exact"/>
        <w:ind w:left="3503"/>
      </w:pPr>
      <w:r>
        <w:t>副组长：周本汉</w:t>
        <w:tab/>
        <w:t>李锦</w:t>
      </w:r>
    </w:p>
    <w:p>
      <w:pPr>
        <w:pStyle w:val="BodyText"/>
        <w:tabs>
          <w:tab w:val="left" w:pos="4460"/>
          <w:tab w:val="left" w:pos="7341"/>
          <w:tab w:val="left" w:pos="9260"/>
          <w:tab w:val="left" w:pos="10704"/>
        </w:tabs>
        <w:spacing w:before="294"/>
        <w:ind w:left="3503"/>
      </w:pPr>
      <w:r>
        <w:t>成</w:t>
        <w:tab/>
        <w:t>员：费高峰</w:t>
        <w:tab/>
        <w:t>张学军</w:t>
        <w:tab/>
        <w:t>陈勇</w:t>
        <w:tab/>
        <w:t>牛旭颖</w:t>
      </w:r>
    </w:p>
    <w:p>
      <w:pPr>
        <w:pStyle w:val="BodyText"/>
        <w:spacing w:before="290"/>
        <w:ind w:left="3514"/>
      </w:pPr>
      <w:r>
        <w:t>职责：负责“480”支撑保证工作中装拆移修流程的制定，</w:t>
      </w:r>
    </w:p>
    <w:p>
      <w:pPr>
        <w:spacing w:after="0"/>
        <w:sectPr>
          <w:footerReference w:type="default" r:id="rId4"/>
          <w:type w:val="continuous"/>
          <w:pgSz w:w="17860" w:h="25260"/>
          <w:pgMar w:top="920" w:right="0" w:bottom="2020" w:left="0" w:header="708" w:footer="1820"/>
          <w:cols w:space="708"/>
        </w:sectPr>
      </w:pPr>
    </w:p>
    <w:p>
      <w:pPr>
        <w:pStyle w:val="BodyText"/>
        <w:spacing w:before="68" w:line="338" w:lineRule="auto"/>
        <w:ind w:left="2553" w:right="2329"/>
      </w:pPr>
      <w:r>
        <w:rPr>
          <w:spacing w:val="-9"/>
        </w:rPr>
        <w:t xml:space="preserve">确保装移修机时限的完成； 负责制订号线资源系统管理要求， </w:t>
      </w:r>
      <w:r>
        <w:rPr>
          <w:spacing w:val="-10"/>
        </w:rPr>
        <w:t>加强对资源管理系统的动态维护，确保数据的准确性、完整性</w:t>
      </w:r>
      <w:r>
        <w:rPr>
          <w:spacing w:val="-16"/>
        </w:rPr>
        <w:t>和及时性；牵头机线资源普查，负责制订装维人员考核激励办法。负责“480”指标完成情况的通报、监督及考核</w:t>
      </w:r>
    </w:p>
    <w:p>
      <w:pPr>
        <w:pStyle w:val="BodyText"/>
        <w:tabs>
          <w:tab w:val="left" w:pos="4460"/>
          <w:tab w:val="left" w:pos="6380"/>
        </w:tabs>
        <w:spacing w:line="338" w:lineRule="auto"/>
        <w:ind w:left="3503" w:right="10523"/>
      </w:pPr>
      <w:r>
        <w:t>（二）建设保障</w:t>
      </w:r>
      <w:r>
        <w:rPr>
          <w:spacing w:val="-17"/>
        </w:rPr>
        <w:t>组</w:t>
      </w:r>
      <w:r>
        <w:t>组</w:t>
        <w:tab/>
        <w:t>长：娄</w:t>
        <w:tab/>
        <w:t>伟副组长：方</w:t>
        <w:tab/>
        <w:t>东</w:t>
      </w:r>
    </w:p>
    <w:p>
      <w:pPr>
        <w:pStyle w:val="BodyText"/>
        <w:tabs>
          <w:tab w:val="left" w:pos="4460"/>
          <w:tab w:val="left" w:pos="6380"/>
          <w:tab w:val="left" w:pos="7341"/>
          <w:tab w:val="left" w:pos="9397"/>
          <w:tab w:val="left" w:pos="10359"/>
          <w:tab w:val="left" w:pos="11075"/>
          <w:tab w:val="left" w:pos="12998"/>
          <w:tab w:val="left" w:pos="13960"/>
        </w:tabs>
        <w:spacing w:line="714" w:lineRule="exact"/>
        <w:ind w:left="3503"/>
      </w:pPr>
      <w:r>
        <w:t>成</w:t>
        <w:tab/>
        <w:t>员：毛</w:t>
        <w:tab/>
        <w:t>冬</w:t>
        <w:tab/>
        <w:t>毛明凯</w:t>
        <w:tab/>
        <w:t>雷</w:t>
        <w:tab/>
        <w:t>宇</w:t>
        <w:tab/>
        <w:t>郑峰峰</w:t>
        <w:tab/>
        <w:t>张</w:t>
        <w:tab/>
        <w:t>浩</w:t>
      </w:r>
    </w:p>
    <w:p>
      <w:pPr>
        <w:pStyle w:val="BodyText"/>
        <w:spacing w:before="286" w:line="338" w:lineRule="auto"/>
        <w:ind w:left="2553" w:right="2511" w:firstLine="961"/>
        <w:jc w:val="both"/>
      </w:pPr>
      <w:r>
        <w:rPr>
          <w:spacing w:val="-15"/>
        </w:rPr>
        <w:t>职责：负责制订驻地网投资管理制度和要求，对市公司驻</w:t>
      </w:r>
      <w:r>
        <w:rPr>
          <w:spacing w:val="-21"/>
        </w:rPr>
        <w:t>地网建设进行指导和监督；负责优化驻地网新建、改造和扩容</w:t>
      </w:r>
      <w:r>
        <w:rPr>
          <w:spacing w:val="-21"/>
          <w:w w:val="95"/>
        </w:rPr>
        <w:t xml:space="preserve">流程，缩短建设时限、提高资源配置效率；负责制定“480”  范围内宽带无资源区域的应急建设流程和“480”范围内无资  </w:t>
      </w:r>
      <w:r>
        <w:rPr>
          <w:spacing w:val="-21"/>
        </w:rPr>
        <w:t>源工单处理情况考核。</w:t>
      </w:r>
    </w:p>
    <w:p>
      <w:pPr>
        <w:spacing w:before="0" w:line="338" w:lineRule="auto"/>
        <w:ind w:left="3514" w:right="3809" w:firstLine="0"/>
        <w:jc w:val="left"/>
        <w:rPr>
          <w:b/>
          <w:sz w:val="48"/>
        </w:rPr>
      </w:pPr>
      <w:r>
        <w:rPr>
          <w:spacing w:val="-1"/>
          <w:w w:val="95"/>
          <w:sz w:val="48"/>
        </w:rPr>
        <w:t xml:space="preserve">各市分公司要参照省分公司成立相应的组织机构。 </w:t>
      </w:r>
      <w:r>
        <w:rPr>
          <w:b/>
          <w:spacing w:val="-1"/>
          <w:sz w:val="48"/>
        </w:rPr>
        <w:t>二、 宽带“</w:t>
      </w:r>
      <w:r>
        <w:rPr>
          <w:b/>
          <w:sz w:val="48"/>
        </w:rPr>
        <w:t>480”服务承诺网络支撑保障方案</w:t>
      </w:r>
    </w:p>
    <w:p>
      <w:pPr>
        <w:pStyle w:val="Heading2"/>
        <w:spacing w:line="717" w:lineRule="exact"/>
      </w:pPr>
      <w:r>
        <w:t>（一）明确区域、完善流程</w:t>
      </w:r>
    </w:p>
    <w:p>
      <w:pPr>
        <w:pStyle w:val="ListParagraph"/>
        <w:numPr>
          <w:ilvl w:val="0"/>
          <w:numId w:val="8"/>
        </w:numPr>
        <w:tabs>
          <w:tab w:val="left" w:pos="4151"/>
          <w:tab w:val="left" w:pos="4152"/>
        </w:tabs>
        <w:spacing w:before="283" w:after="0" w:line="338" w:lineRule="auto"/>
        <w:ind w:left="3514" w:right="2531" w:firstLine="0"/>
        <w:jc w:val="left"/>
        <w:rPr>
          <w:sz w:val="48"/>
        </w:rPr>
      </w:pPr>
      <w:r>
        <w:rPr>
          <w:sz w:val="48"/>
        </w:rPr>
        <w:t xml:space="preserve">明 确 “480” 服 务 承 诺 区 域                         </w:t>
      </w:r>
      <w:r>
        <w:rPr>
          <w:w w:val="95"/>
          <w:sz w:val="48"/>
        </w:rPr>
        <w:t>“480</w:t>
      </w:r>
      <w:r>
        <w:rPr>
          <w:spacing w:val="-1"/>
          <w:w w:val="95"/>
          <w:sz w:val="48"/>
        </w:rPr>
        <w:t>”服务承诺区域根为各市城市和县城的城市建成区</w:t>
      </w:r>
    </w:p>
    <w:p>
      <w:pPr>
        <w:pStyle w:val="BodyText"/>
        <w:spacing w:line="338" w:lineRule="auto"/>
        <w:ind w:left="2553" w:right="2566"/>
      </w:pPr>
      <w:r>
        <w:rPr>
          <w:w w:val="95"/>
        </w:rPr>
        <w:t>域（成片专网区域如矿务局、油田等可除外</w:t>
      </w:r>
      <w:r>
        <w:rPr>
          <w:spacing w:val="-95"/>
          <w:w w:val="95"/>
        </w:rPr>
        <w:t>）</w:t>
      </w:r>
      <w:r>
        <w:rPr>
          <w:spacing w:val="-17"/>
          <w:w w:val="95"/>
        </w:rPr>
        <w:t xml:space="preserve">，禁止将单个小  </w:t>
      </w:r>
      <w:r>
        <w:t>区（包括其它运营商独家进线区域）划分在承诺范围外。</w:t>
      </w:r>
    </w:p>
    <w:p>
      <w:pPr>
        <w:pStyle w:val="ListParagraph"/>
        <w:numPr>
          <w:ilvl w:val="0"/>
          <w:numId w:val="8"/>
        </w:numPr>
        <w:tabs>
          <w:tab w:val="left" w:pos="4172"/>
          <w:tab w:val="left" w:pos="4173"/>
        </w:tabs>
        <w:spacing w:before="0" w:after="0" w:line="717" w:lineRule="exact"/>
        <w:ind w:left="4173" w:right="0" w:hanging="638"/>
        <w:jc w:val="left"/>
        <w:rPr>
          <w:sz w:val="48"/>
        </w:rPr>
      </w:pPr>
      <w:r>
        <w:rPr>
          <w:sz w:val="48"/>
        </w:rPr>
        <w:t>明确宽带装移修各工位时限</w:t>
      </w:r>
    </w:p>
    <w:p>
      <w:pPr>
        <w:spacing w:after="0" w:line="717" w:lineRule="exact"/>
        <w:jc w:val="left"/>
        <w:rPr>
          <w:sz w:val="48"/>
        </w:rPr>
        <w:sectPr>
          <w:footerReference w:type="default" r:id="rId5"/>
          <w:pgSz w:w="17860" w:h="25260"/>
          <w:pgMar w:top="1080" w:right="0" w:bottom="2020" w:left="0" w:header="0" w:footer="1820"/>
          <w:pgNumType w:start="2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5000"/>
          <w:tab w:val="left" w:pos="5001"/>
        </w:tabs>
        <w:spacing w:before="68" w:after="0" w:line="240" w:lineRule="auto"/>
        <w:ind w:left="5001" w:right="0" w:hanging="1466"/>
        <w:jc w:val="left"/>
        <w:rPr>
          <w:sz w:val="48"/>
        </w:rPr>
      </w:pPr>
      <w:r>
        <w:rPr>
          <w:sz w:val="48"/>
        </w:rPr>
        <w:t>ADSL</w:t>
      </w:r>
      <w:r>
        <w:rPr>
          <w:spacing w:val="-2"/>
          <w:sz w:val="48"/>
        </w:rPr>
        <w:t xml:space="preserve"> </w:t>
      </w:r>
      <w:r>
        <w:rPr>
          <w:sz w:val="48"/>
        </w:rPr>
        <w:t>8 小时装机时间分配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3"/>
        </w:rPr>
      </w:pPr>
      <w:r>
        <w:pict>
          <v:group id="_x0000_s1025" style="width:140pt;height:22.05pt;margin-top:11.89pt;margin-left:370pt;mso-position-horizontal-relative:page;mso-wrap-distance-left:0;mso-wrap-distance-right:0;position:absolute;z-index:-251651072" coordorigin="7400,238" coordsize="2800,44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800;height:420;left:7400;position:absolute;top:237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800;height:441;left:7400;position:absolute;top:237" filled="f" stroked="f">
              <v:textbox inset="0,0,0,0">
                <w:txbxContent>
                  <w:p>
                    <w:pPr>
                      <w:spacing w:before="13" w:line="240" w:lineRule="auto"/>
                      <w:rPr>
                        <w:sz w:val="14"/>
                      </w:rPr>
                    </w:pPr>
                  </w:p>
                  <w:p>
                    <w:pPr>
                      <w:spacing w:before="1" w:line="218" w:lineRule="exact"/>
                      <w:ind w:left="268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Times New Roman" w:eastAsia="Times New Roman"/>
                        <w:b/>
                        <w:w w:val="105"/>
                        <w:sz w:val="19"/>
                      </w:rPr>
                      <w:t>ADSL 8</w:t>
                    </w:r>
                    <w:r>
                      <w:rPr>
                        <w:rFonts w:ascii="宋体" w:eastAsia="宋体" w:hint="eastAsia"/>
                        <w:b/>
                        <w:w w:val="105"/>
                        <w:sz w:val="19"/>
                      </w:rPr>
                      <w:t>小时装机时间分配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24"/>
        </w:rPr>
      </w:pPr>
    </w:p>
    <w:tbl>
      <w:tblPr>
        <w:tblStyle w:val="TableNormal0"/>
        <w:tblW w:w="0" w:type="auto"/>
        <w:jc w:val="left"/>
        <w:tblInd w:w="2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1"/>
        <w:gridCol w:w="1530"/>
        <w:gridCol w:w="1518"/>
        <w:gridCol w:w="1670"/>
        <w:gridCol w:w="1696"/>
        <w:gridCol w:w="1524"/>
        <w:gridCol w:w="1696"/>
        <w:gridCol w:w="947"/>
      </w:tblGrid>
      <w:tr>
        <w:tblPrEx>
          <w:tblW w:w="0" w:type="auto"/>
          <w:jc w:val="left"/>
          <w:tblInd w:w="27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1291" w:type="dxa"/>
          </w:tcPr>
          <w:p>
            <w:pPr>
              <w:pStyle w:val="TableParagraph"/>
              <w:ind w:left="50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营业受理</w:t>
            </w:r>
          </w:p>
        </w:tc>
        <w:tc>
          <w:tcPr>
            <w:tcW w:w="1530" w:type="dxa"/>
          </w:tcPr>
          <w:p>
            <w:pPr>
              <w:pStyle w:val="TableParagraph"/>
              <w:ind w:left="430" w:right="456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配线</w:t>
            </w:r>
          </w:p>
        </w:tc>
        <w:tc>
          <w:tcPr>
            <w:tcW w:w="1518" w:type="dxa"/>
          </w:tcPr>
          <w:p>
            <w:pPr>
              <w:pStyle w:val="TableParagraph"/>
              <w:ind w:right="404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配端口</w:t>
            </w:r>
          </w:p>
        </w:tc>
        <w:tc>
          <w:tcPr>
            <w:tcW w:w="1670" w:type="dxa"/>
          </w:tcPr>
          <w:p>
            <w:pPr>
              <w:pStyle w:val="TableParagraph"/>
              <w:ind w:left="373" w:right="254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数据局施工</w:t>
            </w:r>
          </w:p>
        </w:tc>
        <w:tc>
          <w:tcPr>
            <w:tcW w:w="1696" w:type="dxa"/>
          </w:tcPr>
          <w:p>
            <w:pPr>
              <w:pStyle w:val="TableParagraph"/>
              <w:spacing w:before="41" w:line="240" w:lineRule="auto"/>
              <w:ind w:left="275" w:right="325"/>
              <w:rPr>
                <w:b/>
                <w:sz w:val="15"/>
              </w:rPr>
            </w:pPr>
            <w:r>
              <w:rPr>
                <w:b/>
                <w:sz w:val="15"/>
              </w:rPr>
              <w:t>数据局帐号施工</w:t>
            </w:r>
          </w:p>
        </w:tc>
        <w:tc>
          <w:tcPr>
            <w:tcW w:w="1524" w:type="dxa"/>
          </w:tcPr>
          <w:p>
            <w:pPr>
              <w:pStyle w:val="TableParagraph"/>
              <w:ind w:left="305" w:right="37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测量施工</w:t>
            </w:r>
          </w:p>
        </w:tc>
        <w:tc>
          <w:tcPr>
            <w:tcW w:w="1696" w:type="dxa"/>
          </w:tcPr>
          <w:p>
            <w:pPr>
              <w:pStyle w:val="TableParagraph"/>
              <w:ind w:left="40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外线施工</w:t>
            </w:r>
          </w:p>
        </w:tc>
        <w:tc>
          <w:tcPr>
            <w:tcW w:w="947" w:type="dxa"/>
          </w:tcPr>
          <w:p>
            <w:pPr>
              <w:pStyle w:val="TableParagraph"/>
              <w:ind w:left="50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峻工</w:t>
            </w:r>
          </w:p>
        </w:tc>
      </w:tr>
      <w:tr>
        <w:tblPrEx>
          <w:tblW w:w="0" w:type="auto"/>
          <w:jc w:val="left"/>
          <w:tblInd w:w="2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9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107" w:line="208" w:lineRule="exact"/>
              <w:ind w:left="430" w:right="458"/>
              <w:rPr>
                <w:b/>
                <w:sz w:val="19"/>
              </w:rPr>
            </w:pPr>
            <w:r>
              <w:rPr>
                <w:rFonts w:ascii="Times New Roman" w:eastAsia="Times New Roman"/>
                <w:b/>
                <w:color w:val="0000FF"/>
                <w:w w:val="105"/>
                <w:sz w:val="19"/>
              </w:rPr>
              <w:t>20</w:t>
            </w:r>
            <w:r>
              <w:rPr>
                <w:b/>
                <w:color w:val="0000FF"/>
                <w:w w:val="105"/>
                <w:sz w:val="19"/>
              </w:rPr>
              <w:t>分钟</w:t>
            </w:r>
          </w:p>
        </w:tc>
        <w:tc>
          <w:tcPr>
            <w:tcW w:w="1518" w:type="dxa"/>
          </w:tcPr>
          <w:p>
            <w:pPr>
              <w:pStyle w:val="TableParagraph"/>
              <w:spacing w:before="107" w:line="208" w:lineRule="exact"/>
              <w:ind w:right="443"/>
              <w:jc w:val="right"/>
              <w:rPr>
                <w:b/>
                <w:sz w:val="19"/>
              </w:rPr>
            </w:pPr>
            <w:r>
              <w:rPr>
                <w:rFonts w:ascii="Times New Roman" w:eastAsia="Times New Roman"/>
                <w:b/>
                <w:color w:val="0000FF"/>
                <w:sz w:val="19"/>
              </w:rPr>
              <w:t>10</w:t>
            </w:r>
            <w:r>
              <w:rPr>
                <w:b/>
                <w:color w:val="0000FF"/>
                <w:sz w:val="19"/>
              </w:rPr>
              <w:t>分钟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7" w:line="198" w:lineRule="exact"/>
              <w:ind w:left="298" w:right="254"/>
              <w:rPr>
                <w:b/>
                <w:sz w:val="19"/>
              </w:rPr>
            </w:pPr>
            <w:r>
              <w:rPr>
                <w:rFonts w:ascii="Times New Roman" w:eastAsia="Times New Roman"/>
                <w:b/>
                <w:color w:val="0000FF"/>
                <w:w w:val="105"/>
                <w:sz w:val="19"/>
              </w:rPr>
              <w:t>20</w:t>
            </w:r>
            <w:r>
              <w:rPr>
                <w:b/>
                <w:color w:val="0000FF"/>
                <w:w w:val="105"/>
                <w:sz w:val="19"/>
              </w:rPr>
              <w:t>分钟</w:t>
            </w:r>
          </w:p>
        </w:tc>
        <w:tc>
          <w:tcPr>
            <w:tcW w:w="1696" w:type="dxa"/>
          </w:tcPr>
          <w:p>
            <w:pPr>
              <w:pStyle w:val="TableParagraph"/>
              <w:spacing w:before="117" w:line="198" w:lineRule="exact"/>
              <w:ind w:left="275" w:right="319"/>
              <w:rPr>
                <w:b/>
                <w:sz w:val="19"/>
              </w:rPr>
            </w:pPr>
            <w:r>
              <w:rPr>
                <w:rFonts w:ascii="Times New Roman" w:eastAsia="Times New Roman"/>
                <w:b/>
                <w:color w:val="0000FF"/>
                <w:w w:val="105"/>
                <w:sz w:val="19"/>
              </w:rPr>
              <w:t>10</w:t>
            </w:r>
            <w:r>
              <w:rPr>
                <w:b/>
                <w:color w:val="0000FF"/>
                <w:w w:val="105"/>
                <w:sz w:val="19"/>
              </w:rPr>
              <w:t>分钟</w:t>
            </w:r>
          </w:p>
        </w:tc>
        <w:tc>
          <w:tcPr>
            <w:tcW w:w="1524" w:type="dxa"/>
          </w:tcPr>
          <w:p>
            <w:pPr>
              <w:pStyle w:val="TableParagraph"/>
              <w:spacing w:before="117" w:line="198" w:lineRule="exact"/>
              <w:ind w:left="305" w:right="374"/>
              <w:rPr>
                <w:b/>
                <w:sz w:val="19"/>
              </w:rPr>
            </w:pPr>
            <w:r>
              <w:rPr>
                <w:rFonts w:ascii="Times New Roman" w:eastAsia="Times New Roman"/>
                <w:b/>
                <w:color w:val="0000FF"/>
                <w:w w:val="105"/>
                <w:sz w:val="19"/>
              </w:rPr>
              <w:t>20</w:t>
            </w:r>
            <w:r>
              <w:rPr>
                <w:b/>
                <w:color w:val="0000FF"/>
                <w:w w:val="105"/>
                <w:sz w:val="19"/>
              </w:rPr>
              <w:t>分钟</w:t>
            </w:r>
          </w:p>
        </w:tc>
        <w:tc>
          <w:tcPr>
            <w:tcW w:w="1696" w:type="dxa"/>
          </w:tcPr>
          <w:p>
            <w:pPr>
              <w:pStyle w:val="TableParagraph"/>
              <w:spacing w:before="117" w:line="198" w:lineRule="exact"/>
              <w:ind w:left="455"/>
              <w:jc w:val="left"/>
              <w:rPr>
                <w:b/>
                <w:sz w:val="19"/>
              </w:rPr>
            </w:pPr>
            <w:r>
              <w:rPr>
                <w:rFonts w:ascii="Times New Roman" w:eastAsia="Times New Roman"/>
                <w:b/>
                <w:color w:val="0000FF"/>
                <w:w w:val="105"/>
                <w:sz w:val="19"/>
              </w:rPr>
              <w:t>400</w:t>
            </w:r>
            <w:r>
              <w:rPr>
                <w:b/>
                <w:color w:val="0000FF"/>
                <w:w w:val="105"/>
                <w:sz w:val="19"/>
              </w:rPr>
              <w:t>分钟</w:t>
            </w:r>
          </w:p>
        </w:tc>
        <w:tc>
          <w:tcPr>
            <w:tcW w:w="947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9"/>
        </w:rPr>
      </w:pPr>
    </w:p>
    <w:p>
      <w:pPr>
        <w:pStyle w:val="BodyText"/>
        <w:spacing w:before="94" w:line="338" w:lineRule="auto"/>
        <w:ind w:left="2553" w:right="2373" w:firstLine="961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-209219</wp:posOffset>
            </wp:positionV>
            <wp:extent cx="785431" cy="126682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-209219</wp:posOffset>
            </wp:positionV>
            <wp:extent cx="785431" cy="13935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-653719</wp:posOffset>
            </wp:positionV>
            <wp:extent cx="7866983" cy="253365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6983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7747000</wp:posOffset>
            </wp:positionH>
            <wp:positionV relativeFrom="paragraph">
              <wp:posOffset>-196519</wp:posOffset>
            </wp:positionV>
            <wp:extent cx="785431" cy="126682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-196519</wp:posOffset>
            </wp:positionV>
            <wp:extent cx="785431" cy="126682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-196519</wp:posOffset>
            </wp:positionV>
            <wp:extent cx="785431" cy="126682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-196519</wp:posOffset>
            </wp:positionV>
            <wp:extent cx="785431" cy="126682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95"/>
        </w:rPr>
        <w:t xml:space="preserve">统计口径：以综合营销系统营业受理确认为起算时间点，  </w:t>
      </w:r>
      <w:r>
        <w:t>以外线施工完毕系统报竣为终止时间点。</w:t>
      </w:r>
    </w:p>
    <w:p>
      <w:pPr>
        <w:pStyle w:val="BodyText"/>
        <w:tabs>
          <w:tab w:val="left" w:pos="12857"/>
        </w:tabs>
        <w:spacing w:line="338" w:lineRule="auto"/>
        <w:ind w:left="2553" w:right="2547" w:firstLine="961"/>
      </w:pPr>
      <w:r>
        <w:t>工作时间：统一按照省公司统计标准：上午</w:t>
        <w:tab/>
        <w:t>8：30-12： 00、下午：2：00-5：30（不分节假日）</w:t>
      </w:r>
    </w:p>
    <w:p>
      <w:pPr>
        <w:pStyle w:val="ListParagraph"/>
        <w:numPr>
          <w:ilvl w:val="0"/>
          <w:numId w:val="7"/>
        </w:numPr>
        <w:tabs>
          <w:tab w:val="left" w:pos="4979"/>
          <w:tab w:val="left" w:pos="4980"/>
        </w:tabs>
        <w:spacing w:before="0" w:after="0" w:line="715" w:lineRule="exact"/>
        <w:ind w:left="4979" w:right="0" w:hanging="1466"/>
        <w:jc w:val="left"/>
        <w:rPr>
          <w:sz w:val="48"/>
        </w:rPr>
      </w:pPr>
      <w:r>
        <w:rPr>
          <w:sz w:val="48"/>
        </w:rPr>
        <w:t>LAN</w:t>
      </w:r>
      <w:r>
        <w:rPr>
          <w:spacing w:val="-2"/>
          <w:sz w:val="48"/>
        </w:rPr>
        <w:t xml:space="preserve"> </w:t>
      </w:r>
      <w:r>
        <w:rPr>
          <w:sz w:val="48"/>
        </w:rPr>
        <w:t>8 小时装机时间分配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3"/>
        </w:rPr>
      </w:pPr>
      <w:r>
        <w:pict>
          <v:group id="_x0000_s1028" style="width:142pt;height:21.75pt;margin-top:11.82pt;margin-left:400pt;mso-position-horizontal-relative:page;mso-wrap-distance-left:0;mso-wrap-distance-right:0;position:absolute;z-index:-251650048" coordorigin="8000,236" coordsize="2840,435">
            <v:shape id="_x0000_s1029" type="#_x0000_t75" style="width:2840;height:400;left:8000;position:absolute;top:236" stroked="f">
              <v:imagedata r:id="rId14" o:title=""/>
            </v:shape>
            <v:shape id="_x0000_s1030" type="#_x0000_t202" style="width:2840;height:435;left:8000;position:absolute;top:236" filled="f" stroked="f">
              <v:textbox inset="0,0,0,0">
                <w:txbxContent>
                  <w:p>
                    <w:pPr>
                      <w:spacing w:before="8" w:line="240" w:lineRule="auto"/>
                      <w:rPr>
                        <w:sz w:val="14"/>
                      </w:rPr>
                    </w:pPr>
                  </w:p>
                  <w:p>
                    <w:pPr>
                      <w:spacing w:before="0" w:line="217" w:lineRule="exact"/>
                      <w:ind w:left="308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Times New Roman" w:eastAsia="Times New Roman"/>
                        <w:b/>
                        <w:sz w:val="19"/>
                      </w:rPr>
                      <w:t>LAN 8</w:t>
                    </w:r>
                    <w:r>
                      <w:rPr>
                        <w:rFonts w:ascii="宋体" w:eastAsia="宋体" w:hint="eastAsia"/>
                        <w:b/>
                        <w:sz w:val="19"/>
                      </w:rPr>
                      <w:t>小时装机时间分配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621pt;height:20.95pt;margin-top:41.82pt;margin-left:160pt;mso-position-horizontal-relative:page;mso-wrap-distance-left:0;mso-wrap-distance-right:0;position:absolute;z-index:-251649024" coordorigin="3200,836" coordsize="12420,419">
            <v:shape id="_x0000_s1032" type="#_x0000_t75" style="width:12420;height:380;left:3200;position:absolute;top:836" stroked="f">
              <v:imagedata r:id="rId15" o:title=""/>
            </v:shape>
            <v:shape id="_x0000_s1033" type="#_x0000_t202" style="width:789;height:193;left:3620;position:absolute;top:1062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sz w:val="19"/>
                      </w:rPr>
                      <w:t>营业受理</w:t>
                    </w:r>
                  </w:p>
                </w:txbxContent>
              </v:textbox>
            </v:shape>
            <v:shape id="_x0000_s1034" type="#_x0000_t202" style="width:597;height:193;left:5836;position:absolute;top:1062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sz w:val="19"/>
                      </w:rPr>
                      <w:t>配端口</w:t>
                    </w:r>
                  </w:p>
                </w:txbxContent>
              </v:textbox>
            </v:shape>
            <v:shape id="_x0000_s1035" type="#_x0000_t202" style="width:981;height:193;left:7754;position:absolute;top:1062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sz w:val="19"/>
                      </w:rPr>
                      <w:t>数据局施工</w:t>
                    </w:r>
                  </w:p>
                </w:txbxContent>
              </v:textbox>
            </v:shape>
            <v:shape id="_x0000_s1036" type="#_x0000_t202" style="width:1366;height:193;left:9753;position:absolute;top:1062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sz w:val="19"/>
                      </w:rPr>
                      <w:t>数据局帐号施工</w:t>
                    </w:r>
                  </w:p>
                </w:txbxContent>
              </v:textbox>
            </v:shape>
            <v:shape id="_x0000_s1037" type="#_x0000_t202" style="width:789;height:193;left:12206;position:absolute;top:1062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sz w:val="19"/>
                      </w:rPr>
                      <w:t>外线施工</w:t>
                    </w:r>
                  </w:p>
                </w:txbxContent>
              </v:textbox>
            </v:shape>
            <v:shape id="_x0000_s1038" type="#_x0000_t202" style="width:405;height:193;left:14600;position:absolute;top:1062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sz w:val="19"/>
                      </w:rPr>
                      <w:t>峻工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6"/>
        </w:rPr>
      </w:pPr>
    </w:p>
    <w:p>
      <w:pPr>
        <w:pStyle w:val="BodyText"/>
        <w:spacing w:before="14"/>
        <w:rPr>
          <w:sz w:val="4"/>
        </w:rPr>
      </w:pPr>
    </w:p>
    <w:p>
      <w:pPr>
        <w:spacing w:after="0"/>
        <w:rPr>
          <w:sz w:val="4"/>
        </w:rPr>
        <w:sectPr>
          <w:footerReference w:type="default" r:id="rId16"/>
          <w:pgSz w:w="17860" w:h="25260"/>
          <w:pgMar w:top="1080" w:right="0" w:bottom="2020" w:left="0" w:header="0" w:footer="1820"/>
          <w:pgNumType w:start="3"/>
          <w:cols w:space="708"/>
        </w:sectPr>
      </w:pPr>
    </w:p>
    <w:p>
      <w:pPr>
        <w:spacing w:before="108"/>
        <w:ind w:left="0" w:right="0" w:firstLine="0"/>
        <w:jc w:val="right"/>
        <w:rPr>
          <w:rFonts w:ascii="宋体" w:eastAsia="宋体" w:hint="eastAsia"/>
          <w:b/>
          <w:sz w:val="19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88137</wp:posOffset>
            </wp:positionV>
            <wp:extent cx="1016000" cy="127000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b/>
          <w:color w:val="0000FF"/>
          <w:sz w:val="19"/>
        </w:rPr>
        <w:t>10</w:t>
      </w:r>
      <w:r>
        <w:rPr>
          <w:rFonts w:ascii="宋体" w:eastAsia="宋体" w:hint="eastAsia"/>
          <w:b/>
          <w:color w:val="0000FF"/>
          <w:sz w:val="19"/>
        </w:rPr>
        <w:t>分钟</w:t>
      </w:r>
    </w:p>
    <w:p>
      <w:pPr>
        <w:spacing w:before="118"/>
        <w:ind w:left="0" w:right="0" w:firstLine="0"/>
        <w:jc w:val="right"/>
        <w:rPr>
          <w:rFonts w:ascii="宋体" w:eastAsia="宋体" w:hint="eastAsia"/>
          <w:b/>
          <w:sz w:val="19"/>
        </w:rPr>
      </w:pPr>
      <w:r>
        <w:br w:type="column"/>
      </w:r>
      <w:r>
        <w:rPr>
          <w:rFonts w:ascii="Times New Roman" w:eastAsia="Times New Roman"/>
          <w:b/>
          <w:color w:val="0000FF"/>
          <w:sz w:val="19"/>
        </w:rPr>
        <w:t>20</w:t>
      </w:r>
      <w:r>
        <w:rPr>
          <w:rFonts w:ascii="宋体" w:eastAsia="宋体" w:hint="eastAsia"/>
          <w:b/>
          <w:color w:val="0000FF"/>
          <w:sz w:val="19"/>
        </w:rPr>
        <w:t>分钟</w:t>
      </w:r>
    </w:p>
    <w:p>
      <w:pPr>
        <w:spacing w:before="118"/>
        <w:ind w:left="0" w:right="0" w:firstLine="0"/>
        <w:jc w:val="right"/>
        <w:rPr>
          <w:rFonts w:ascii="宋体" w:eastAsia="宋体" w:hint="eastAsia"/>
          <w:b/>
          <w:sz w:val="19"/>
        </w:rPr>
      </w:pPr>
      <w:r>
        <w:br w:type="column"/>
      </w:r>
      <w:r>
        <w:rPr>
          <w:rFonts w:ascii="Times New Roman" w:eastAsia="Times New Roman"/>
          <w:b/>
          <w:color w:val="0000FF"/>
          <w:sz w:val="19"/>
        </w:rPr>
        <w:t>10</w:t>
      </w:r>
      <w:r>
        <w:rPr>
          <w:rFonts w:ascii="宋体" w:eastAsia="宋体" w:hint="eastAsia"/>
          <w:b/>
          <w:color w:val="0000FF"/>
          <w:sz w:val="19"/>
        </w:rPr>
        <w:t>分钟</w:t>
      </w:r>
    </w:p>
    <w:p>
      <w:pPr>
        <w:spacing w:before="98"/>
        <w:ind w:left="1605" w:right="0" w:firstLine="0"/>
        <w:jc w:val="left"/>
        <w:rPr>
          <w:rFonts w:ascii="宋体" w:eastAsia="宋体" w:hint="eastAsia"/>
          <w:b/>
          <w:sz w:val="19"/>
        </w:rPr>
      </w:pPr>
      <w:r>
        <w:br w:type="column"/>
      </w:r>
      <w:r>
        <w:rPr>
          <w:rFonts w:ascii="Times New Roman" w:eastAsia="Times New Roman"/>
          <w:b/>
          <w:color w:val="0000FF"/>
          <w:sz w:val="19"/>
        </w:rPr>
        <w:t>440</w:t>
      </w:r>
      <w:r>
        <w:rPr>
          <w:rFonts w:ascii="宋体" w:eastAsia="宋体" w:hint="eastAsia"/>
          <w:b/>
          <w:color w:val="0000FF"/>
          <w:sz w:val="19"/>
        </w:rPr>
        <w:t>分钟</w:t>
      </w:r>
    </w:p>
    <w:p>
      <w:pPr>
        <w:spacing w:after="0"/>
        <w:jc w:val="left"/>
        <w:rPr>
          <w:rFonts w:ascii="宋体" w:eastAsia="宋体" w:hint="eastAsia"/>
          <w:sz w:val="19"/>
        </w:rPr>
        <w:sectPr>
          <w:footerReference w:type="default" r:id="rId18"/>
          <w:type w:val="continuous"/>
          <w:pgSz w:w="17860" w:h="25260"/>
          <w:pgMar w:top="920" w:right="0" w:bottom="2020" w:left="0" w:header="708" w:footer="708"/>
          <w:pgNumType w:start="4"/>
          <w:cols w:num="4" w:space="708" w:equalWidth="0">
            <w:col w:w="6338" w:space="40"/>
            <w:col w:w="2117" w:space="39"/>
            <w:col w:w="2117" w:space="40"/>
            <w:col w:w="7169" w:space="0"/>
          </w:cols>
        </w:sect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5"/>
        <w:rPr>
          <w:rFonts w:ascii="宋体"/>
          <w:b/>
          <w:sz w:val="29"/>
        </w:rPr>
      </w:pPr>
    </w:p>
    <w:p>
      <w:pPr>
        <w:pStyle w:val="ListParagraph"/>
        <w:numPr>
          <w:ilvl w:val="0"/>
          <w:numId w:val="7"/>
        </w:numPr>
        <w:tabs>
          <w:tab w:val="left" w:pos="4740"/>
          <w:tab w:val="left" w:pos="6902"/>
        </w:tabs>
        <w:spacing w:before="94" w:after="0" w:line="240" w:lineRule="auto"/>
        <w:ind w:left="4739" w:right="0" w:hanging="1226"/>
        <w:jc w:val="left"/>
        <w:rPr>
          <w:sz w:val="48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7518400</wp:posOffset>
            </wp:positionH>
            <wp:positionV relativeFrom="paragraph">
              <wp:posOffset>-693470</wp:posOffset>
            </wp:positionV>
            <wp:extent cx="1016000" cy="127000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-693470</wp:posOffset>
            </wp:positionV>
            <wp:extent cx="1016000" cy="127000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-693470</wp:posOffset>
            </wp:positionV>
            <wp:extent cx="1016000" cy="127000"/>
            <wp:effectExtent l="0" t="0" r="0" b="0"/>
            <wp:wrapNone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光纤宽带</w:t>
        <w:tab/>
        <w:t>8</w:t>
      </w:r>
      <w:r>
        <w:rPr>
          <w:spacing w:val="-2"/>
          <w:sz w:val="48"/>
        </w:rPr>
        <w:t xml:space="preserve"> </w:t>
      </w:r>
      <w:r>
        <w:rPr>
          <w:sz w:val="48"/>
        </w:rPr>
        <w:t>小时装机时间分配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  <w:r>
        <w:pict>
          <v:group id="_x0000_s1039" style="width:142pt;height:22.05pt;margin-top:14.89pt;margin-left:368pt;mso-position-horizontal-relative:page;mso-wrap-distance-left:0;mso-wrap-distance-right:0;position:absolute;z-index:-251643904" coordorigin="7360,298" coordsize="2840,441">
            <v:shape id="_x0000_s1040" type="#_x0000_t75" style="width:2840;height:420;left:7360;position:absolute;top:297" stroked="f">
              <v:imagedata r:id="rId22" o:title=""/>
            </v:shape>
            <v:shape id="_x0000_s1041" type="#_x0000_t202" style="width:2840;height:441;left:7360;position:absolute;top:297" filled="f" stroked="f">
              <v:textbox inset="0,0,0,0">
                <w:txbxContent>
                  <w:p>
                    <w:pPr>
                      <w:spacing w:before="13" w:line="240" w:lineRule="auto"/>
                      <w:rPr>
                        <w:sz w:val="14"/>
                      </w:rPr>
                    </w:pPr>
                  </w:p>
                  <w:p>
                    <w:pPr>
                      <w:spacing w:before="1" w:line="218" w:lineRule="exact"/>
                      <w:ind w:left="18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w w:val="105"/>
                        <w:sz w:val="19"/>
                      </w:rPr>
                      <w:t>光纤宽带</w:t>
                    </w:r>
                    <w:r>
                      <w:rPr>
                        <w:rFonts w:ascii="Times New Roman" w:eastAsia="Times New Roman"/>
                        <w:b/>
                        <w:w w:val="105"/>
                        <w:sz w:val="19"/>
                      </w:rPr>
                      <w:t>8</w:t>
                    </w:r>
                    <w:r>
                      <w:rPr>
                        <w:rFonts w:ascii="宋体" w:eastAsia="宋体" w:hint="eastAsia"/>
                        <w:b/>
                        <w:w w:val="105"/>
                        <w:sz w:val="19"/>
                      </w:rPr>
                      <w:t>小时装机时间分配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26"/>
        </w:rPr>
      </w:pPr>
    </w:p>
    <w:p>
      <w:pPr>
        <w:spacing w:after="0"/>
        <w:rPr>
          <w:sz w:val="26"/>
        </w:rPr>
        <w:sectPr>
          <w:footerReference w:type="default" r:id="rId23"/>
          <w:type w:val="continuous"/>
          <w:pgSz w:w="17860" w:h="25260"/>
          <w:pgMar w:top="920" w:right="0" w:bottom="2020" w:left="0" w:header="708" w:footer="708"/>
          <w:pgNumType w:start="5"/>
          <w:cols w:space="708"/>
        </w:sectPr>
      </w:pPr>
    </w:p>
    <w:p>
      <w:pPr>
        <w:pStyle w:val="BodyText"/>
        <w:spacing w:before="12"/>
        <w:rPr>
          <w:sz w:val="25"/>
        </w:rPr>
      </w:pPr>
    </w:p>
    <w:p>
      <w:pPr>
        <w:spacing w:before="0"/>
        <w:ind w:left="0" w:right="0" w:firstLine="0"/>
        <w:jc w:val="right"/>
        <w:rPr>
          <w:rFonts w:ascii="宋体" w:eastAsia="宋体" w:hint="eastAsia"/>
          <w:b/>
          <w:sz w:val="19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40258</wp:posOffset>
            </wp:positionV>
            <wp:extent cx="787400" cy="127000"/>
            <wp:effectExtent l="0" t="0" r="0" b="0"/>
            <wp:wrapNone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b/>
          <w:color w:val="0000FF"/>
          <w:sz w:val="19"/>
        </w:rPr>
        <w:t>20</w:t>
      </w:r>
      <w:r>
        <w:rPr>
          <w:rFonts w:ascii="宋体" w:eastAsia="宋体" w:hint="eastAsia"/>
          <w:b/>
          <w:color w:val="0000FF"/>
          <w:sz w:val="19"/>
        </w:rPr>
        <w:t>分钟</w:t>
      </w:r>
    </w:p>
    <w:p>
      <w:pPr>
        <w:pStyle w:val="BodyText"/>
        <w:spacing w:before="11"/>
        <w:rPr>
          <w:rFonts w:ascii="宋体"/>
          <w:b/>
          <w:sz w:val="30"/>
        </w:rPr>
      </w:pPr>
      <w:r>
        <w:br w:type="column"/>
      </w:r>
    </w:p>
    <w:p>
      <w:pPr>
        <w:spacing w:before="0"/>
        <w:ind w:left="927" w:right="0" w:firstLine="0"/>
        <w:jc w:val="left"/>
        <w:rPr>
          <w:rFonts w:ascii="宋体" w:eastAsia="宋体" w:hint="eastAsia"/>
          <w:b/>
          <w:sz w:val="19"/>
        </w:rPr>
      </w:pPr>
      <w:r>
        <w:rPr>
          <w:rFonts w:ascii="Times New Roman" w:eastAsia="Times New Roman"/>
          <w:b/>
          <w:color w:val="0000FF"/>
          <w:w w:val="105"/>
          <w:sz w:val="19"/>
        </w:rPr>
        <w:t>10</w:t>
      </w:r>
      <w:r>
        <w:rPr>
          <w:rFonts w:ascii="宋体" w:eastAsia="宋体" w:hint="eastAsia"/>
          <w:b/>
          <w:color w:val="0000FF"/>
          <w:spacing w:val="-10"/>
          <w:w w:val="105"/>
          <w:sz w:val="19"/>
        </w:rPr>
        <w:t>分钟</w:t>
      </w:r>
    </w:p>
    <w:p>
      <w:pPr>
        <w:spacing w:before="95"/>
        <w:ind w:left="1111" w:right="0" w:firstLine="0"/>
        <w:jc w:val="left"/>
        <w:rPr>
          <w:rFonts w:ascii="Times New Roman" w:eastAsia="Times New Roman"/>
          <w:b/>
          <w:sz w:val="17"/>
        </w:rPr>
      </w:pPr>
      <w:r>
        <w:br w:type="column"/>
      </w:r>
      <w:r>
        <w:rPr>
          <w:rFonts w:ascii="宋体" w:eastAsia="宋体" w:hint="eastAsia"/>
          <w:b/>
          <w:sz w:val="17"/>
        </w:rPr>
        <w:t>册</w:t>
      </w:r>
      <w:r>
        <w:rPr>
          <w:rFonts w:ascii="Times New Roman" w:eastAsia="Times New Roman"/>
          <w:b/>
          <w:sz w:val="17"/>
        </w:rPr>
        <w:t>ONU</w:t>
      </w:r>
    </w:p>
    <w:p>
      <w:pPr>
        <w:tabs>
          <w:tab w:val="left" w:pos="2684"/>
          <w:tab w:val="left" w:pos="4282"/>
        </w:tabs>
        <w:spacing w:before="73"/>
        <w:ind w:left="1007" w:right="0" w:firstLine="0"/>
        <w:jc w:val="left"/>
        <w:rPr>
          <w:rFonts w:ascii="宋体" w:eastAsia="宋体" w:hint="eastAsia"/>
          <w:b/>
          <w:sz w:val="19"/>
        </w:rPr>
      </w:pPr>
      <w:r>
        <w:pict>
          <v:group id="_x0000_s1042" style="width:621pt;height:21.7pt;margin-top:-28.18pt;margin-left:129pt;mso-position-horizontal-relative:page;position:absolute;z-index:-251642880" coordorigin="2580,-564" coordsize="12420,434">
            <v:shape id="_x0000_s1043" type="#_x0000_t75" style="width:12420;height:400;left:2580;position:absolute;top:-564" stroked="f">
              <v:imagedata r:id="rId25" o:title=""/>
            </v:shape>
            <v:shape id="_x0000_s1044" type="#_x0000_t202" style="width:805;height:197;left:2790;position:absolute;top:-343" filled="f" stroked="f">
              <v:textbox inset="0,0,0,0">
                <w:txbxContent>
                  <w:p>
                    <w:pPr>
                      <w:spacing w:before="0" w:line="19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sz w:val="19"/>
                      </w:rPr>
                      <w:t>营业受理</w:t>
                    </w:r>
                  </w:p>
                </w:txbxContent>
              </v:textbox>
            </v:shape>
            <v:shape id="_x0000_s1045" type="#_x0000_t202" style="width:655;height:220;left:4465;position:absolute;top:-367" filled="f" stroked="f">
              <v:textbox inset="0,0,0,0">
                <w:txbxContent>
                  <w:p>
                    <w:pPr>
                      <w:spacing w:before="2" w:line="21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w w:val="105"/>
                        <w:sz w:val="19"/>
                      </w:rPr>
                      <w:t>配</w:t>
                    </w:r>
                    <w:r>
                      <w:rPr>
                        <w:rFonts w:ascii="Times New Roman" w:eastAsia="Times New Roman"/>
                        <w:b/>
                        <w:w w:val="105"/>
                        <w:sz w:val="19"/>
                      </w:rPr>
                      <w:t>ONU</w:t>
                    </w:r>
                  </w:p>
                </w:txbxContent>
              </v:textbox>
            </v:shape>
            <v:shape id="_x0000_s1046" type="#_x0000_t202" style="width:609;height:197;left:6084;position:absolute;top:-343" filled="f" stroked="f">
              <v:textbox inset="0,0,0,0">
                <w:txbxContent>
                  <w:p>
                    <w:pPr>
                      <w:spacing w:before="0" w:line="19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w w:val="105"/>
                        <w:sz w:val="19"/>
                      </w:rPr>
                      <w:t>配端口</w:t>
                    </w:r>
                  </w:p>
                </w:txbxContent>
              </v:textbox>
            </v:shape>
            <v:shape id="_x0000_s1047" type="#_x0000_t202" style="width:994;height:189;left:7489;position:absolute;top:-436" filled="f" stroked="f">
              <v:textbox inset="0,0,0,0">
                <w:txbxContent>
                  <w:p>
                    <w:pPr>
                      <w:spacing w:before="0" w:line="18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7"/>
                      </w:rPr>
                    </w:pPr>
                    <w:r>
                      <w:rPr>
                        <w:rFonts w:ascii="Times New Roman" w:eastAsia="Times New Roman"/>
                        <w:b/>
                        <w:sz w:val="17"/>
                      </w:rPr>
                      <w:t>EPON</w:t>
                    </w:r>
                    <w:r>
                      <w:rPr>
                        <w:rFonts w:ascii="宋体" w:eastAsia="宋体" w:hint="eastAsia"/>
                        <w:b/>
                        <w:sz w:val="17"/>
                      </w:rPr>
                      <w:t>网管注</w:t>
                    </w:r>
                  </w:p>
                </w:txbxContent>
              </v:textbox>
            </v:shape>
            <v:shape id="_x0000_s1048" type="#_x0000_t202" style="width:1068;height:173;left:9050;position:absolute;top:-304" filled="f" stroked="f">
              <v:textbox inset="0,0,0,0">
                <w:txbxContent>
                  <w:p>
                    <w:pPr>
                      <w:spacing w:before="1" w:line="17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5"/>
                      </w:rPr>
                    </w:pPr>
                    <w:r>
                      <w:rPr>
                        <w:rFonts w:ascii="Times New Roman" w:eastAsia="Times New Roman"/>
                        <w:b/>
                        <w:sz w:val="15"/>
                      </w:rPr>
                      <w:t>EPON</w:t>
                    </w:r>
                    <w:r>
                      <w:rPr>
                        <w:rFonts w:ascii="宋体" w:eastAsia="宋体" w:hint="eastAsia"/>
                        <w:b/>
                        <w:sz w:val="15"/>
                      </w:rPr>
                      <w:t>网管施工</w:t>
                    </w:r>
                  </w:p>
                </w:txbxContent>
              </v:textbox>
            </v:shape>
            <v:shape id="_x0000_s1049" type="#_x0000_t202" style="width:1100;height:155;left:10629;position:absolute;top:-285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5"/>
                      </w:rPr>
                    </w:pPr>
                    <w:r>
                      <w:rPr>
                        <w:rFonts w:ascii="宋体" w:eastAsia="宋体" w:hint="eastAsia"/>
                        <w:b/>
                        <w:sz w:val="15"/>
                      </w:rPr>
                      <w:t>数据局账号施工</w:t>
                    </w:r>
                  </w:p>
                </w:txbxContent>
              </v:textbox>
            </v:shape>
            <v:shape id="_x0000_s1050" type="#_x0000_t202" style="width:805;height:197;left:12375;position:absolute;top:-343" filled="f" stroked="f">
              <v:textbox inset="0,0,0,0">
                <w:txbxContent>
                  <w:p>
                    <w:pPr>
                      <w:spacing w:before="0" w:line="19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sz w:val="19"/>
                      </w:rPr>
                      <w:t>外线施工</w:t>
                    </w:r>
                  </w:p>
                </w:txbxContent>
              </v:textbox>
            </v:shape>
            <v:shape id="_x0000_s1051" type="#_x0000_t202" style="width:413;height:197;left:14170;position:absolute;top:-343" filled="f" stroked="f">
              <v:textbox inset="0,0,0,0">
                <w:txbxContent>
                  <w:p>
                    <w:pPr>
                      <w:spacing w:before="0" w:line="19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b/>
                        <w:w w:val="105"/>
                        <w:sz w:val="19"/>
                      </w:rPr>
                      <w:t>峻工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86613</wp:posOffset>
            </wp:positionV>
            <wp:extent cx="787400" cy="127000"/>
            <wp:effectExtent l="0" t="0" r="0" b="0"/>
            <wp:wrapNone/>
            <wp:docPr id="2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86613</wp:posOffset>
            </wp:positionV>
            <wp:extent cx="787400" cy="127000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86613</wp:posOffset>
            </wp:positionV>
            <wp:extent cx="787400" cy="127000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86613</wp:posOffset>
            </wp:positionV>
            <wp:extent cx="787400" cy="127000"/>
            <wp:effectExtent l="0" t="0" r="0" b="0"/>
            <wp:wrapNone/>
            <wp:docPr id="3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b/>
          <w:color w:val="0000FF"/>
          <w:w w:val="105"/>
          <w:sz w:val="19"/>
        </w:rPr>
        <w:t>20</w:t>
      </w:r>
      <w:r>
        <w:rPr>
          <w:rFonts w:ascii="宋体" w:eastAsia="宋体" w:hint="eastAsia"/>
          <w:b/>
          <w:color w:val="0000FF"/>
          <w:w w:val="105"/>
          <w:sz w:val="19"/>
        </w:rPr>
        <w:t>分钟</w:t>
        <w:tab/>
      </w:r>
      <w:r>
        <w:rPr>
          <w:rFonts w:ascii="Times New Roman" w:eastAsia="Times New Roman"/>
          <w:b/>
          <w:color w:val="0000FF"/>
          <w:w w:val="105"/>
          <w:position w:val="1"/>
          <w:sz w:val="19"/>
        </w:rPr>
        <w:t>20</w:t>
      </w:r>
      <w:r>
        <w:rPr>
          <w:rFonts w:ascii="宋体" w:eastAsia="宋体" w:hint="eastAsia"/>
          <w:b/>
          <w:color w:val="0000FF"/>
          <w:w w:val="105"/>
          <w:position w:val="1"/>
          <w:sz w:val="19"/>
        </w:rPr>
        <w:t>分钟</w:t>
        <w:tab/>
      </w:r>
      <w:r>
        <w:rPr>
          <w:rFonts w:ascii="Times New Roman" w:eastAsia="Times New Roman"/>
          <w:b/>
          <w:color w:val="0000FF"/>
          <w:w w:val="105"/>
          <w:sz w:val="19"/>
        </w:rPr>
        <w:t>10</w:t>
      </w:r>
      <w:r>
        <w:rPr>
          <w:rFonts w:ascii="宋体" w:eastAsia="宋体" w:hint="eastAsia"/>
          <w:b/>
          <w:color w:val="0000FF"/>
          <w:w w:val="105"/>
          <w:sz w:val="19"/>
        </w:rPr>
        <w:t>分</w:t>
      </w:r>
      <w:r>
        <w:rPr>
          <w:rFonts w:ascii="宋体" w:eastAsia="宋体" w:hint="eastAsia"/>
          <w:b/>
          <w:color w:val="0000FF"/>
          <w:spacing w:val="-20"/>
          <w:w w:val="105"/>
          <w:sz w:val="19"/>
        </w:rPr>
        <w:t>钟</w:t>
      </w:r>
    </w:p>
    <w:p>
      <w:pPr>
        <w:pStyle w:val="BodyText"/>
        <w:spacing w:before="11"/>
        <w:rPr>
          <w:rFonts w:ascii="宋体"/>
          <w:b/>
          <w:sz w:val="30"/>
        </w:rPr>
      </w:pPr>
      <w:r>
        <w:br w:type="column"/>
      </w:r>
    </w:p>
    <w:p>
      <w:pPr>
        <w:spacing w:before="0"/>
        <w:ind w:left="958" w:right="0" w:firstLine="0"/>
        <w:jc w:val="left"/>
        <w:rPr>
          <w:rFonts w:ascii="宋体" w:eastAsia="宋体" w:hint="eastAsia"/>
          <w:b/>
          <w:sz w:val="19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7747000</wp:posOffset>
            </wp:positionH>
            <wp:positionV relativeFrom="paragraph">
              <wp:posOffset>33908</wp:posOffset>
            </wp:positionV>
            <wp:extent cx="787400" cy="127000"/>
            <wp:effectExtent l="0" t="0" r="0" b="0"/>
            <wp:wrapNone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b/>
          <w:color w:val="0000FF"/>
          <w:w w:val="105"/>
          <w:sz w:val="19"/>
        </w:rPr>
        <w:t>400</w:t>
      </w:r>
      <w:r>
        <w:rPr>
          <w:rFonts w:ascii="宋体" w:eastAsia="宋体" w:hint="eastAsia"/>
          <w:b/>
          <w:color w:val="0000FF"/>
          <w:w w:val="105"/>
          <w:sz w:val="19"/>
        </w:rPr>
        <w:t>分钟</w:t>
      </w:r>
    </w:p>
    <w:p>
      <w:pPr>
        <w:spacing w:after="0"/>
        <w:jc w:val="left"/>
        <w:rPr>
          <w:rFonts w:ascii="宋体" w:eastAsia="宋体" w:hint="eastAsia"/>
          <w:sz w:val="19"/>
        </w:rPr>
        <w:sectPr>
          <w:footerReference w:type="default" r:id="rId28"/>
          <w:type w:val="continuous"/>
          <w:pgSz w:w="17860" w:h="25260"/>
          <w:pgMar w:top="920" w:right="0" w:bottom="2020" w:left="0" w:header="708" w:footer="708"/>
          <w:pgNumType w:start="6"/>
          <w:cols w:num="4" w:space="708" w:equalWidth="0">
            <w:col w:w="4998" w:space="40"/>
            <w:col w:w="1518" w:space="39"/>
            <w:col w:w="4872" w:space="39"/>
            <w:col w:w="6354" w:space="0"/>
          </w:cols>
        </w:sectPr>
      </w:pPr>
    </w:p>
    <w:p>
      <w:pPr>
        <w:pStyle w:val="ListParagraph"/>
        <w:numPr>
          <w:ilvl w:val="0"/>
          <w:numId w:val="7"/>
        </w:numPr>
        <w:tabs>
          <w:tab w:val="left" w:pos="4747"/>
        </w:tabs>
        <w:spacing w:before="190" w:after="0" w:line="240" w:lineRule="auto"/>
        <w:ind w:left="4746" w:right="0" w:hanging="1226"/>
        <w:jc w:val="left"/>
        <w:rPr>
          <w:sz w:val="48"/>
        </w:rPr>
      </w:pPr>
      <w:r>
        <w:rPr>
          <w:sz w:val="48"/>
        </w:rPr>
        <w:t>宽带 4 小时修障时间分配</w:t>
      </w: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29"/>
          <w:type w:val="continuous"/>
          <w:pgSz w:w="17860" w:h="25260"/>
          <w:pgMar w:top="920" w:right="0" w:bottom="2020" w:left="0" w:header="708" w:footer="708"/>
          <w:pgNumType w:start="7"/>
          <w:cols w:space="708"/>
        </w:sectPr>
      </w:pPr>
    </w:p>
    <w:p>
      <w:pPr>
        <w:pStyle w:val="BodyText"/>
        <w:spacing w:before="6"/>
        <w:rPr>
          <w:sz w:val="2"/>
        </w:rPr>
      </w:pPr>
    </w:p>
    <w:p>
      <w:pPr>
        <w:pStyle w:val="BodyText"/>
        <w:ind w:left="3560"/>
        <w:rPr>
          <w:sz w:val="20"/>
        </w:rPr>
      </w:pPr>
      <w:r>
        <w:rPr>
          <w:sz w:val="20"/>
        </w:rPr>
        <w:pict>
          <v:group id="_x0000_i1052" style="width:84pt;height:28pt;mso-position-horizontal-relative:char;mso-position-vertical-relative:line" coordorigin="0,0" coordsize="1680,560">
            <v:shape id="_x0000_s1053" type="#_x0000_t75" style="width:1680;height:560;position:absolute" stroked="f">
              <v:imagedata r:id="rId30" o:title=""/>
            </v:shape>
            <v:shape id="_x0000_s1054" type="#_x0000_t202" style="width:1680;height:560;position:absolute" filled="f" stroked="f">
              <v:textbox inset="0,0,0,0">
                <w:txbxContent>
                  <w:p>
                    <w:pPr>
                      <w:spacing w:before="116" w:line="444" w:lineRule="exact"/>
                      <w:ind w:left="292" w:right="0" w:firstLine="0"/>
                      <w:jc w:val="left"/>
                      <w:rPr>
                        <w:rFonts w:ascii="微软雅黑" w:eastAsia="微软雅黑" w:hint="eastAsia"/>
                        <w:b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27"/>
                      </w:rPr>
                      <w:t>故障受理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/>
        <w:ind w:left="0" w:right="0" w:firstLine="0"/>
        <w:jc w:val="right"/>
        <w:rPr>
          <w:rFonts w:ascii="微软雅黑" w:eastAsia="微软雅黑" w:hint="eastAsia"/>
          <w:b/>
          <w:sz w:val="27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3625088</wp:posOffset>
            </wp:positionH>
            <wp:positionV relativeFrom="paragraph">
              <wp:posOffset>-423829</wp:posOffset>
            </wp:positionV>
            <wp:extent cx="39750" cy="1388999"/>
            <wp:effectExtent l="0" t="0" r="0" b="0"/>
            <wp:wrapNone/>
            <wp:docPr id="3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1388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5" style="width:84pt;height:41pt;margin-top:21.62pt;margin-left:179pt;mso-position-horizontal-relative:page;position:absolute;z-index:-251626496" coordorigin="3580,432" coordsize="1680,820">
            <v:shape id="_x0000_s1056" type="#_x0000_t75" style="width:1680;height:820;left:3580;position:absolute;top:432" stroked="f">
              <v:imagedata r:id="rId32" o:title=""/>
            </v:shape>
            <v:shape id="_x0000_s1057" type="#_x0000_t202" style="width:1680;height:820;left:3580;position:absolute;top:432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5"/>
                      </w:rPr>
                    </w:pPr>
                  </w:p>
                  <w:p>
                    <w:pPr>
                      <w:spacing w:before="0" w:line="446" w:lineRule="exact"/>
                      <w:ind w:left="427" w:right="0" w:firstLine="0"/>
                      <w:jc w:val="left"/>
                      <w:rPr>
                        <w:rFonts w:ascii="微软雅黑" w:eastAsia="微软雅黑" w:hint="eastAsia"/>
                        <w:b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27"/>
                      </w:rPr>
                      <w:t>客服部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b/>
          <w:color w:val="FF0000"/>
          <w:sz w:val="27"/>
        </w:rPr>
        <w:t>10分钟内派单</w:t>
      </w:r>
    </w:p>
    <w:p>
      <w:pPr>
        <w:pStyle w:val="BodyText"/>
        <w:spacing w:before="5"/>
        <w:rPr>
          <w:rFonts w:ascii="微软雅黑"/>
          <w:b/>
          <w:sz w:val="32"/>
        </w:rPr>
      </w:pPr>
      <w:r>
        <w:br w:type="column"/>
      </w:r>
    </w:p>
    <w:p>
      <w:pPr>
        <w:spacing w:before="0"/>
        <w:ind w:left="878" w:right="0" w:firstLine="0"/>
        <w:jc w:val="left"/>
        <w:rPr>
          <w:rFonts w:ascii="微软雅黑" w:eastAsia="微软雅黑" w:hint="eastAsia"/>
          <w:b/>
          <w:sz w:val="27"/>
        </w:rPr>
      </w:pPr>
      <w:r>
        <w:pict>
          <v:group id="_x0000_s1058" style="width:85pt;height:28pt;margin-top:-27.76pt;margin-left:301pt;mso-position-horizontal-relative:page;position:absolute;z-index:251680768" coordorigin="6020,-555" coordsize="1700,560">
            <v:shape id="_x0000_s1059" type="#_x0000_t75" style="width:1700;height:560;left:6020;position:absolute;top:-556" stroked="f">
              <v:imagedata r:id="rId33" o:title=""/>
            </v:shape>
            <v:shape id="_x0000_s1060" type="#_x0000_t202" style="width:1700;height:560;left:6020;position:absolute;top:-556" filled="f" stroked="f">
              <v:textbox inset="0,0,0,0">
                <w:txbxContent>
                  <w:p>
                    <w:pPr>
                      <w:spacing w:before="112" w:line="448" w:lineRule="exact"/>
                      <w:ind w:left="299" w:right="0" w:firstLine="0"/>
                      <w:jc w:val="left"/>
                      <w:rPr>
                        <w:rFonts w:ascii="微软雅黑" w:eastAsia="微软雅黑" w:hint="eastAsia"/>
                        <w:b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27"/>
                      </w:rPr>
                      <w:t>故障初判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b/>
          <w:color w:val="FF0000"/>
          <w:sz w:val="27"/>
        </w:rPr>
        <w:t>20</w:t>
      </w:r>
      <w:r>
        <w:rPr>
          <w:rFonts w:ascii="微软雅黑" w:eastAsia="微软雅黑" w:hint="eastAsia"/>
          <w:b/>
          <w:color w:val="FF0000"/>
          <w:spacing w:val="-7"/>
          <w:sz w:val="27"/>
        </w:rPr>
        <w:t>分钟内</w:t>
      </w:r>
    </w:p>
    <w:p>
      <w:pPr>
        <w:pStyle w:val="BodyText"/>
        <w:spacing w:before="3"/>
        <w:rPr>
          <w:rFonts w:ascii="微软雅黑"/>
          <w:b/>
          <w:sz w:val="2"/>
        </w:rPr>
      </w:pPr>
      <w:r>
        <w:br w:type="column"/>
      </w:r>
    </w:p>
    <w:p>
      <w:pPr>
        <w:pStyle w:val="BodyText"/>
        <w:ind w:left="1031"/>
        <w:rPr>
          <w:rFonts w:ascii="微软雅黑"/>
          <w:sz w:val="20"/>
        </w:rPr>
      </w:pPr>
      <w:r>
        <w:rPr>
          <w:rFonts w:ascii="微软雅黑"/>
          <w:sz w:val="20"/>
        </w:rPr>
        <w:pict>
          <v:group id="_x0000_i1061" style="width:110pt;height:28pt;mso-position-horizontal-relative:char;mso-position-vertical-relative:line" coordorigin="0,0" coordsize="2200,560">
            <v:shape id="_x0000_s1062" type="#_x0000_t75" style="width:2200;height:560;position:absolute" stroked="f">
              <v:imagedata r:id="rId34" o:title=""/>
            </v:shape>
            <v:shape id="_x0000_s1063" type="#_x0000_t202" style="width:2200;height:560;position:absolute" filled="f" stroked="f">
              <v:textbox inset="0,0,0,0">
                <w:txbxContent>
                  <w:p>
                    <w:pPr>
                      <w:spacing w:before="112" w:line="448" w:lineRule="exact"/>
                      <w:ind w:left="285" w:right="0" w:firstLine="0"/>
                      <w:jc w:val="left"/>
                      <w:rPr>
                        <w:rFonts w:ascii="微软雅黑" w:eastAsia="微软雅黑" w:hint="eastAsia"/>
                        <w:b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27"/>
                      </w:rPr>
                      <w:t>处理局内故障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4" w:line="225" w:lineRule="auto"/>
        <w:ind w:left="2736" w:right="0" w:firstLine="0"/>
        <w:jc w:val="left"/>
        <w:rPr>
          <w:rFonts w:ascii="微软雅黑" w:eastAsia="微软雅黑" w:hint="eastAsia"/>
          <w:b/>
          <w:sz w:val="27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5149088</wp:posOffset>
            </wp:positionH>
            <wp:positionV relativeFrom="paragraph">
              <wp:posOffset>-430802</wp:posOffset>
            </wp:positionV>
            <wp:extent cx="39750" cy="1388999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1388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4" style="width:97pt;height:46pt;margin-top:21.07pt;margin-left:298pt;mso-position-horizontal-relative:page;position:absolute;z-index:-251628544" coordorigin="5960,421" coordsize="1940,920">
            <v:shape id="_x0000_s1065" type="#_x0000_t75" style="width:1940;height:920;left:5960;position:absolute;top:421" stroked="f">
              <v:imagedata r:id="rId35" o:title=""/>
            </v:shape>
            <v:shape id="_x0000_s1066" type="#_x0000_t202" style="width:1940;height:920;left:5960;position:absolute;top:421" filled="f" stroked="f">
              <v:textbox inset="0,0,0,0">
                <w:txbxContent>
                  <w:p>
                    <w:pPr>
                      <w:spacing w:before="7" w:line="240" w:lineRule="auto"/>
                      <w:rPr>
                        <w:sz w:val="31"/>
                      </w:rPr>
                    </w:pPr>
                  </w:p>
                  <w:p>
                    <w:pPr>
                      <w:spacing w:before="0" w:line="449" w:lineRule="exact"/>
                      <w:ind w:left="229" w:right="0" w:firstLine="0"/>
                      <w:jc w:val="left"/>
                      <w:rPr>
                        <w:rFonts w:ascii="微软雅黑" w:eastAsia="微软雅黑" w:hint="eastAsia"/>
                        <w:b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27"/>
                      </w:rPr>
                      <w:t>测量室/端局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b/>
          <w:color w:val="FF0000"/>
          <w:sz w:val="27"/>
        </w:rPr>
        <w:t>3.5</w:t>
      </w:r>
      <w:r>
        <w:rPr>
          <w:rFonts w:ascii="微软雅黑" w:eastAsia="微软雅黑" w:hint="eastAsia"/>
          <w:b/>
          <w:color w:val="FF0000"/>
          <w:spacing w:val="-5"/>
          <w:sz w:val="27"/>
        </w:rPr>
        <w:t xml:space="preserve"> 小 时</w:t>
      </w:r>
      <w:r>
        <w:rPr>
          <w:rFonts w:ascii="微软雅黑" w:eastAsia="微软雅黑" w:hint="eastAsia"/>
          <w:b/>
          <w:color w:val="FF0000"/>
          <w:sz w:val="27"/>
        </w:rPr>
        <w:t>内</w:t>
      </w:r>
    </w:p>
    <w:p>
      <w:pPr>
        <w:spacing w:before="0" w:line="321" w:lineRule="exact"/>
        <w:ind w:left="1518" w:right="0" w:firstLine="0"/>
        <w:jc w:val="left"/>
        <w:rPr>
          <w:rFonts w:ascii="微软雅黑" w:eastAsia="微软雅黑" w:hint="eastAsia"/>
          <w:b/>
          <w:sz w:val="27"/>
        </w:rPr>
      </w:pPr>
      <w:r>
        <w:rPr>
          <w:rFonts w:ascii="微软雅黑" w:eastAsia="微软雅黑" w:hint="eastAsia"/>
          <w:b/>
          <w:spacing w:val="-1"/>
          <w:sz w:val="27"/>
        </w:rPr>
        <w:t>网管中心</w:t>
      </w:r>
      <w:r>
        <w:rPr>
          <w:rFonts w:ascii="微软雅黑" w:eastAsia="微软雅黑" w:hint="eastAsia"/>
          <w:b/>
          <w:sz w:val="27"/>
        </w:rPr>
        <w:t>/设</w:t>
      </w:r>
    </w:p>
    <w:p>
      <w:pPr>
        <w:spacing w:before="51" w:line="225" w:lineRule="auto"/>
        <w:ind w:left="269" w:right="4798" w:hanging="270"/>
        <w:jc w:val="left"/>
        <w:rPr>
          <w:rFonts w:ascii="微软雅黑" w:eastAsia="微软雅黑" w:hint="eastAsia"/>
          <w:b/>
          <w:sz w:val="27"/>
        </w:rPr>
      </w:pPr>
      <w:r>
        <w:br w:type="column"/>
      </w:r>
      <w:r>
        <w:rPr>
          <w:rFonts w:ascii="微软雅黑" w:eastAsia="微软雅黑" w:hint="eastAsia"/>
          <w:b/>
          <w:spacing w:val="-3"/>
          <w:sz w:val="27"/>
        </w:rPr>
        <w:t>处理外线及用</w:t>
      </w:r>
      <w:r>
        <w:rPr>
          <w:rFonts w:ascii="微软雅黑" w:eastAsia="微软雅黑" w:hint="eastAsia"/>
          <w:b/>
          <w:sz w:val="27"/>
        </w:rPr>
        <w:t>户端故障</w:t>
      </w:r>
    </w:p>
    <w:p>
      <w:pPr>
        <w:pStyle w:val="BodyText"/>
        <w:spacing w:before="11"/>
        <w:rPr>
          <w:rFonts w:ascii="微软雅黑"/>
          <w:b/>
          <w:sz w:val="19"/>
        </w:rPr>
      </w:pPr>
    </w:p>
    <w:p>
      <w:pPr>
        <w:spacing w:before="0"/>
        <w:ind w:left="319" w:right="0" w:firstLine="0"/>
        <w:jc w:val="left"/>
        <w:rPr>
          <w:rFonts w:ascii="微软雅黑" w:eastAsia="微软雅黑" w:hint="eastAsia"/>
          <w:b/>
          <w:sz w:val="27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7086600</wp:posOffset>
            </wp:positionH>
            <wp:positionV relativeFrom="paragraph">
              <wp:posOffset>-906556</wp:posOffset>
            </wp:positionV>
            <wp:extent cx="1397000" cy="508000"/>
            <wp:effectExtent l="0" t="0" r="0" b="0"/>
            <wp:wrapNone/>
            <wp:docPr id="3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8603488</wp:posOffset>
            </wp:positionH>
            <wp:positionV relativeFrom="paragraph">
              <wp:posOffset>-975517</wp:posOffset>
            </wp:positionV>
            <wp:extent cx="39750" cy="1388999"/>
            <wp:effectExtent l="0" t="0" r="0" b="0"/>
            <wp:wrapNone/>
            <wp:docPr id="4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7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1388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7" style="width:98pt;height:38pt;margin-top:-75.38pt;margin-left:698pt;mso-position-horizontal-relative:page;position:absolute;z-index:251681792" coordorigin="13960,-1508" coordsize="1960,760">
            <v:shape id="_x0000_s1068" type="#_x0000_t75" style="width:1960;height:760;left:13960;position:absolute;top:-1508" stroked="f">
              <v:imagedata r:id="rId38" o:title=""/>
            </v:shape>
            <v:shape id="_x0000_s1069" type="#_x0000_t202" style="width:1960;height:760;left:13960;position:absolute;top:-1508" filled="f" stroked="f">
              <v:textbox inset="0,0,0,0">
                <w:txbxContent>
                  <w:p>
                    <w:pPr>
                      <w:spacing w:before="111"/>
                      <w:ind w:left="299" w:right="0" w:firstLine="0"/>
                      <w:jc w:val="left"/>
                      <w:rPr>
                        <w:rFonts w:ascii="微软雅黑" w:eastAsia="微软雅黑" w:hint="eastAsia"/>
                        <w:b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27"/>
                      </w:rPr>
                      <w:t>与用户核实</w:t>
                    </w:r>
                  </w:p>
                </w:txbxContent>
              </v:textbox>
            </v:shape>
          </v:group>
        </w:pict>
      </w:r>
      <w:r>
        <w:pict>
          <v:group id="_x0000_s1070" style="width:105pt;height:46pt;margin-top:-22.38pt;margin-left:695pt;mso-position-horizontal-relative:page;position:absolute;z-index:251682816" coordorigin="13900,-448" coordsize="2100,920">
            <v:shape id="_x0000_s1071" type="#_x0000_t75" style="width:2100;height:920;left:13900;position:absolute;top:-448" stroked="f">
              <v:imagedata r:id="rId39" o:title=""/>
            </v:shape>
            <v:shape id="_x0000_s1072" type="#_x0000_t202" style="width:2100;height:920;left:13900;position:absolute;top:-448" filled="f" stroked="f">
              <v:textbox inset="0,0,0,0">
                <w:txbxContent>
                  <w:p>
                    <w:pPr>
                      <w:spacing w:before="1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440" w:lineRule="exact"/>
                      <w:ind w:left="312" w:right="0" w:firstLine="0"/>
                      <w:jc w:val="left"/>
                      <w:rPr>
                        <w:rFonts w:ascii="微软雅黑" w:eastAsia="微软雅黑" w:hint="eastAsia"/>
                        <w:b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27"/>
                      </w:rPr>
                      <w:t>测量室/端局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-200944</wp:posOffset>
            </wp:positionV>
            <wp:extent cx="3009900" cy="673100"/>
            <wp:effectExtent l="0" t="0" r="0" b="0"/>
            <wp:wrapNone/>
            <wp:docPr id="4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0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b/>
          <w:sz w:val="27"/>
        </w:rPr>
        <w:t>装维经理</w:t>
      </w:r>
    </w:p>
    <w:p>
      <w:pPr>
        <w:spacing w:after="0"/>
        <w:jc w:val="left"/>
        <w:rPr>
          <w:rFonts w:ascii="微软雅黑" w:eastAsia="微软雅黑" w:hint="eastAsia"/>
          <w:sz w:val="27"/>
        </w:rPr>
        <w:sectPr>
          <w:footerReference w:type="default" r:id="rId41"/>
          <w:type w:val="continuous"/>
          <w:pgSz w:w="17860" w:h="25260"/>
          <w:pgMar w:top="920" w:right="0" w:bottom="2020" w:left="0" w:header="708" w:footer="708"/>
          <w:pgNumType w:start="8"/>
          <w:cols w:num="4" w:space="708" w:equalWidth="0">
            <w:col w:w="5369" w:space="40"/>
            <w:col w:w="2020" w:space="39"/>
            <w:col w:w="3932" w:space="40"/>
            <w:col w:w="6420" w:space="0"/>
          </w:cols>
        </w:sectPr>
      </w:pPr>
    </w:p>
    <w:p>
      <w:pPr>
        <w:pStyle w:val="BodyText"/>
        <w:tabs>
          <w:tab w:val="left" w:pos="6610"/>
          <w:tab w:val="left" w:pos="7633"/>
        </w:tabs>
        <w:spacing w:line="338" w:lineRule="auto"/>
        <w:ind w:left="2553" w:right="2563" w:firstLine="961"/>
      </w:pPr>
      <w:r>
        <w:t>统计口径：以</w:t>
        <w:tab/>
        <w:t>112</w:t>
        <w:tab/>
      </w:r>
      <w:r>
        <w:rPr>
          <w:w w:val="95"/>
        </w:rPr>
        <w:t>故障系统受理确认为起算时间点，</w:t>
      </w:r>
      <w:r>
        <w:rPr>
          <w:spacing w:val="-18"/>
          <w:w w:val="95"/>
        </w:rPr>
        <w:t>以</w:t>
      </w:r>
      <w:r>
        <w:t>外线施工完毕系统报竣为终止时间点。</w:t>
      </w:r>
    </w:p>
    <w:p>
      <w:pPr>
        <w:pStyle w:val="BodyText"/>
        <w:spacing w:before="127" w:line="312" w:lineRule="auto"/>
        <w:ind w:left="2553" w:right="2630" w:firstLine="968"/>
      </w:pPr>
      <w:r>
        <w:t>工作时间：统一按照省公司统计标准：上午 8：30-12： 00、下午：2：00-5：30（不分节假日）</w:t>
      </w:r>
    </w:p>
    <w:p>
      <w:pPr>
        <w:spacing w:after="0" w:line="312" w:lineRule="auto"/>
        <w:sectPr>
          <w:footerReference w:type="default" r:id="rId42"/>
          <w:type w:val="continuous"/>
          <w:pgSz w:w="17860" w:h="25260"/>
          <w:pgMar w:top="920" w:right="0" w:bottom="2020" w:left="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4747"/>
        </w:tabs>
        <w:spacing w:before="81" w:after="0" w:line="312" w:lineRule="auto"/>
        <w:ind w:left="2553" w:right="2551" w:firstLine="968"/>
        <w:jc w:val="both"/>
        <w:rPr>
          <w:sz w:val="48"/>
        </w:rPr>
      </w:pPr>
      <w:r>
        <w:rPr>
          <w:w w:val="95"/>
          <w:sz w:val="48"/>
        </w:rPr>
        <w:t xml:space="preserve">省分信息化事业部已在系统中完成各个工位的时限 </w:t>
      </w:r>
      <w:r>
        <w:rPr>
          <w:spacing w:val="-14"/>
          <w:sz w:val="48"/>
        </w:rPr>
        <w:t xml:space="preserve">预警工作，下一步将完成修障 </w:t>
      </w:r>
      <w:r>
        <w:rPr>
          <w:sz w:val="48"/>
        </w:rPr>
        <w:t>3.5</w:t>
      </w:r>
      <w:r>
        <w:rPr>
          <w:spacing w:val="-2"/>
          <w:sz w:val="48"/>
        </w:rPr>
        <w:t xml:space="preserve"> 小时及装移机 </w:t>
      </w:r>
      <w:r>
        <w:rPr>
          <w:sz w:val="48"/>
        </w:rPr>
        <w:t>7</w:t>
      </w:r>
      <w:r>
        <w:rPr>
          <w:spacing w:val="-5"/>
          <w:sz w:val="48"/>
        </w:rPr>
        <w:t xml:space="preserve"> 小时仍未峻</w:t>
      </w:r>
      <w:r>
        <w:rPr>
          <w:spacing w:val="-14"/>
          <w:w w:val="95"/>
          <w:sz w:val="48"/>
        </w:rPr>
        <w:t xml:space="preserve">工的工单的预警工作，各分公司要加强工单监控，并及时通知  </w:t>
      </w:r>
      <w:r>
        <w:rPr>
          <w:sz w:val="48"/>
        </w:rPr>
        <w:t>相关部门领导及责任人，避免工单超时。</w:t>
      </w:r>
    </w:p>
    <w:p>
      <w:pPr>
        <w:pStyle w:val="ListParagraph"/>
        <w:numPr>
          <w:ilvl w:val="0"/>
          <w:numId w:val="8"/>
        </w:numPr>
        <w:tabs>
          <w:tab w:val="left" w:pos="4152"/>
        </w:tabs>
        <w:spacing w:before="13" w:after="0" w:line="240" w:lineRule="auto"/>
        <w:ind w:left="4151" w:right="0" w:hanging="638"/>
        <w:jc w:val="both"/>
        <w:rPr>
          <w:sz w:val="48"/>
        </w:rPr>
      </w:pPr>
      <w:r>
        <w:rPr>
          <w:sz w:val="48"/>
        </w:rPr>
        <w:t>完善“480”服务承诺支撑保障流程</w:t>
      </w:r>
    </w:p>
    <w:p>
      <w:pPr>
        <w:pStyle w:val="BodyText"/>
        <w:spacing w:before="218" w:line="312" w:lineRule="auto"/>
        <w:ind w:left="2553" w:right="2479" w:firstLine="957"/>
      </w:pPr>
      <w:r>
        <w:t>宽带无条件受理流程、4 小时修障流程及 “480”区域宽带驻地网应急建设流程省公司近期将下文进行具体要求。</w:t>
      </w:r>
    </w:p>
    <w:p>
      <w:pPr>
        <w:pStyle w:val="Heading2"/>
        <w:spacing w:line="592" w:lineRule="exact"/>
      </w:pPr>
      <w:r>
        <w:t>（二）加强资源核查，提升资源准确率</w:t>
      </w:r>
    </w:p>
    <w:p>
      <w:pPr>
        <w:pStyle w:val="ListParagraph"/>
        <w:numPr>
          <w:ilvl w:val="0"/>
          <w:numId w:val="6"/>
        </w:numPr>
        <w:tabs>
          <w:tab w:val="left" w:pos="4137"/>
        </w:tabs>
        <w:spacing w:before="294" w:after="0" w:line="338" w:lineRule="auto"/>
        <w:ind w:left="2553" w:right="2551" w:firstLine="939"/>
        <w:jc w:val="both"/>
        <w:rPr>
          <w:sz w:val="48"/>
        </w:rPr>
      </w:pPr>
      <w:r>
        <w:rPr>
          <w:sz w:val="48"/>
        </w:rPr>
        <w:t>各市分公司要按照《关于加强宽带资源核查保障服务</w:t>
      </w:r>
      <w:r>
        <w:rPr>
          <w:spacing w:val="-15"/>
          <w:w w:val="95"/>
          <w:sz w:val="48"/>
        </w:rPr>
        <w:t xml:space="preserve">承诺的通知》要求，建立定期的核查制度进行资源核查。对宽  </w:t>
      </w:r>
      <w:r>
        <w:rPr>
          <w:spacing w:val="-12"/>
          <w:w w:val="95"/>
          <w:sz w:val="48"/>
        </w:rPr>
        <w:t xml:space="preserve">带接入线路资源进行全面清查，清理交接箱、分线盒内的废旧  </w:t>
      </w:r>
      <w:r>
        <w:rPr>
          <w:spacing w:val="-16"/>
          <w:w w:val="95"/>
          <w:sz w:val="48"/>
        </w:rPr>
        <w:t>跳线，及时更新接入线路资源台账，确保号线资源准确率达到</w:t>
      </w:r>
      <w:r>
        <w:rPr>
          <w:spacing w:val="-16"/>
          <w:sz w:val="48"/>
        </w:rPr>
        <w:t>95%以上。</w:t>
      </w:r>
    </w:p>
    <w:p>
      <w:pPr>
        <w:pStyle w:val="ListParagraph"/>
        <w:numPr>
          <w:ilvl w:val="0"/>
          <w:numId w:val="6"/>
        </w:numPr>
        <w:tabs>
          <w:tab w:val="left" w:pos="4181"/>
        </w:tabs>
        <w:spacing w:before="126" w:after="0" w:line="312" w:lineRule="auto"/>
        <w:ind w:left="2553" w:right="2551" w:firstLine="989"/>
        <w:jc w:val="both"/>
        <w:rPr>
          <w:sz w:val="48"/>
        </w:rPr>
      </w:pPr>
      <w:r>
        <w:rPr>
          <w:spacing w:val="1"/>
          <w:sz w:val="48"/>
        </w:rPr>
        <w:t>各市分公司要按照豫网络传〔</w:t>
      </w:r>
      <w:r>
        <w:rPr>
          <w:sz w:val="48"/>
        </w:rPr>
        <w:t>2012〕116</w:t>
      </w:r>
      <w:r>
        <w:rPr>
          <w:spacing w:val="-3"/>
          <w:sz w:val="48"/>
        </w:rPr>
        <w:t xml:space="preserve"> 号《关于进</w:t>
      </w:r>
      <w:r>
        <w:rPr>
          <w:spacing w:val="-14"/>
          <w:w w:val="95"/>
          <w:sz w:val="48"/>
        </w:rPr>
        <w:t xml:space="preserve">一步提高标准地址准确率的通知》，认真组织，责任到人，按  </w:t>
      </w:r>
      <w:r>
        <w:rPr>
          <w:spacing w:val="-19"/>
          <w:w w:val="95"/>
          <w:sz w:val="48"/>
        </w:rPr>
        <w:t xml:space="preserve">照省公司相关要求，加快标准地址核查进度，导入核查后标准  </w:t>
      </w:r>
      <w:r>
        <w:rPr>
          <w:spacing w:val="-17"/>
          <w:w w:val="95"/>
          <w:sz w:val="48"/>
        </w:rPr>
        <w:t xml:space="preserve">地址，并进行标准地址和资源的绑定。按照进度安排完成阶段  </w:t>
      </w:r>
      <w:r>
        <w:rPr>
          <w:spacing w:val="-16"/>
          <w:sz w:val="48"/>
        </w:rPr>
        <w:t xml:space="preserve">性目标，标准地址准确率达到 </w:t>
      </w:r>
      <w:r>
        <w:rPr>
          <w:sz w:val="48"/>
        </w:rPr>
        <w:t>90%以上。</w:t>
      </w:r>
    </w:p>
    <w:p>
      <w:pPr>
        <w:pStyle w:val="ListParagraph"/>
        <w:numPr>
          <w:ilvl w:val="0"/>
          <w:numId w:val="6"/>
        </w:numPr>
        <w:tabs>
          <w:tab w:val="left" w:pos="4159"/>
        </w:tabs>
        <w:spacing w:before="16" w:after="0" w:line="240" w:lineRule="auto"/>
        <w:ind w:left="4158" w:right="0" w:hanging="645"/>
        <w:jc w:val="both"/>
        <w:rPr>
          <w:sz w:val="48"/>
        </w:rPr>
      </w:pPr>
      <w:r>
        <w:rPr>
          <w:sz w:val="48"/>
        </w:rPr>
        <w:t>针对营业中心业务受理过程中查询不到标准地址信息</w:t>
      </w:r>
    </w:p>
    <w:p>
      <w:pPr>
        <w:spacing w:after="0" w:line="240" w:lineRule="auto"/>
        <w:jc w:val="both"/>
        <w:rPr>
          <w:sz w:val="48"/>
        </w:rPr>
        <w:sectPr>
          <w:footerReference w:type="default" r:id="rId43"/>
          <w:pgSz w:w="17860" w:h="25260"/>
          <w:pgMar w:top="1200" w:right="0" w:bottom="2020" w:left="0" w:header="0" w:footer="1820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tabs>
          <w:tab w:val="left" w:pos="12900"/>
        </w:tabs>
        <w:spacing w:before="94"/>
        <w:ind w:left="2553"/>
        <w:jc w:val="both"/>
      </w:pPr>
      <w:r>
        <w:t>的，按照省公司《</w:t>
        <w:tab/>
        <w:t>关于加强宽</w:t>
      </w:r>
    </w:p>
    <w:p>
      <w:pPr>
        <w:pStyle w:val="BodyText"/>
        <w:spacing w:before="269" w:line="312" w:lineRule="auto"/>
        <w:ind w:left="2553" w:right="2376"/>
        <w:jc w:val="both"/>
      </w:pPr>
      <w:r>
        <w:rPr>
          <w:spacing w:val="-3"/>
        </w:rPr>
        <w:t>带受理环节标准地址库应用推广工作的通知》 ( 豫联通传[2012]164</w:t>
      </w:r>
      <w:r>
        <w:t xml:space="preserve"> 号)要求，各市分公司信息化服务中心每日提取前</w:t>
      </w:r>
      <w:r>
        <w:rPr>
          <w:spacing w:val="-16"/>
        </w:rPr>
        <w:t>一天标识为“标准地址不正确”的工单详单，发送至网络公司</w:t>
      </w:r>
      <w:r>
        <w:rPr>
          <w:spacing w:val="-18"/>
        </w:rPr>
        <w:t>运行维护部，由运行维护部督促公众客户响应中心两个工作日</w:t>
      </w:r>
      <w:r>
        <w:rPr>
          <w:spacing w:val="-18"/>
          <w:w w:val="95"/>
        </w:rPr>
        <w:t xml:space="preserve">内整改完善，并将标定整改结果反馈信息化服务心进行导入，  </w:t>
      </w:r>
      <w:r>
        <w:t>通过顺畅的更新机制完成标准地址的完善。</w:t>
      </w:r>
    </w:p>
    <w:p>
      <w:pPr>
        <w:pStyle w:val="ListParagraph"/>
        <w:numPr>
          <w:ilvl w:val="0"/>
          <w:numId w:val="9"/>
        </w:numPr>
        <w:tabs>
          <w:tab w:val="left" w:pos="4159"/>
        </w:tabs>
        <w:spacing w:before="0" w:after="0" w:line="604" w:lineRule="exact"/>
        <w:ind w:left="4158" w:right="0" w:hanging="645"/>
        <w:jc w:val="both"/>
        <w:rPr>
          <w:sz w:val="48"/>
        </w:rPr>
      </w:pPr>
      <w:r>
        <w:rPr>
          <w:sz w:val="48"/>
        </w:rPr>
        <w:t>接入线路割接或新建（扩容）工程验收后，要在三个</w:t>
      </w:r>
    </w:p>
    <w:p>
      <w:pPr>
        <w:pStyle w:val="BodyText"/>
        <w:spacing w:before="294"/>
        <w:ind w:left="2553"/>
      </w:pPr>
      <w:r>
        <w:t>工作日内将线路资源信息录入到综合营销系统中。</w:t>
      </w:r>
    </w:p>
    <w:p>
      <w:pPr>
        <w:pStyle w:val="ListParagraph"/>
        <w:numPr>
          <w:ilvl w:val="0"/>
          <w:numId w:val="9"/>
        </w:numPr>
        <w:tabs>
          <w:tab w:val="left" w:pos="4159"/>
        </w:tabs>
        <w:spacing w:before="294" w:after="0" w:line="338" w:lineRule="auto"/>
        <w:ind w:left="2553" w:right="2562" w:firstLine="961"/>
        <w:jc w:val="both"/>
        <w:rPr>
          <w:sz w:val="48"/>
        </w:rPr>
      </w:pPr>
      <w:r>
        <w:rPr>
          <w:sz w:val="48"/>
        </w:rPr>
        <w:t>装维经理在日常固话、宽带装、拆、移、修工作中对</w:t>
      </w:r>
      <w:r>
        <w:rPr>
          <w:spacing w:val="-2"/>
          <w:sz w:val="48"/>
        </w:rPr>
        <w:t xml:space="preserve">现网线路资源进行调整后，要在 </w:t>
      </w:r>
      <w:r>
        <w:rPr>
          <w:sz w:val="48"/>
        </w:rPr>
        <w:t>24</w:t>
      </w:r>
      <w:r>
        <w:rPr>
          <w:spacing w:val="-5"/>
          <w:sz w:val="48"/>
        </w:rPr>
        <w:t xml:space="preserve"> 小时内将更新后的实际号</w:t>
      </w:r>
      <w:r>
        <w:rPr>
          <w:sz w:val="48"/>
        </w:rPr>
        <w:t>线资料及时反馈给相应工位并更新到综合营销系统中。</w:t>
      </w:r>
    </w:p>
    <w:p>
      <w:pPr>
        <w:pStyle w:val="ListParagraph"/>
        <w:numPr>
          <w:ilvl w:val="0"/>
          <w:numId w:val="9"/>
        </w:numPr>
        <w:tabs>
          <w:tab w:val="left" w:pos="4159"/>
        </w:tabs>
        <w:spacing w:before="0" w:after="0" w:line="338" w:lineRule="auto"/>
        <w:ind w:left="2553" w:right="2686" w:firstLine="961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各分公司要建立宽带资源实占情况定期通报制度和号 </w:t>
      </w:r>
      <w:r>
        <w:rPr>
          <w:sz w:val="48"/>
        </w:rPr>
        <w:t>线资源预警通报制度。</w:t>
      </w:r>
    </w:p>
    <w:p>
      <w:pPr>
        <w:pStyle w:val="Heading2"/>
        <w:spacing w:line="717" w:lineRule="exact"/>
      </w:pPr>
      <w:r>
        <w:t>（三）加快建设进度，确保资源到位</w:t>
      </w:r>
    </w:p>
    <w:p>
      <w:pPr>
        <w:pStyle w:val="BodyText"/>
        <w:spacing w:before="283"/>
        <w:ind w:left="3514"/>
      </w:pPr>
      <w:r>
        <w:t>1、各市要统筹做好投资计划管控，严格按照市场部门需</w:t>
      </w:r>
    </w:p>
    <w:p>
      <w:pPr>
        <w:spacing w:after="0"/>
        <w:sectPr>
          <w:footerReference w:type="default" r:id="rId44"/>
          <w:pgSz w:w="17860" w:h="25260"/>
          <w:pgMar w:top="2420" w:right="0" w:bottom="2020" w:left="0" w:header="0" w:footer="1820"/>
          <w:pgNumType w:start="11"/>
          <w:cols w:space="708"/>
        </w:sectPr>
      </w:pPr>
    </w:p>
    <w:p>
      <w:pPr>
        <w:pStyle w:val="BodyText"/>
        <w:spacing w:before="68" w:line="338" w:lineRule="auto"/>
        <w:ind w:left="2553" w:right="2511"/>
      </w:pPr>
      <w:r>
        <w:rPr>
          <w:w w:val="95"/>
        </w:rPr>
        <w:t xml:space="preserve">求和排序进行精准建设，并做好应急资金预留，确保“480”  </w:t>
      </w:r>
      <w:r>
        <w:t>范围内无资源宽带装机需求的资源保障。</w:t>
      </w:r>
    </w:p>
    <w:p>
      <w:pPr>
        <w:pStyle w:val="BodyText"/>
        <w:spacing w:line="338" w:lineRule="auto"/>
        <w:ind w:left="2553" w:right="2376" w:firstLine="961"/>
        <w:jc w:val="both"/>
      </w:pPr>
      <w:r>
        <w:rPr>
          <w:spacing w:val="8"/>
        </w:rPr>
        <w:t>2</w:t>
      </w:r>
      <w:r>
        <w:rPr>
          <w:spacing w:val="1"/>
        </w:rPr>
        <w:t xml:space="preserve">、各市要按照驻地网应急建设流程要求，对“ </w:t>
      </w:r>
      <w:r>
        <w:rPr>
          <w:spacing w:val="3"/>
        </w:rPr>
        <w:t>480</w:t>
      </w:r>
      <w:r>
        <w:rPr>
          <w:spacing w:val="1"/>
        </w:rPr>
        <w:t>”范</w:t>
      </w:r>
      <w:r>
        <w:rPr>
          <w:w w:val="95"/>
        </w:rPr>
        <w:t xml:space="preserve">围内的无资源宽带装机需求，加快建设进度，缩短交付周期。  </w:t>
      </w:r>
      <w:r>
        <w:t>要求从需求提出到交付使用最短 6</w:t>
      </w:r>
      <w:r>
        <w:rPr>
          <w:spacing w:val="-2"/>
        </w:rPr>
        <w:t xml:space="preserve"> 天，最长得不超过 </w:t>
      </w:r>
      <w:r>
        <w:t>90</w:t>
      </w:r>
      <w:r>
        <w:rPr>
          <w:spacing w:val="-2"/>
        </w:rPr>
        <w:t xml:space="preserve"> 天。</w:t>
      </w:r>
      <w:r>
        <w:rPr>
          <w:spacing w:val="-1"/>
        </w:rPr>
        <w:t xml:space="preserve">各环节要求时间如下： </w:t>
      </w:r>
      <w:r>
        <w:t>400</w:t>
      </w:r>
      <w:r>
        <w:rPr>
          <w:spacing w:val="-2"/>
        </w:rPr>
        <w:t xml:space="preserve"> 户以内驻地网进线 </w:t>
      </w:r>
      <w:r>
        <w:t>20</w:t>
      </w:r>
      <w:r>
        <w:rPr>
          <w:spacing w:val="-55"/>
        </w:rPr>
        <w:t xml:space="preserve"> 天</w:t>
      </w:r>
      <w:r>
        <w:t>（每超过</w:t>
      </w:r>
      <w:r>
        <w:rPr>
          <w:w w:val="99"/>
        </w:rPr>
        <w:t>100</w:t>
      </w:r>
      <w:r>
        <w:rPr>
          <w:spacing w:val="2"/>
        </w:rPr>
        <w:t xml:space="preserve"> </w:t>
      </w:r>
      <w:r>
        <w:rPr>
          <w:w w:val="99"/>
        </w:rPr>
        <w:t>户延长</w:t>
      </w:r>
      <w:r>
        <w:rPr>
          <w:spacing w:val="2"/>
        </w:rPr>
        <w:t xml:space="preserve"> </w:t>
      </w:r>
      <w:r>
        <w:rPr>
          <w:w w:val="99"/>
        </w:rPr>
        <w:t>5</w:t>
      </w:r>
      <w:r>
        <w:rPr>
          <w:spacing w:val="-1"/>
        </w:rPr>
        <w:t xml:space="preserve"> </w:t>
      </w:r>
      <w:r>
        <w:rPr>
          <w:w w:val="99"/>
        </w:rPr>
        <w:t>天</w:t>
      </w:r>
      <w:r>
        <w:rPr>
          <w:spacing w:val="-235"/>
          <w:w w:val="99"/>
        </w:rPr>
        <w:t>）</w:t>
      </w:r>
      <w:r>
        <w:rPr>
          <w:w w:val="99"/>
        </w:rPr>
        <w:t>，小对数电缆或小芯数光缆延伸</w:t>
      </w:r>
      <w:r>
        <w:rPr>
          <w:spacing w:val="-14"/>
        </w:rPr>
        <w:t xml:space="preserve"> </w:t>
      </w:r>
      <w:r>
        <w:rPr>
          <w:w w:val="99"/>
        </w:rPr>
        <w:t>5</w:t>
      </w:r>
      <w:r>
        <w:t xml:space="preserve"> </w:t>
      </w:r>
      <w:r>
        <w:rPr>
          <w:spacing w:val="-18"/>
          <w:w w:val="99"/>
        </w:rPr>
        <w:t>天，</w:t>
      </w:r>
      <w:r>
        <w:rPr>
          <w:w w:val="99"/>
        </w:rPr>
        <w:t>PON</w:t>
      </w:r>
      <w:r>
        <w:t>设备、分光器、板卡等扩容 3 天。</w:t>
      </w:r>
    </w:p>
    <w:p>
      <w:pPr>
        <w:pStyle w:val="BodyText"/>
        <w:spacing w:line="707" w:lineRule="exact"/>
        <w:ind w:left="3514"/>
      </w:pPr>
      <w:r>
        <w:t>3、各市网络分公司要主动与市场部门沟通，紧盯“480”</w:t>
      </w:r>
    </w:p>
    <w:p>
      <w:pPr>
        <w:pStyle w:val="BodyText"/>
        <w:spacing w:before="294" w:line="338" w:lineRule="auto"/>
        <w:ind w:left="2553" w:right="2277"/>
      </w:pPr>
      <w:r>
        <w:rPr>
          <w:spacing w:val="-10"/>
        </w:rPr>
        <w:t>范围内无资源工单情况和市场需求，加快工程进度，定期组织</w:t>
      </w:r>
      <w:r>
        <w:rPr>
          <w:spacing w:val="-16"/>
        </w:rPr>
        <w:t>沟通会，及时向需求部门反馈建设进度，紧密联动实现“需求</w:t>
      </w:r>
      <w:r>
        <w:rPr>
          <w:spacing w:val="-16"/>
          <w:w w:val="95"/>
        </w:rPr>
        <w:t>一批、建成一批、验收一批、交付一批、发展一批</w:t>
      </w:r>
      <w:r>
        <w:rPr>
          <w:spacing w:val="-67"/>
          <w:w w:val="95"/>
        </w:rPr>
        <w:t xml:space="preserve">”。交付后，  </w:t>
      </w:r>
      <w:r>
        <w:t>要认真进行后评价，实现全过程管理，保障投资效益。</w:t>
      </w:r>
    </w:p>
    <w:p>
      <w:pPr>
        <w:pStyle w:val="Heading2"/>
        <w:spacing w:line="710" w:lineRule="exact"/>
      </w:pPr>
      <w:r>
        <w:t>（四）加强支撑手段建设、提升支撑效率</w:t>
      </w:r>
    </w:p>
    <w:p>
      <w:pPr>
        <w:pStyle w:val="ListParagraph"/>
        <w:numPr>
          <w:ilvl w:val="0"/>
          <w:numId w:val="5"/>
        </w:numPr>
        <w:tabs>
          <w:tab w:val="left" w:pos="4151"/>
          <w:tab w:val="left" w:pos="4152"/>
        </w:tabs>
        <w:spacing w:before="294" w:after="0" w:line="338" w:lineRule="auto"/>
        <w:ind w:left="2553" w:right="2568" w:firstLine="961"/>
        <w:jc w:val="left"/>
        <w:rPr>
          <w:sz w:val="48"/>
        </w:rPr>
      </w:pPr>
      <w:r>
        <w:rPr>
          <w:spacing w:val="2"/>
          <w:sz w:val="48"/>
        </w:rPr>
        <w:t xml:space="preserve">利用宽带 </w:t>
      </w:r>
      <w:r>
        <w:rPr>
          <w:sz w:val="48"/>
        </w:rPr>
        <w:t>112</w:t>
      </w:r>
      <w:r>
        <w:rPr>
          <w:spacing w:val="-1"/>
          <w:sz w:val="48"/>
        </w:rPr>
        <w:t xml:space="preserve"> 系统，做好宽带接入段预检预修，为快</w:t>
      </w:r>
      <w:r>
        <w:rPr>
          <w:sz w:val="48"/>
        </w:rPr>
        <w:t>速响应客户需求提供高效的支撑手段。</w:t>
      </w:r>
    </w:p>
    <w:p>
      <w:pPr>
        <w:pStyle w:val="ListParagraph"/>
        <w:numPr>
          <w:ilvl w:val="0"/>
          <w:numId w:val="5"/>
        </w:numPr>
        <w:tabs>
          <w:tab w:val="left" w:pos="4162"/>
          <w:tab w:val="left" w:pos="4163"/>
        </w:tabs>
        <w:spacing w:before="0" w:after="0" w:line="338" w:lineRule="auto"/>
        <w:ind w:left="2553" w:right="2327" w:firstLine="961"/>
        <w:jc w:val="left"/>
        <w:rPr>
          <w:sz w:val="48"/>
        </w:rPr>
      </w:pPr>
      <w:r>
        <w:rPr>
          <w:spacing w:val="2"/>
          <w:sz w:val="48"/>
        </w:rPr>
        <w:t>提升整体服务能力，普及宽带“ 96480</w:t>
      </w:r>
      <w:r>
        <w:rPr>
          <w:sz w:val="48"/>
        </w:rPr>
        <w:t>”宽带专家座</w:t>
      </w:r>
      <w:r>
        <w:rPr>
          <w:spacing w:val="-23"/>
          <w:w w:val="95"/>
          <w:sz w:val="48"/>
        </w:rPr>
        <w:t xml:space="preserve">席。要根据宽带故障申告呼叫量，科学配备宽带专家座席人员，  </w:t>
      </w:r>
      <w:r>
        <w:rPr>
          <w:spacing w:val="-14"/>
          <w:sz w:val="48"/>
        </w:rPr>
        <w:t>以提高故障诊断速度和质量，力争实现宽带客户端障碍过滤率</w:t>
      </w:r>
      <w:r>
        <w:rPr>
          <w:spacing w:val="-12"/>
          <w:sz w:val="48"/>
        </w:rPr>
        <w:t xml:space="preserve">不低于 </w:t>
      </w:r>
      <w:r>
        <w:rPr>
          <w:sz w:val="48"/>
        </w:rPr>
        <w:t>85%。</w:t>
      </w:r>
    </w:p>
    <w:p>
      <w:pPr>
        <w:pStyle w:val="ListParagraph"/>
        <w:numPr>
          <w:ilvl w:val="0"/>
          <w:numId w:val="5"/>
        </w:numPr>
        <w:tabs>
          <w:tab w:val="left" w:pos="4158"/>
          <w:tab w:val="left" w:pos="4159"/>
        </w:tabs>
        <w:spacing w:before="0" w:after="0" w:line="714" w:lineRule="exact"/>
        <w:ind w:left="4158" w:right="0" w:hanging="645"/>
        <w:jc w:val="left"/>
        <w:rPr>
          <w:sz w:val="48"/>
        </w:rPr>
      </w:pPr>
      <w:r>
        <w:rPr>
          <w:sz w:val="48"/>
        </w:rPr>
        <w:t>落实前后台联动机制，严格按照市场营销部需求清单</w:t>
      </w:r>
    </w:p>
    <w:p>
      <w:pPr>
        <w:spacing w:after="0" w:line="714" w:lineRule="exact"/>
        <w:jc w:val="left"/>
        <w:rPr>
          <w:sz w:val="48"/>
        </w:rPr>
        <w:sectPr>
          <w:footerReference w:type="default" r:id="rId45"/>
          <w:pgSz w:w="17860" w:h="25260"/>
          <w:pgMar w:top="1080" w:right="0" w:bottom="2020" w:left="0" w:header="0" w:footer="1820"/>
          <w:pgNumType w:start="12"/>
          <w:cols w:space="708"/>
        </w:sectPr>
      </w:pPr>
    </w:p>
    <w:p>
      <w:pPr>
        <w:pStyle w:val="BodyText"/>
        <w:spacing w:before="68" w:line="338" w:lineRule="auto"/>
        <w:ind w:left="2553" w:right="2320"/>
      </w:pPr>
      <w:r>
        <w:rPr>
          <w:spacing w:val="-12"/>
        </w:rPr>
        <w:t>和排序对改造小区实施光网薄覆盖，提速改造小区预期三个月</w:t>
      </w:r>
      <w:r>
        <w:rPr>
          <w:spacing w:val="-11"/>
        </w:rPr>
        <w:t xml:space="preserve">内 </w:t>
      </w:r>
      <w:r>
        <w:t>10M</w:t>
      </w:r>
      <w:r>
        <w:rPr>
          <w:spacing w:val="-1"/>
        </w:rPr>
        <w:t xml:space="preserve"> 提速用户达到小区住户的 </w:t>
      </w:r>
      <w:r>
        <w:t>30%方可实施光网覆盖。各</w:t>
      </w:r>
      <w:r>
        <w:rPr>
          <w:spacing w:val="-8"/>
        </w:rPr>
        <w:t xml:space="preserve">市应严格执行省公司前后台联动和光网薄覆盖工作要求，一是要实施精准建设，采用“薄覆盖”方式节约投资、保障效益； </w:t>
      </w:r>
      <w:r>
        <w:rPr>
          <w:spacing w:val="-17"/>
        </w:rPr>
        <w:t>二是要加快工程进度，及时交付市场；三是积极配合市场部门</w:t>
      </w:r>
      <w:r>
        <w:rPr>
          <w:spacing w:val="-24"/>
          <w:w w:val="95"/>
        </w:rPr>
        <w:t>现场营销，加强后期装维、割接转网工作保障，提升网络质量。</w:t>
      </w:r>
    </w:p>
    <w:p>
      <w:pPr>
        <w:pStyle w:val="Heading2"/>
        <w:spacing w:line="711" w:lineRule="exact"/>
      </w:pPr>
      <w:r>
        <w:t>（五）完善应急处理机制</w:t>
      </w:r>
    </w:p>
    <w:p>
      <w:pPr>
        <w:pStyle w:val="ListParagraph"/>
        <w:numPr>
          <w:ilvl w:val="0"/>
          <w:numId w:val="4"/>
        </w:numPr>
        <w:tabs>
          <w:tab w:val="left" w:pos="4159"/>
        </w:tabs>
        <w:spacing w:before="294" w:after="0" w:line="338" w:lineRule="auto"/>
        <w:ind w:left="2553" w:right="2376" w:firstLine="961"/>
        <w:jc w:val="both"/>
        <w:rPr>
          <w:sz w:val="48"/>
        </w:rPr>
      </w:pPr>
      <w:r>
        <w:rPr>
          <w:sz w:val="48"/>
        </w:rPr>
        <w:t>各分公司应按照维护规程要求，定期核对备品备件数</w:t>
      </w:r>
      <w:r>
        <w:rPr>
          <w:spacing w:val="-14"/>
          <w:sz w:val="48"/>
        </w:rPr>
        <w:t>量，确保取用及时快速，要杜绝因备品备件不足，导致故障修</w:t>
      </w:r>
      <w:r>
        <w:rPr>
          <w:spacing w:val="-19"/>
          <w:sz w:val="48"/>
        </w:rPr>
        <w:t>复超时的情况发生。同时，要严格规范厂商日常巡检、远程指</w:t>
      </w:r>
      <w:r>
        <w:rPr>
          <w:spacing w:val="-19"/>
          <w:w w:val="95"/>
          <w:sz w:val="48"/>
        </w:rPr>
        <w:t xml:space="preserve">导以及现场支撑的服务要求，并加大对服务厂商的考核力度，  </w:t>
      </w:r>
      <w:r>
        <w:rPr>
          <w:sz w:val="48"/>
        </w:rPr>
        <w:t>确保快速响应客户需求，及时处理网络故障。</w:t>
      </w:r>
    </w:p>
    <w:p>
      <w:pPr>
        <w:pStyle w:val="ListParagraph"/>
        <w:numPr>
          <w:ilvl w:val="0"/>
          <w:numId w:val="4"/>
        </w:numPr>
        <w:tabs>
          <w:tab w:val="left" w:pos="4201"/>
          <w:tab w:val="left" w:pos="4202"/>
          <w:tab w:val="left" w:pos="5682"/>
        </w:tabs>
        <w:spacing w:before="0" w:after="0" w:line="338" w:lineRule="auto"/>
        <w:ind w:left="2553" w:right="2565" w:firstLine="982"/>
        <w:jc w:val="left"/>
        <w:rPr>
          <w:sz w:val="48"/>
        </w:rPr>
      </w:pPr>
      <w:r>
        <w:rPr>
          <w:sz w:val="48"/>
        </w:rPr>
        <w:t xml:space="preserve">为了提高对突发事件引起的大面积用户故障处理能 </w:t>
      </w:r>
      <w:r>
        <w:rPr>
          <w:w w:val="95"/>
          <w:sz w:val="48"/>
        </w:rPr>
        <w:t>力</w:t>
      </w:r>
      <w:r>
        <w:rPr>
          <w:spacing w:val="-102"/>
          <w:w w:val="95"/>
          <w:sz w:val="48"/>
        </w:rPr>
        <w:t>，</w:t>
      </w:r>
      <w:r>
        <w:rPr>
          <w:w w:val="95"/>
          <w:sz w:val="48"/>
        </w:rPr>
        <w:t>保障装维服务工作的正常有序开展</w:t>
      </w:r>
      <w:r>
        <w:rPr>
          <w:spacing w:val="-88"/>
          <w:w w:val="95"/>
          <w:sz w:val="48"/>
        </w:rPr>
        <w:t>，</w:t>
      </w:r>
      <w:r>
        <w:rPr>
          <w:w w:val="95"/>
          <w:sz w:val="48"/>
        </w:rPr>
        <w:t>各市分公司要制定</w:t>
      </w:r>
      <w:r>
        <w:rPr>
          <w:spacing w:val="-16"/>
          <w:w w:val="95"/>
          <w:sz w:val="48"/>
        </w:rPr>
        <w:t xml:space="preserve">保  </w:t>
      </w:r>
      <w:r>
        <w:rPr>
          <w:sz w:val="48"/>
        </w:rPr>
        <w:t>障应急预案。</w:t>
        <w:tab/>
        <w:t xml:space="preserve">建立大面积突发障碍应急客户服务响应机制： </w:t>
      </w:r>
      <w:r>
        <w:rPr>
          <w:w w:val="95"/>
          <w:sz w:val="48"/>
        </w:rPr>
        <w:t>对于可预测的工程割接</w:t>
      </w:r>
      <w:r>
        <w:rPr>
          <w:spacing w:val="-196"/>
          <w:w w:val="95"/>
          <w:sz w:val="48"/>
        </w:rPr>
        <w:t>，</w:t>
      </w:r>
      <w:r>
        <w:rPr>
          <w:w w:val="95"/>
          <w:sz w:val="48"/>
        </w:rPr>
        <w:t>可能会引发通信中断事故的市政施</w:t>
      </w:r>
      <w:r>
        <w:rPr>
          <w:spacing w:val="-10"/>
          <w:w w:val="95"/>
          <w:sz w:val="48"/>
        </w:rPr>
        <w:t>工</w:t>
      </w:r>
    </w:p>
    <w:p>
      <w:pPr>
        <w:pStyle w:val="BodyText"/>
        <w:spacing w:line="338" w:lineRule="auto"/>
        <w:ind w:left="2553" w:right="2376"/>
      </w:pPr>
      <w:r>
        <w:rPr>
          <w:spacing w:val="-1"/>
          <w:w w:val="95"/>
        </w:rPr>
        <w:t xml:space="preserve">等，应事先对可能受影响的装维区域，张帖告示，告知原因，  </w:t>
      </w:r>
      <w:r>
        <w:t>设立联系电话，及时解决客户通信问题。</w:t>
      </w:r>
    </w:p>
    <w:p>
      <w:pPr>
        <w:pStyle w:val="BodyText"/>
        <w:spacing w:line="338" w:lineRule="auto"/>
        <w:ind w:left="2553" w:right="2376" w:firstLine="961"/>
        <w:jc w:val="both"/>
      </w:pPr>
      <w:r>
        <w:rPr>
          <w:spacing w:val="-10"/>
        </w:rPr>
        <w:t>对于不可预见的突发事件造成大面积障碍时，应根据影响</w:t>
      </w:r>
      <w:r>
        <w:rPr>
          <w:spacing w:val="-16"/>
        </w:rPr>
        <w:t>情况，合理调动装维人员，采用上门入户、电话联系以及物业</w:t>
      </w:r>
      <w:r>
        <w:rPr>
          <w:spacing w:val="-17"/>
          <w:w w:val="95"/>
        </w:rPr>
        <w:t>配合等方式，向客户说明情况，寻求支持、求得理解，避免客</w:t>
      </w:r>
    </w:p>
    <w:p>
      <w:pPr>
        <w:spacing w:after="0" w:line="338" w:lineRule="auto"/>
        <w:jc w:val="both"/>
        <w:sectPr>
          <w:footerReference w:type="default" r:id="rId46"/>
          <w:pgSz w:w="17860" w:h="25260"/>
          <w:pgMar w:top="1080" w:right="0" w:bottom="2020" w:left="0" w:header="0" w:footer="1820"/>
          <w:pgNumType w:start="13"/>
          <w:cols w:space="708"/>
        </w:sectPr>
      </w:pPr>
    </w:p>
    <w:p>
      <w:pPr>
        <w:pStyle w:val="BodyText"/>
        <w:spacing w:before="68" w:line="338" w:lineRule="auto"/>
        <w:ind w:left="2553" w:right="2376"/>
      </w:pPr>
      <w:r>
        <w:rPr>
          <w:spacing w:val="-1"/>
          <w:w w:val="95"/>
        </w:rPr>
        <w:t xml:space="preserve">户出现过激行为。无法在承诺时限内完成宽带装移修机工作，  </w:t>
      </w:r>
      <w:r>
        <w:rPr>
          <w:spacing w:val="-11"/>
        </w:rPr>
        <w:t>各分公司可酌情考虑采用无线资源替代，在避免用户投诉的同时，以贴心服务创造市场竞争优势。</w:t>
      </w:r>
    </w:p>
    <w:p>
      <w:pPr>
        <w:pStyle w:val="ListParagraph"/>
        <w:numPr>
          <w:ilvl w:val="0"/>
          <w:numId w:val="10"/>
        </w:numPr>
        <w:tabs>
          <w:tab w:val="left" w:pos="4550"/>
          <w:tab w:val="left" w:pos="4551"/>
        </w:tabs>
        <w:spacing w:before="0" w:after="0" w:line="338" w:lineRule="auto"/>
        <w:ind w:left="2553" w:right="2774" w:firstLine="982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建立应急查修服务后备队伍，用于应急障碍维修工 </w:t>
      </w:r>
      <w:r>
        <w:rPr>
          <w:sz w:val="48"/>
        </w:rPr>
        <w:t>作，避免超时限修机，减少客户投诉。</w:t>
      </w:r>
    </w:p>
    <w:p>
      <w:pPr>
        <w:pStyle w:val="Heading2"/>
        <w:spacing w:line="717" w:lineRule="exact"/>
      </w:pPr>
      <w:r>
        <w:t>（六）加强外包管理</w:t>
      </w:r>
    </w:p>
    <w:p>
      <w:pPr>
        <w:pStyle w:val="BodyText"/>
        <w:spacing w:before="288" w:line="338" w:lineRule="auto"/>
        <w:ind w:left="2553" w:right="2562" w:firstLine="982"/>
        <w:jc w:val="both"/>
      </w:pPr>
      <w:r>
        <w:rPr>
          <w:spacing w:val="-16"/>
          <w:w w:val="95"/>
        </w:rPr>
        <w:t xml:space="preserve">加强对外包公司的管理。各市公司严格按照《本地网线路  </w:t>
      </w:r>
      <w:r>
        <w:rPr>
          <w:spacing w:val="-15"/>
          <w:w w:val="95"/>
        </w:rPr>
        <w:t xml:space="preserve">及基站外包维护管理办法》，督促外包公司进行故障处理并严  </w:t>
      </w:r>
      <w:r>
        <w:rPr>
          <w:spacing w:val="-15"/>
        </w:rPr>
        <w:t>格考核。</w:t>
      </w:r>
    </w:p>
    <w:p>
      <w:pPr>
        <w:pStyle w:val="Heading2"/>
        <w:spacing w:line="713" w:lineRule="exact"/>
      </w:pPr>
      <w:r>
        <w:rPr>
          <w:w w:val="95"/>
        </w:rPr>
        <w:t>（七）完善激励机制，加强人员培训</w:t>
      </w:r>
    </w:p>
    <w:p>
      <w:pPr>
        <w:pStyle w:val="BodyText"/>
        <w:spacing w:before="294" w:line="338" w:lineRule="auto"/>
        <w:ind w:left="2553" w:right="2555" w:firstLine="961"/>
        <w:jc w:val="both"/>
      </w:pPr>
      <w:r>
        <w:rPr>
          <w:spacing w:val="-22"/>
          <w:w w:val="95"/>
        </w:rPr>
        <w:t>落实《装维人员绩效考核与薪酬分配指导意见》</w:t>
      </w:r>
      <w:r>
        <w:rPr>
          <w:spacing w:val="-73"/>
          <w:w w:val="95"/>
        </w:rPr>
        <w:t xml:space="preserve">、《河南联  </w:t>
      </w:r>
      <w:r>
        <w:rPr>
          <w:spacing w:val="-9"/>
          <w:w w:val="95"/>
        </w:rPr>
        <w:t xml:space="preserve">通驻地网拓展经理绩效考核与薪酬分配指导意见》，完善激励  </w:t>
      </w:r>
      <w:r>
        <w:rPr>
          <w:spacing w:val="-9"/>
        </w:rPr>
        <w:t>机制。加强培训，提升装维人员技能水平</w:t>
      </w:r>
    </w:p>
    <w:p>
      <w:pPr>
        <w:pStyle w:val="BodyText"/>
        <w:spacing w:line="338" w:lineRule="auto"/>
        <w:ind w:left="2553" w:right="2475" w:firstLine="961"/>
      </w:pPr>
      <w:r>
        <w:t>8 月份省分公司已组织 FTTH 技能和服务标准培训，各市分公司要在省分公司培训的基础上组织装维人员进行分批培训，要求培训率达到 100%。并逐步推行持证上岗制度，提高运维人员对公众客户的网络服务支撑能力。</w:t>
      </w:r>
    </w:p>
    <w:p>
      <w:pPr>
        <w:pStyle w:val="Heading2"/>
        <w:spacing w:line="714" w:lineRule="exact"/>
      </w:pPr>
      <w:r>
        <w:t>（八）推行入户标准化服务</w:t>
      </w:r>
    </w:p>
    <w:p>
      <w:pPr>
        <w:pStyle w:val="BodyText"/>
        <w:spacing w:before="416" w:line="312" w:lineRule="auto"/>
        <w:ind w:left="2553" w:right="2323" w:firstLine="856"/>
      </w:pPr>
      <w:r>
        <w:rPr>
          <w:spacing w:val="-2"/>
        </w:rPr>
        <w:t xml:space="preserve">根据附件 </w:t>
      </w:r>
      <w:r>
        <w:t>1《中国联通河南省分公司装维经理上门服务规</w:t>
      </w:r>
      <w:r>
        <w:rPr>
          <w:spacing w:val="-23"/>
          <w:w w:val="95"/>
        </w:rPr>
        <w:t xml:space="preserve">范》的要求，推行入户标准化服务。按照上门服务规范的要求，  </w:t>
      </w:r>
      <w:r>
        <w:rPr>
          <w:spacing w:val="-12"/>
        </w:rPr>
        <w:t>对入户人员工作时的仪容仪表、服务用语、施工流程进行监督</w:t>
      </w:r>
    </w:p>
    <w:p>
      <w:pPr>
        <w:spacing w:after="0" w:line="312" w:lineRule="auto"/>
        <w:sectPr>
          <w:footerReference w:type="default" r:id="rId47"/>
          <w:pgSz w:w="17860" w:h="25260"/>
          <w:pgMar w:top="1080" w:right="0" w:bottom="2020" w:left="0" w:header="0" w:footer="1820"/>
          <w:pgNumType w:start="14"/>
          <w:cols w:space="708"/>
        </w:sectPr>
      </w:pPr>
    </w:p>
    <w:p>
      <w:pPr>
        <w:pStyle w:val="BodyText"/>
        <w:spacing w:before="81"/>
        <w:ind w:left="57" w:right="6583"/>
        <w:jc w:val="center"/>
      </w:pPr>
      <w:r>
        <w:t>检查，进一步提高服务水平。</w:t>
      </w:r>
    </w:p>
    <w:p>
      <w:pPr>
        <w:pStyle w:val="Heading2"/>
        <w:spacing w:before="86"/>
        <w:ind w:left="62" w:right="6583"/>
        <w:jc w:val="center"/>
      </w:pPr>
      <w:r>
        <w:t>（九）加强监督考核</w:t>
      </w:r>
    </w:p>
    <w:p>
      <w:pPr>
        <w:pStyle w:val="ListParagraph"/>
        <w:numPr>
          <w:ilvl w:val="0"/>
          <w:numId w:val="11"/>
        </w:numPr>
        <w:tabs>
          <w:tab w:val="left" w:pos="4177"/>
        </w:tabs>
        <w:spacing w:before="294" w:after="0" w:line="240" w:lineRule="auto"/>
        <w:ind w:left="4176" w:right="0" w:hanging="642"/>
        <w:jc w:val="both"/>
        <w:rPr>
          <w:sz w:val="48"/>
        </w:rPr>
      </w:pPr>
      <w:r>
        <w:rPr>
          <w:spacing w:val="4"/>
          <w:sz w:val="48"/>
        </w:rPr>
        <w:t xml:space="preserve">省分信息化部已下发信息 </w:t>
      </w:r>
      <w:r>
        <w:rPr>
          <w:sz w:val="48"/>
        </w:rPr>
        <w:t>[2012]</w:t>
      </w:r>
      <w:r>
        <w:rPr>
          <w:spacing w:val="5"/>
          <w:sz w:val="48"/>
        </w:rPr>
        <w:t xml:space="preserve"> </w:t>
      </w:r>
      <w:r>
        <w:rPr>
          <w:sz w:val="48"/>
        </w:rPr>
        <w:t>67 号《 关于下发</w:t>
      </w:r>
    </w:p>
    <w:p>
      <w:pPr>
        <w:pStyle w:val="BodyText"/>
        <w:spacing w:before="294" w:line="338" w:lineRule="auto"/>
        <w:ind w:left="2553" w:right="2537"/>
        <w:jc w:val="both"/>
      </w:pPr>
      <w:r>
        <w:rPr>
          <w:spacing w:val="-3"/>
        </w:rPr>
        <w:t xml:space="preserve">《河南联通 </w:t>
      </w:r>
      <w:r>
        <w:t>480</w:t>
      </w:r>
      <w:r>
        <w:rPr>
          <w:spacing w:val="-17"/>
        </w:rPr>
        <w:t xml:space="preserve"> 及时率报表说明文档》的通知》，各级维护单</w:t>
      </w:r>
      <w:r>
        <w:t>位可依据文档说明在 IOM 系统及经分系统中提取相关报表。各市分分公司要加强对“480”服务各项指标的监控。</w:t>
      </w:r>
    </w:p>
    <w:p>
      <w:pPr>
        <w:pStyle w:val="ListParagraph"/>
        <w:numPr>
          <w:ilvl w:val="0"/>
          <w:numId w:val="11"/>
        </w:numPr>
        <w:tabs>
          <w:tab w:val="left" w:pos="4177"/>
        </w:tabs>
        <w:spacing w:before="0" w:after="0" w:line="338" w:lineRule="auto"/>
        <w:ind w:left="2553" w:right="2568" w:firstLine="982"/>
        <w:jc w:val="both"/>
        <w:rPr>
          <w:sz w:val="48"/>
        </w:rPr>
      </w:pPr>
      <w:r>
        <w:rPr>
          <w:sz w:val="48"/>
        </w:rPr>
        <w:t>省分信息化部已在“销售管理系统”中加入宽带无资</w:t>
      </w:r>
      <w:r>
        <w:rPr>
          <w:spacing w:val="-15"/>
          <w:w w:val="95"/>
          <w:sz w:val="48"/>
        </w:rPr>
        <w:t xml:space="preserve">源工单监控与解决反馈功能，各市公司要借助信息化系统加强  </w:t>
      </w:r>
      <w:r>
        <w:rPr>
          <w:spacing w:val="-13"/>
          <w:sz w:val="48"/>
        </w:rPr>
        <w:t>宽带无资源工单的监控并及时解决反馈。。</w:t>
      </w:r>
    </w:p>
    <w:p>
      <w:pPr>
        <w:pStyle w:val="BodyText"/>
        <w:tabs>
          <w:tab w:val="left" w:pos="4831"/>
        </w:tabs>
        <w:spacing w:line="710" w:lineRule="exact"/>
        <w:ind w:left="3514"/>
      </w:pPr>
      <w:r>
        <w:rPr>
          <w:b/>
        </w:rPr>
        <w:t>三、</w:t>
        <w:tab/>
      </w:r>
      <w:r>
        <w:t>“480”服务补偿追究机制</w:t>
      </w:r>
    </w:p>
    <w:p>
      <w:pPr>
        <w:pStyle w:val="BodyText"/>
        <w:spacing w:before="291"/>
        <w:ind w:left="3535"/>
      </w:pPr>
      <w:r>
        <w:t>（一）装维经理原因造成的装移机及修障超时</w:t>
      </w:r>
    </w:p>
    <w:p>
      <w:pPr>
        <w:pStyle w:val="BodyText"/>
        <w:spacing w:before="294" w:line="338" w:lineRule="auto"/>
        <w:ind w:left="2553" w:right="2563" w:firstLine="982"/>
        <w:jc w:val="both"/>
      </w:pPr>
      <w:r>
        <w:rPr>
          <w:spacing w:val="-12"/>
          <w:w w:val="95"/>
        </w:rPr>
        <w:t xml:space="preserve">因装维经理原因造成的装移机及修障超时问题，各市分公  </w:t>
      </w:r>
      <w:r>
        <w:t>司按照豫联通[2012]168</w:t>
      </w:r>
      <w:r>
        <w:rPr>
          <w:spacing w:val="-14"/>
        </w:rPr>
        <w:t xml:space="preserve"> 号《关于印发河南联通岗位绩效考核</w:t>
      </w:r>
      <w:r>
        <w:rPr>
          <w:spacing w:val="5"/>
          <w:w w:val="95"/>
        </w:rPr>
        <w:t>与薪酬指导意见的通知》中附件</w:t>
      </w:r>
      <w:r>
        <w:rPr>
          <w:spacing w:val="-53"/>
          <w:w w:val="95"/>
        </w:rPr>
        <w:t>5</w:t>
      </w:r>
      <w:r>
        <w:rPr>
          <w:spacing w:val="-2"/>
          <w:w w:val="95"/>
        </w:rPr>
        <w:t xml:space="preserve">《河南联通装维经理绩效考  </w:t>
      </w:r>
      <w:r>
        <w:t>核与薪酬分配指导意见》落实对装维经理的考核，其中：</w:t>
      </w:r>
    </w:p>
    <w:p>
      <w:pPr>
        <w:pStyle w:val="ListParagraph"/>
        <w:numPr>
          <w:ilvl w:val="0"/>
          <w:numId w:val="2"/>
        </w:numPr>
        <w:tabs>
          <w:tab w:val="left" w:pos="4286"/>
        </w:tabs>
        <w:spacing w:before="0" w:after="0" w:line="710" w:lineRule="exact"/>
        <w:ind w:left="4285" w:right="0" w:hanging="751"/>
        <w:jc w:val="both"/>
        <w:rPr>
          <w:sz w:val="48"/>
        </w:rPr>
      </w:pPr>
      <w:r>
        <w:rPr>
          <w:spacing w:val="6"/>
          <w:sz w:val="48"/>
        </w:rPr>
        <w:t xml:space="preserve">宽带 </w:t>
      </w:r>
      <w:r>
        <w:rPr>
          <w:sz w:val="48"/>
        </w:rPr>
        <w:t>480</w:t>
      </w:r>
      <w:r>
        <w:rPr>
          <w:spacing w:val="5"/>
          <w:sz w:val="48"/>
        </w:rPr>
        <w:t xml:space="preserve"> 服务承诺区域修障不及时：在规定时限 </w:t>
      </w:r>
      <w:r>
        <w:rPr>
          <w:sz w:val="48"/>
        </w:rPr>
        <w:t>4</w:t>
      </w:r>
    </w:p>
    <w:p>
      <w:pPr>
        <w:pStyle w:val="BodyText"/>
        <w:spacing w:before="294" w:line="338" w:lineRule="auto"/>
        <w:ind w:left="2553" w:right="2543"/>
        <w:jc w:val="both"/>
      </w:pPr>
      <w:r>
        <w:t>小时内完成修机的不罚。大于 4 小时小于 8 小时的，每部按标准 F 元扣罚。超过 8 小时完成的，每部按标准 F 元的 2 倍扣罚。客服回访用户经落实属于虚假回单的，每部按标准 F 元扣罚。</w:t>
      </w:r>
    </w:p>
    <w:p>
      <w:pPr>
        <w:pStyle w:val="ListParagraph"/>
        <w:numPr>
          <w:ilvl w:val="0"/>
          <w:numId w:val="2"/>
        </w:numPr>
        <w:tabs>
          <w:tab w:val="left" w:pos="4152"/>
        </w:tabs>
        <w:spacing w:before="0" w:after="0" w:line="710" w:lineRule="exact"/>
        <w:ind w:left="4151" w:right="0" w:hanging="638"/>
        <w:jc w:val="both"/>
        <w:rPr>
          <w:sz w:val="48"/>
        </w:rPr>
      </w:pPr>
      <w:r>
        <w:rPr>
          <w:spacing w:val="39"/>
          <w:sz w:val="48"/>
        </w:rPr>
        <w:t xml:space="preserve">宽带 </w:t>
      </w:r>
      <w:r>
        <w:rPr>
          <w:sz w:val="48"/>
        </w:rPr>
        <w:t>480</w:t>
      </w:r>
      <w:r>
        <w:rPr>
          <w:spacing w:val="-5"/>
          <w:sz w:val="48"/>
        </w:rPr>
        <w:t xml:space="preserve"> 服务承诺区域装移机不及时：外线施工在规</w:t>
      </w:r>
    </w:p>
    <w:p>
      <w:pPr>
        <w:spacing w:after="0" w:line="710" w:lineRule="exact"/>
        <w:jc w:val="both"/>
        <w:rPr>
          <w:sz w:val="48"/>
        </w:rPr>
        <w:sectPr>
          <w:footerReference w:type="default" r:id="rId48"/>
          <w:pgSz w:w="17860" w:h="25260"/>
          <w:pgMar w:top="1200" w:right="0" w:bottom="2020" w:left="0" w:header="0" w:footer="1820"/>
          <w:pgNumType w:start="15"/>
          <w:cols w:space="708"/>
        </w:sectPr>
      </w:pPr>
    </w:p>
    <w:p>
      <w:pPr>
        <w:pStyle w:val="BodyText"/>
        <w:spacing w:before="68" w:line="338" w:lineRule="auto"/>
        <w:ind w:left="2553" w:right="2317"/>
      </w:pPr>
      <w:r>
        <w:rPr>
          <w:spacing w:val="64"/>
        </w:rPr>
        <w:t>定</w:t>
      </w:r>
      <w:r>
        <w:t>7</w:t>
      </w:r>
      <w:r>
        <w:rPr>
          <w:spacing w:val="-17"/>
        </w:rPr>
        <w:t xml:space="preserve"> 小时时限内完成装移机的，每部按标准</w:t>
      </w:r>
      <w:r>
        <w:t>F</w:t>
      </w:r>
      <w:r>
        <w:rPr>
          <w:spacing w:val="-12"/>
        </w:rPr>
        <w:t xml:space="preserve"> 元核发激励薪酬。</w:t>
      </w:r>
      <w:r>
        <w:rPr>
          <w:spacing w:val="6"/>
        </w:rPr>
        <w:t xml:space="preserve">超过 </w:t>
      </w:r>
      <w:r>
        <w:t>7</w:t>
      </w:r>
      <w:r>
        <w:rPr>
          <w:spacing w:val="7"/>
        </w:rPr>
        <w:t xml:space="preserve"> 小时小于 </w:t>
      </w:r>
      <w:r>
        <w:t>14</w:t>
      </w:r>
      <w:r>
        <w:rPr>
          <w:spacing w:val="2"/>
        </w:rPr>
        <w:t xml:space="preserve"> 小时的，不核发激励薪酬。大于 </w:t>
      </w:r>
      <w:r>
        <w:t>14</w:t>
      </w:r>
      <w:r>
        <w:rPr>
          <w:spacing w:val="7"/>
        </w:rPr>
        <w:t xml:space="preserve"> 小时</w:t>
      </w:r>
      <w:r>
        <w:rPr>
          <w:spacing w:val="-4"/>
        </w:rPr>
        <w:t>或客服回访用户经落实属于虚假回单的，每部按以上标准扣罚</w:t>
      </w:r>
    </w:p>
    <w:p>
      <w:pPr>
        <w:pStyle w:val="BodyText"/>
        <w:spacing w:line="714" w:lineRule="exact"/>
        <w:ind w:left="2553"/>
      </w:pPr>
      <w:r>
        <w:t>（不足部分从绩效薪酬中抵扣</w:t>
      </w:r>
      <w:r>
        <w:rPr>
          <w:spacing w:val="-228"/>
        </w:rPr>
        <w:t>）</w:t>
      </w:r>
      <w:r>
        <w:t>。</w:t>
      </w:r>
    </w:p>
    <w:p>
      <w:pPr>
        <w:pStyle w:val="BodyText"/>
        <w:spacing w:before="294" w:line="338" w:lineRule="auto"/>
        <w:ind w:left="2553" w:right="2614" w:firstLine="1198"/>
      </w:pPr>
      <w:r>
        <w:rPr>
          <w:w w:val="95"/>
        </w:rPr>
        <w:t>（二）</w:t>
      </w:r>
      <w:r>
        <w:rPr>
          <w:spacing w:val="-1"/>
          <w:w w:val="95"/>
        </w:rPr>
        <w:t xml:space="preserve">对于外包公司维护范围内光电缆故障造成超时修 </w:t>
      </w:r>
      <w:r>
        <w:t>障或超时装移机的情况</w:t>
      </w:r>
    </w:p>
    <w:p>
      <w:pPr>
        <w:pStyle w:val="BodyText"/>
        <w:spacing w:line="338" w:lineRule="auto"/>
        <w:ind w:left="2553" w:right="2548" w:firstLine="961"/>
        <w:jc w:val="both"/>
      </w:pPr>
      <w:r>
        <w:rPr>
          <w:spacing w:val="5"/>
        </w:rPr>
        <w:t>严格按照豫联通【</w:t>
      </w:r>
      <w:r>
        <w:t>2012</w:t>
      </w:r>
      <w:r>
        <w:rPr>
          <w:spacing w:val="3"/>
        </w:rPr>
        <w:t>】</w:t>
      </w:r>
      <w:r>
        <w:t>195</w:t>
      </w:r>
      <w:r>
        <w:rPr>
          <w:spacing w:val="7"/>
        </w:rPr>
        <w:t xml:space="preserve"> 号《关于印发河南联通本</w:t>
      </w:r>
      <w:r>
        <w:rPr>
          <w:spacing w:val="2"/>
          <w:w w:val="95"/>
        </w:rPr>
        <w:t>地网络路及基站外包维护管理办法</w:t>
      </w:r>
      <w:r>
        <w:rPr>
          <w:w w:val="95"/>
        </w:rPr>
        <w:t>（试行</w:t>
      </w:r>
      <w:r>
        <w:rPr>
          <w:spacing w:val="-65"/>
          <w:w w:val="95"/>
        </w:rPr>
        <w:t>）</w:t>
      </w:r>
      <w:r>
        <w:rPr>
          <w:spacing w:val="-9"/>
          <w:w w:val="95"/>
        </w:rPr>
        <w:t xml:space="preserve">的通知》进行考核  </w:t>
      </w:r>
      <w:r>
        <w:rPr>
          <w:spacing w:val="-38"/>
        </w:rPr>
        <w:t>扣分。</w:t>
      </w:r>
      <w:r>
        <w:t>480</w:t>
      </w:r>
      <w:r>
        <w:rPr>
          <w:spacing w:val="-3"/>
        </w:rPr>
        <w:t xml:space="preserve"> 承诺区域内光电缆故障未在 </w:t>
      </w:r>
      <w:r>
        <w:t>4</w:t>
      </w:r>
      <w:r>
        <w:rPr>
          <w:spacing w:val="-14"/>
        </w:rPr>
        <w:t xml:space="preserve"> 小时内修复的，每次</w:t>
      </w:r>
      <w:r>
        <w:rPr>
          <w:spacing w:val="-2"/>
        </w:rPr>
        <w:t xml:space="preserve">扣 </w:t>
      </w:r>
      <w:r>
        <w:t>2</w:t>
      </w:r>
      <w:r>
        <w:rPr>
          <w:spacing w:val="-2"/>
        </w:rPr>
        <w:t xml:space="preserve"> 分。考核结果与外包公司实际支付的费用挂钩。</w:t>
      </w:r>
    </w:p>
    <w:p>
      <w:pPr>
        <w:pStyle w:val="BodyText"/>
        <w:spacing w:before="11"/>
        <w:rPr>
          <w:sz w:val="6"/>
        </w:rPr>
      </w:pPr>
    </w:p>
    <w:p>
      <w:pPr>
        <w:spacing w:after="0"/>
        <w:rPr>
          <w:sz w:val="6"/>
        </w:rPr>
        <w:sectPr>
          <w:footerReference w:type="default" r:id="rId49"/>
          <w:pgSz w:w="17860" w:h="25260"/>
          <w:pgMar w:top="1080" w:right="0" w:bottom="2020" w:left="0" w:header="0" w:footer="1820"/>
          <w:pgNumType w:start="16"/>
          <w:cols w:space="708"/>
        </w:sectPr>
      </w:pPr>
    </w:p>
    <w:p>
      <w:pPr>
        <w:spacing w:before="104" w:line="249" w:lineRule="auto"/>
        <w:ind w:left="2358" w:right="0" w:firstLine="0"/>
        <w:jc w:val="left"/>
        <w:rPr>
          <w:sz w:val="3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1384300</wp:posOffset>
            </wp:positionH>
            <wp:positionV relativeFrom="paragraph">
              <wp:posOffset>75495</wp:posOffset>
            </wp:positionV>
            <wp:extent cx="8594725" cy="1548765"/>
            <wp:effectExtent l="0" t="0" r="0" b="0"/>
            <wp:wrapNone/>
            <wp:docPr id="4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4725" cy="1548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 xml:space="preserve">考核得分（X） </w:t>
      </w:r>
      <w:r>
        <w:rPr>
          <w:sz w:val="31"/>
        </w:rPr>
        <w:t>100≥X≥95</w:t>
      </w:r>
    </w:p>
    <w:p>
      <w:pPr>
        <w:spacing w:before="1"/>
        <w:ind w:left="2358" w:right="0" w:firstLine="0"/>
        <w:jc w:val="left"/>
        <w:rPr>
          <w:sz w:val="31"/>
        </w:rPr>
      </w:pPr>
      <w:r>
        <w:rPr>
          <w:sz w:val="31"/>
        </w:rPr>
        <w:t>95&gt;X≥90</w:t>
      </w:r>
    </w:p>
    <w:p>
      <w:pPr>
        <w:spacing w:before="20"/>
        <w:ind w:left="2358" w:right="0" w:firstLine="0"/>
        <w:jc w:val="left"/>
        <w:rPr>
          <w:sz w:val="31"/>
        </w:rPr>
      </w:pPr>
      <w:r>
        <w:rPr>
          <w:sz w:val="31"/>
        </w:rPr>
        <w:t>90&gt;X≥85</w:t>
      </w:r>
    </w:p>
    <w:p>
      <w:pPr>
        <w:spacing w:before="19" w:line="293" w:lineRule="exact"/>
        <w:ind w:left="2358" w:right="0" w:firstLine="0"/>
        <w:jc w:val="left"/>
        <w:rPr>
          <w:sz w:val="31"/>
        </w:rPr>
      </w:pPr>
      <w:r>
        <w:rPr>
          <w:sz w:val="31"/>
        </w:rPr>
        <w:t>85&gt;X</w:t>
      </w:r>
    </w:p>
    <w:p>
      <w:pPr>
        <w:spacing w:before="104"/>
        <w:ind w:left="809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计算公式</w:t>
      </w:r>
    </w:p>
    <w:p>
      <w:pPr>
        <w:spacing w:before="19"/>
        <w:ind w:left="809" w:right="0" w:firstLine="0"/>
        <w:jc w:val="left"/>
        <w:rPr>
          <w:sz w:val="31"/>
        </w:rPr>
      </w:pPr>
      <w:r>
        <w:rPr>
          <w:sz w:val="31"/>
        </w:rPr>
        <w:t>实际支付外包费 =总外包费用*100%</w:t>
      </w:r>
    </w:p>
    <w:p>
      <w:pPr>
        <w:spacing w:before="19"/>
        <w:ind w:left="809" w:right="0" w:firstLine="0"/>
        <w:jc w:val="left"/>
        <w:rPr>
          <w:sz w:val="31"/>
        </w:rPr>
      </w:pPr>
      <w:r>
        <w:rPr>
          <w:sz w:val="31"/>
        </w:rPr>
        <w:t>实际支付外包费 =总外包费用*[100－(95－X)*0.6]%</w:t>
      </w:r>
    </w:p>
    <w:p>
      <w:pPr>
        <w:spacing w:before="3" w:line="480" w:lineRule="atLeast"/>
        <w:ind w:left="809" w:right="5325" w:firstLine="0"/>
        <w:jc w:val="left"/>
        <w:rPr>
          <w:sz w:val="31"/>
        </w:rPr>
      </w:pPr>
      <w:r>
        <w:rPr>
          <w:sz w:val="31"/>
        </w:rPr>
        <w:t>实际支付外包费 =总外包费用*[100－(95－X)*0.8]% 实际支付外包费 =总外包费用*[100－(95－X)*1]%</w:t>
      </w:r>
    </w:p>
    <w:p>
      <w:pPr>
        <w:spacing w:after="0" w:line="480" w:lineRule="atLeast"/>
        <w:jc w:val="left"/>
        <w:rPr>
          <w:sz w:val="31"/>
        </w:rPr>
        <w:sectPr>
          <w:footerReference w:type="default" r:id="rId51"/>
          <w:type w:val="continuous"/>
          <w:pgSz w:w="17860" w:h="25260"/>
          <w:pgMar w:top="920" w:right="0" w:bottom="2020" w:left="0" w:header="708" w:footer="708"/>
          <w:pgNumType w:start="17"/>
          <w:cols w:num="2" w:space="708" w:equalWidth="0">
            <w:col w:w="4447" w:space="40"/>
            <w:col w:w="13373" w:space="0"/>
          </w:cols>
        </w:sectPr>
      </w:pPr>
    </w:p>
    <w:p>
      <w:pPr>
        <w:pStyle w:val="BodyText"/>
        <w:spacing w:line="545" w:lineRule="exact"/>
        <w:ind w:left="3535"/>
      </w:pPr>
      <w:r>
        <w:t>（三</w:t>
      </w:r>
      <w:r>
        <w:rPr>
          <w:spacing w:val="-227"/>
        </w:rPr>
        <w:t>）</w:t>
      </w:r>
      <w:r>
        <w:t>对于由于进线拓展协调原因造成驻地网无法进线的</w:t>
      </w:r>
    </w:p>
    <w:p>
      <w:pPr>
        <w:pStyle w:val="BodyText"/>
        <w:spacing w:before="290" w:line="338" w:lineRule="auto"/>
        <w:ind w:left="2553" w:right="2313"/>
      </w:pPr>
      <w:r>
        <w:rPr>
          <w:spacing w:val="-15"/>
        </w:rPr>
        <w:t>问题，各市分公司应按照《关于印发河南联通驻地网拓展经理</w:t>
      </w:r>
      <w:r>
        <w:rPr>
          <w:spacing w:val="-15"/>
          <w:w w:val="95"/>
        </w:rPr>
        <w:t>等岗位绩效考核与薪酬分配指导意见的通知</w:t>
      </w:r>
      <w:r>
        <w:rPr>
          <w:spacing w:val="-376"/>
          <w:w w:val="95"/>
        </w:rPr>
        <w:t>》</w:t>
      </w:r>
      <w:r>
        <w:rPr>
          <w:w w:val="95"/>
        </w:rPr>
        <w:t>（</w:t>
      </w:r>
      <w:r>
        <w:rPr>
          <w:spacing w:val="-38"/>
          <w:w w:val="95"/>
        </w:rPr>
        <w:t>豫联通〔</w:t>
      </w:r>
      <w:r>
        <w:rPr>
          <w:w w:val="95"/>
        </w:rPr>
        <w:t>2012</w:t>
      </w:r>
      <w:r>
        <w:rPr>
          <w:spacing w:val="-16"/>
          <w:w w:val="95"/>
        </w:rPr>
        <w:t>〕</w:t>
      </w:r>
      <w:r>
        <w:t>236</w:t>
      </w:r>
      <w:r>
        <w:rPr>
          <w:spacing w:val="-4"/>
        </w:rPr>
        <w:t xml:space="preserve"> 号</w:t>
      </w:r>
      <w:r>
        <w:t>）</w:t>
      </w:r>
      <w:r>
        <w:rPr>
          <w:spacing w:val="-9"/>
        </w:rPr>
        <w:t xml:space="preserve">中附件 </w:t>
      </w:r>
      <w:r>
        <w:rPr>
          <w:spacing w:val="-32"/>
        </w:rPr>
        <w:t>1</w:t>
      </w:r>
      <w:r>
        <w:t>《河南联通驻地网拓展经理绩效考核与薪酬分配指导意见》落实对驻地网拓展经理的考核。</w:t>
      </w:r>
    </w:p>
    <w:p>
      <w:pPr>
        <w:pStyle w:val="BodyText"/>
        <w:spacing w:line="338" w:lineRule="auto"/>
        <w:ind w:left="2553" w:right="2561" w:firstLine="982"/>
        <w:jc w:val="both"/>
      </w:pPr>
      <w:r>
        <w:rPr>
          <w:w w:val="95"/>
        </w:rPr>
        <w:t>（四</w:t>
      </w:r>
      <w:r>
        <w:rPr>
          <w:spacing w:val="-76"/>
          <w:w w:val="95"/>
        </w:rPr>
        <w:t>）</w:t>
      </w:r>
      <w:r>
        <w:rPr>
          <w:spacing w:val="-13"/>
          <w:w w:val="95"/>
        </w:rPr>
        <w:t xml:space="preserve">对于设备故障、系统故障、工程施工原因导致装拆  </w:t>
      </w:r>
      <w:r>
        <w:rPr>
          <w:spacing w:val="-16"/>
          <w:w w:val="95"/>
        </w:rPr>
        <w:t xml:space="preserve">移修超时限的，扣罚相应责任单位及责任人，扣罚细则及标准  </w:t>
      </w:r>
      <w:r>
        <w:t>由分公司自行制定。</w:t>
      </w:r>
    </w:p>
    <w:p>
      <w:pPr>
        <w:pStyle w:val="BodyText"/>
        <w:spacing w:line="710" w:lineRule="exact"/>
        <w:ind w:left="3535"/>
        <w:jc w:val="both"/>
      </w:pPr>
      <w:r>
        <w:t>（五）对于“480”承诺范围内，工单受理后 90 天内宽</w:t>
      </w:r>
    </w:p>
    <w:p>
      <w:pPr>
        <w:spacing w:after="0" w:line="710" w:lineRule="exact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https://d.book118.com/438010064014006031</w:t>
        </w:r>
      </w:hyperlink>
    </w:p>
    <w:p>
      <w:pPr>
        <w:spacing w:after="0" w:line="710" w:lineRule="exact"/>
        <w:jc w:val="both"/>
      </w:pPr>
    </w:p>
    <w:sectPr>
      <w:footerReference w:type="default" r:id="rId53"/>
      <w:type w:val="continuous"/>
      <w:pgSz w:w="17860" w:h="25260"/>
      <w:pgMar w:top="920" w:right="0" w:bottom="2020" w:left="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细黑">
    <w:altName w:val="华文细黑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1160.88pt;margin-left:140.3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88pt;margin-left:140.3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1160.88pt;margin-left:140.3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88pt;margin-left:140.3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1160.88pt;margin-left:140.3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88pt;margin-left:140.3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1160.88pt;margin-left:140.3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88pt;margin-left:140.3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1160.88pt;margin-left:140.3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88pt;margin-left:140.3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1160.88pt;margin-left:140.3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88pt;margin-left:140.3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1160.88pt;margin-left:140.3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88pt;margin-left:140.3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1160.88pt;margin-left:140.3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88pt;margin-left:140.3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1160.88pt;margin-left:140.3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88pt;margin-left:140.3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74E2E"/>
    <w:multiLevelType w:val="hybridMultilevel"/>
    <w:tmpl w:val="00000000"/>
    <w:lvl w:ilvl="0">
      <w:start w:val="1"/>
      <w:numFmt w:val="decimal"/>
      <w:lvlText w:val="%1."/>
      <w:lvlJc w:val="left"/>
      <w:pPr>
        <w:ind w:left="2553" w:hanging="645"/>
        <w:jc w:val="left"/>
      </w:pPr>
      <w:rPr>
        <w:rFonts w:ascii="华文细黑" w:eastAsia="华文细黑" w:hAnsi="华文细黑" w:cs="华文细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089" w:hanging="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645"/>
      </w:pPr>
      <w:rPr>
        <w:rFonts w:hint="default"/>
      </w:rPr>
    </w:lvl>
  </w:abstractNum>
  <w:abstractNum w:abstractNumId="1">
    <w:nsid w:val="0E4930CB"/>
    <w:multiLevelType w:val="hybridMultilevel"/>
    <w:tmpl w:val="00000000"/>
    <w:lvl w:ilvl="0">
      <w:start w:val="1"/>
      <w:numFmt w:val="decimal"/>
      <w:lvlText w:val="（%1）"/>
      <w:lvlJc w:val="left"/>
      <w:pPr>
        <w:ind w:left="5001" w:hanging="1466"/>
        <w:jc w:val="left"/>
      </w:pPr>
      <w:rPr>
        <w:rFonts w:ascii="华文细黑" w:eastAsia="华文细黑" w:hAnsi="华文细黑" w:cs="华文细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6285" w:hanging="1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71" w:hanging="1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57" w:hanging="1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43" w:hanging="1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29" w:hanging="1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15" w:hanging="1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01" w:hanging="1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87" w:hanging="1466"/>
      </w:pPr>
      <w:rPr>
        <w:rFonts w:hint="default"/>
      </w:rPr>
    </w:lvl>
  </w:abstractNum>
  <w:abstractNum w:abstractNumId="2">
    <w:nsid w:val="16D1EFAB"/>
    <w:multiLevelType w:val="hybridMultilevel"/>
    <w:tmpl w:val="00000000"/>
    <w:lvl w:ilvl="0">
      <w:start w:val="1"/>
      <w:numFmt w:val="decimal"/>
      <w:lvlText w:val="%1."/>
      <w:lvlJc w:val="left"/>
      <w:pPr>
        <w:ind w:left="4285" w:hanging="750"/>
        <w:jc w:val="left"/>
      </w:pPr>
      <w:rPr>
        <w:rFonts w:ascii="华文细黑" w:eastAsia="华文细黑" w:hAnsi="华文细黑" w:cs="华文细黑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5637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5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3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1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7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5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3" w:hanging="750"/>
      </w:pPr>
      <w:rPr>
        <w:rFonts w:hint="default"/>
      </w:rPr>
    </w:lvl>
  </w:abstractNum>
  <w:abstractNum w:abstractNumId="3">
    <w:nsid w:val="218D1AC3"/>
    <w:multiLevelType w:val="hybridMultilevel"/>
    <w:tmpl w:val="00000000"/>
    <w:lvl w:ilvl="0">
      <w:start w:val="1"/>
      <w:numFmt w:val="decimal"/>
      <w:lvlText w:val="%1."/>
      <w:lvlJc w:val="left"/>
      <w:pPr>
        <w:ind w:left="4176" w:hanging="641"/>
        <w:jc w:val="left"/>
      </w:pPr>
      <w:rPr>
        <w:rFonts w:ascii="华文细黑" w:eastAsia="华文细黑" w:hAnsi="华文细黑" w:cs="华文细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5547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41"/>
      </w:pPr>
      <w:rPr>
        <w:rFonts w:hint="default"/>
      </w:rPr>
    </w:lvl>
  </w:abstractNum>
  <w:abstractNum w:abstractNumId="4">
    <w:nsid w:val="2A407289"/>
    <w:multiLevelType w:val="hybridMultilevel"/>
    <w:tmpl w:val="00000000"/>
    <w:lvl w:ilvl="0">
      <w:start w:val="1"/>
      <w:numFmt w:val="decimal"/>
      <w:lvlText w:val="%1."/>
      <w:lvlJc w:val="left"/>
      <w:pPr>
        <w:ind w:left="2553" w:hanging="400"/>
        <w:jc w:val="left"/>
      </w:pPr>
      <w:rPr>
        <w:rFonts w:ascii="华文细黑" w:eastAsia="华文细黑" w:hAnsi="华文细黑" w:cs="华文细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089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400"/>
      </w:pPr>
      <w:rPr>
        <w:rFonts w:hint="default"/>
      </w:rPr>
    </w:lvl>
  </w:abstractNum>
  <w:abstractNum w:abstractNumId="5">
    <w:nsid w:val="2E6B7C01"/>
    <w:multiLevelType w:val="hybridMultilevel"/>
    <w:tmpl w:val="00000000"/>
    <w:lvl w:ilvl="0">
      <w:start w:val="1"/>
      <w:numFmt w:val="decimal"/>
      <w:lvlText w:val="%1."/>
      <w:lvlJc w:val="left"/>
      <w:pPr>
        <w:ind w:left="3514" w:hanging="638"/>
        <w:jc w:val="left"/>
      </w:pPr>
      <w:rPr>
        <w:rFonts w:ascii="华文细黑" w:eastAsia="华文细黑" w:hAnsi="华文细黑" w:cs="华文细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95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8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2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2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1" w:hanging="638"/>
      </w:pPr>
      <w:rPr>
        <w:rFonts w:hint="default"/>
      </w:rPr>
    </w:lvl>
  </w:abstractNum>
  <w:abstractNum w:abstractNumId="6">
    <w:nsid w:val="4F10BB44"/>
    <w:multiLevelType w:val="hybridMultilevel"/>
    <w:tmpl w:val="00000000"/>
    <w:lvl w:ilvl="0">
      <w:start w:val="1"/>
      <w:numFmt w:val="decimal"/>
      <w:lvlText w:val="%1."/>
      <w:lvlJc w:val="left"/>
      <w:pPr>
        <w:ind w:left="2553" w:hanging="638"/>
        <w:jc w:val="left"/>
      </w:pPr>
      <w:rPr>
        <w:rFonts w:ascii="华文细黑" w:eastAsia="华文细黑" w:hAnsi="华文细黑" w:cs="华文细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089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638"/>
      </w:pPr>
      <w:rPr>
        <w:rFonts w:hint="default"/>
      </w:rPr>
    </w:lvl>
  </w:abstractNum>
  <w:abstractNum w:abstractNumId="7">
    <w:nsid w:val="53F9A3AE"/>
    <w:multiLevelType w:val="hybridMultilevel"/>
    <w:tmpl w:val="00000000"/>
    <w:lvl w:ilvl="0">
      <w:start w:val="1"/>
      <w:numFmt w:val="decimal"/>
      <w:lvlText w:val="%1."/>
      <w:lvlJc w:val="left"/>
      <w:pPr>
        <w:ind w:left="2553" w:hanging="645"/>
        <w:jc w:val="left"/>
      </w:pPr>
      <w:rPr>
        <w:rFonts w:ascii="华文细黑" w:eastAsia="华文细黑" w:hAnsi="华文细黑" w:cs="华文细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089" w:hanging="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645"/>
      </w:pPr>
      <w:rPr>
        <w:rFonts w:hint="default"/>
      </w:rPr>
    </w:lvl>
  </w:abstractNum>
  <w:abstractNum w:abstractNumId="8">
    <w:nsid w:val="56D0446E"/>
    <w:multiLevelType w:val="hybridMultilevel"/>
    <w:tmpl w:val="00000000"/>
    <w:lvl w:ilvl="0">
      <w:start w:val="1"/>
      <w:numFmt w:val="decimal"/>
      <w:lvlText w:val="%1."/>
      <w:lvlJc w:val="left"/>
      <w:pPr>
        <w:ind w:left="4176" w:hanging="641"/>
        <w:jc w:val="left"/>
      </w:pPr>
      <w:rPr>
        <w:rFonts w:ascii="华文细黑" w:eastAsia="华文细黑" w:hAnsi="华文细黑" w:cs="华文细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5547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41"/>
      </w:pPr>
      <w:rPr>
        <w:rFonts w:hint="default"/>
      </w:rPr>
    </w:lvl>
  </w:abstractNum>
  <w:abstractNum w:abstractNumId="9">
    <w:nsid w:val="62963C82"/>
    <w:multiLevelType w:val="hybridMultilevel"/>
    <w:tmpl w:val="00000000"/>
    <w:lvl w:ilvl="0">
      <w:start w:val="1"/>
      <w:numFmt w:val="decimal"/>
      <w:lvlText w:val="%1."/>
      <w:lvlJc w:val="left"/>
      <w:pPr>
        <w:ind w:left="2553" w:hanging="645"/>
        <w:jc w:val="left"/>
      </w:pPr>
      <w:rPr>
        <w:rFonts w:ascii="华文细黑" w:eastAsia="华文细黑" w:hAnsi="华文细黑" w:cs="华文细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089" w:hanging="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645"/>
      </w:pPr>
      <w:rPr>
        <w:rFonts w:hint="default"/>
      </w:rPr>
    </w:lvl>
  </w:abstractNum>
  <w:abstractNum w:abstractNumId="10">
    <w:nsid w:val="723F7769"/>
    <w:multiLevelType w:val="hybridMultilevel"/>
    <w:tmpl w:val="00000000"/>
    <w:lvl w:ilvl="0">
      <w:start w:val="1"/>
      <w:numFmt w:val="decimal"/>
      <w:lvlText w:val="%1."/>
      <w:lvlJc w:val="left"/>
      <w:pPr>
        <w:ind w:left="2553" w:hanging="645"/>
        <w:jc w:val="left"/>
      </w:pPr>
      <w:rPr>
        <w:rFonts w:ascii="华文细黑" w:eastAsia="华文细黑" w:hAnsi="华文细黑" w:cs="华文细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089" w:hanging="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645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9"/>
  </w:num>
  <w:num w:numId="5">
    <w:abstractNumId w:val="6"/>
  </w:num>
  <w:num w:numId="6">
    <w:abstractNumId w:val="10"/>
  </w:num>
  <w:num w:numId="7">
    <w:abstractNumId w:val="1"/>
  </w:num>
  <w:num w:numId="8">
    <w:abstractNumId w:val="5"/>
  </w:num>
  <w:num w:numId="9">
    <w:abstractNumId w:val="0"/>
  </w:num>
  <w:num w:numId="10">
    <w:abstractNumId w:val="7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细黑" w:eastAsia="华文细黑" w:hAnsi="华文细黑" w:cs="华文细黑"/>
    </w:rPr>
  </w:style>
  <w:style w:type="paragraph" w:styleId="Heading1">
    <w:name w:val="heading 1"/>
    <w:basedOn w:val="Normal"/>
    <w:uiPriority w:val="1"/>
    <w:qFormat/>
    <w:pPr>
      <w:spacing w:before="91"/>
      <w:ind w:left="2412"/>
      <w:outlineLvl w:val="0"/>
    </w:pPr>
    <w:rPr>
      <w:rFonts w:ascii="华文细黑" w:eastAsia="华文细黑" w:hAnsi="华文细黑" w:cs="华文细黑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3514"/>
      <w:outlineLvl w:val="1"/>
    </w:pPr>
    <w:rPr>
      <w:rFonts w:ascii="华文细黑" w:eastAsia="华文细黑" w:hAnsi="华文细黑" w:cs="华文细黑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细黑" w:eastAsia="华文细黑" w:hAnsi="华文细黑" w:cs="华文细黑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553" w:firstLine="961"/>
    </w:pPr>
    <w:rPr>
      <w:rFonts w:ascii="华文细黑" w:eastAsia="华文细黑" w:hAnsi="华文细黑" w:cs="华文细黑"/>
    </w:rPr>
  </w:style>
  <w:style w:type="paragraph" w:customStyle="1" w:styleId="TableParagraph">
    <w:name w:val="Table Paragraph"/>
    <w:basedOn w:val="Normal"/>
    <w:uiPriority w:val="1"/>
    <w:qFormat/>
    <w:pPr>
      <w:spacing w:line="222" w:lineRule="exact"/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footer" Target="footer3.xml" /><Relationship Id="rId17" Type="http://schemas.openxmlformats.org/officeDocument/2006/relationships/image" Target="media/image11.png" /><Relationship Id="rId18" Type="http://schemas.openxmlformats.org/officeDocument/2006/relationships/footer" Target="footer4.xml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footer" Target="footer5.xml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footer" Target="footer6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image" Target="media/image29.png" /><Relationship Id="rId4" Type="http://schemas.openxmlformats.org/officeDocument/2006/relationships/footer" Target="footer1.xml" /><Relationship Id="rId40" Type="http://schemas.openxmlformats.org/officeDocument/2006/relationships/image" Target="media/image30.png" /><Relationship Id="rId41" Type="http://schemas.openxmlformats.org/officeDocument/2006/relationships/footer" Target="footer8.xml" /><Relationship Id="rId42" Type="http://schemas.openxmlformats.org/officeDocument/2006/relationships/footer" Target="footer9.xml" /><Relationship Id="rId43" Type="http://schemas.openxmlformats.org/officeDocument/2006/relationships/footer" Target="footer10.xml" /><Relationship Id="rId44" Type="http://schemas.openxmlformats.org/officeDocument/2006/relationships/footer" Target="footer11.xml" /><Relationship Id="rId45" Type="http://schemas.openxmlformats.org/officeDocument/2006/relationships/footer" Target="footer12.xml" /><Relationship Id="rId46" Type="http://schemas.openxmlformats.org/officeDocument/2006/relationships/footer" Target="footer13.xml" /><Relationship Id="rId47" Type="http://schemas.openxmlformats.org/officeDocument/2006/relationships/footer" Target="footer14.xml" /><Relationship Id="rId48" Type="http://schemas.openxmlformats.org/officeDocument/2006/relationships/footer" Target="footer15.xml" /><Relationship Id="rId49" Type="http://schemas.openxmlformats.org/officeDocument/2006/relationships/footer" Target="footer16.xml" /><Relationship Id="rId5" Type="http://schemas.openxmlformats.org/officeDocument/2006/relationships/footer" Target="footer2.xml" /><Relationship Id="rId50" Type="http://schemas.openxmlformats.org/officeDocument/2006/relationships/image" Target="media/image31.png" /><Relationship Id="rId51" Type="http://schemas.openxmlformats.org/officeDocument/2006/relationships/footer" Target="footer17.xml" /><Relationship Id="rId52" Type="http://schemas.openxmlformats.org/officeDocument/2006/relationships/hyperlink" Target="https://d.book118.com/438010064014006031" TargetMode="External" /><Relationship Id="rId53" Type="http://schemas.openxmlformats.org/officeDocument/2006/relationships/footer" Target="footer18.xml" /><Relationship Id="rId54" Type="http://schemas.openxmlformats.org/officeDocument/2006/relationships/theme" Target="theme/theme1.xml" /><Relationship Id="rId55" Type="http://schemas.openxmlformats.org/officeDocument/2006/relationships/numbering" Target="numbering.xml" /><Relationship Id="rId56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2024-01-09T07:12:57Z</dcterms:created>
  <dcterms:modified xsi:type="dcterms:W3CDTF">2024-01-09T07:12:57Z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2024-01-09T00:00:00Z</vt:filetime>
  </property>
</Properties>
</file>