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104A5">
      <w:pPr>
        <w:spacing w:before="120" w:beforeLines="50" w:line="360" w:lineRule="auto"/>
        <w:jc w:val="center"/>
        <w:rPr>
          <w:rFonts w:eastAsia="宋体"/>
          <w:b/>
          <w:bCs/>
          <w:sz w:val="96"/>
          <w:szCs w:val="96"/>
          <w:lang w:eastAsia="zh-CN"/>
        </w:rPr>
      </w:pPr>
    </w:p>
    <w:p w:rsidR="003104A5">
      <w:pPr>
        <w:spacing w:before="120" w:beforeLines="50" w:line="360" w:lineRule="auto"/>
        <w:jc w:val="center"/>
        <w:rPr>
          <w:rFonts w:eastAsia="宋体"/>
          <w:b/>
          <w:bCs/>
          <w:sz w:val="96"/>
          <w:szCs w:val="96"/>
          <w:lang w:val="en-US" w:eastAsia="zh-CN"/>
        </w:rPr>
      </w:pPr>
      <w:r>
        <w:rPr>
          <w:rFonts w:eastAsia="宋体" w:hint="eastAsia"/>
          <w:b/>
          <w:bCs/>
          <w:sz w:val="96"/>
          <w:szCs w:val="96"/>
          <w:lang w:val="en-US" w:eastAsia="zh-CN"/>
        </w:rPr>
        <w:t>*</w:t>
      </w:r>
      <w:r>
        <w:rPr>
          <w:rFonts w:eastAsia="宋体"/>
          <w:b/>
          <w:bCs/>
          <w:sz w:val="96"/>
          <w:szCs w:val="96"/>
          <w:lang w:val="en-US" w:eastAsia="zh-CN"/>
        </w:rPr>
        <w:t>****</w:t>
      </w:r>
      <w:r w:rsidR="00E9661C">
        <w:rPr>
          <w:rFonts w:eastAsia="宋体" w:hint="eastAsia"/>
          <w:b/>
          <w:bCs/>
          <w:sz w:val="96"/>
          <w:szCs w:val="96"/>
          <w:lang w:val="en-US" w:eastAsia="zh-CN"/>
        </w:rPr>
        <w:t>研发中心</w:t>
      </w:r>
    </w:p>
    <w:p w:rsidR="003104A5">
      <w:pPr>
        <w:spacing w:line="360" w:lineRule="auto"/>
        <w:rPr>
          <w:rFonts w:eastAsia="宋体"/>
          <w:sz w:val="36"/>
          <w:szCs w:val="28"/>
          <w:lang w:val="en-US" w:eastAsia="zh-CN"/>
        </w:rPr>
      </w:pPr>
    </w:p>
    <w:p w:rsidR="003104A5">
      <w:pPr>
        <w:spacing w:line="360" w:lineRule="auto"/>
        <w:jc w:val="center"/>
        <w:rPr>
          <w:rFonts w:eastAsia="宋体"/>
          <w:sz w:val="36"/>
          <w:szCs w:val="44"/>
          <w:lang w:eastAsia="zh-CN"/>
        </w:rPr>
      </w:pPr>
      <w:r>
        <w:rPr>
          <w:rFonts w:eastAsia="宋体" w:hint="eastAsia"/>
          <w:sz w:val="36"/>
          <w:szCs w:val="44"/>
          <w:lang w:eastAsia="zh-CN"/>
        </w:rPr>
        <w:t>电梯及自动扶梯装置</w:t>
      </w:r>
    </w:p>
    <w:p w:rsidR="003104A5">
      <w:pPr>
        <w:spacing w:line="360" w:lineRule="auto"/>
        <w:jc w:val="center"/>
        <w:rPr>
          <w:rFonts w:eastAsia="宋体"/>
          <w:sz w:val="36"/>
          <w:szCs w:val="44"/>
          <w:lang w:eastAsia="zh-CN"/>
        </w:rPr>
      </w:pPr>
    </w:p>
    <w:p w:rsidR="003104A5">
      <w:pPr>
        <w:spacing w:line="360" w:lineRule="auto"/>
        <w:jc w:val="center"/>
        <w:rPr>
          <w:rFonts w:eastAsia="宋体"/>
          <w:sz w:val="36"/>
          <w:szCs w:val="44"/>
          <w:lang w:eastAsia="zh-CN"/>
        </w:rPr>
      </w:pPr>
      <w:r>
        <w:rPr>
          <w:rFonts w:eastAsia="宋体" w:hint="eastAsia"/>
          <w:sz w:val="36"/>
          <w:szCs w:val="44"/>
          <w:lang w:eastAsia="zh-CN"/>
        </w:rPr>
        <w:t>技术规格说明书</w:t>
      </w:r>
    </w:p>
    <w:p w:rsidR="003104A5">
      <w:pPr>
        <w:spacing w:line="360" w:lineRule="auto"/>
        <w:jc w:val="center"/>
        <w:rPr>
          <w:rFonts w:eastAsia="宋体"/>
          <w:sz w:val="36"/>
          <w:szCs w:val="44"/>
          <w:lang w:eastAsia="zh-CN"/>
        </w:rPr>
      </w:pPr>
      <w:r>
        <w:rPr>
          <w:rFonts w:eastAsia="宋体" w:hint="eastAsia"/>
          <w:sz w:val="36"/>
          <w:szCs w:val="44"/>
          <w:lang w:eastAsia="zh-CN"/>
        </w:rPr>
        <w:t>第一部分</w:t>
      </w:r>
    </w:p>
    <w:p w:rsidR="003104A5">
      <w:pPr>
        <w:jc w:val="cente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pStyle w:val="Footer"/>
        <w:tabs>
          <w:tab w:val="clear" w:pos="4153"/>
          <w:tab w:val="clear" w:pos="8306"/>
        </w:tabs>
        <w:rPr>
          <w:rFonts w:eastAsia="宋体"/>
          <w:szCs w:val="28"/>
          <w:lang w:eastAsia="zh-CN"/>
        </w:rPr>
      </w:pPr>
    </w:p>
    <w:p w:rsidR="003104A5">
      <w:pPr>
        <w:pStyle w:val="Footer"/>
        <w:tabs>
          <w:tab w:val="clear" w:pos="4153"/>
          <w:tab w:val="clear" w:pos="8306"/>
        </w:tabs>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rPr>
          <w:rFonts w:eastAsia="宋体"/>
          <w:szCs w:val="28"/>
          <w:lang w:eastAsia="zh-CN"/>
        </w:rPr>
      </w:pPr>
    </w:p>
    <w:p w:rsidR="003104A5">
      <w:pPr>
        <w:autoSpaceDE w:val="0"/>
        <w:autoSpaceDN w:val="0"/>
        <w:adjustRightInd w:val="0"/>
        <w:spacing w:line="360" w:lineRule="auto"/>
        <w:jc w:val="center"/>
        <w:rPr>
          <w:rFonts w:eastAsia="宋体"/>
          <w:b/>
          <w:bCs/>
          <w:sz w:val="24"/>
          <w:szCs w:val="34"/>
          <w:lang w:val="en-US" w:eastAsia="zh-CN"/>
        </w:rPr>
      </w:pPr>
      <w:bookmarkStart w:id="0" w:name="_Hlk59783634"/>
      <w:r>
        <w:rPr>
          <w:rFonts w:eastAsia="宋体" w:hint="eastAsia"/>
          <w:sz w:val="24"/>
          <w:szCs w:val="28"/>
          <w:lang w:eastAsia="zh-CN"/>
        </w:rPr>
        <w:t>日期：</w:t>
      </w:r>
      <w:r>
        <w:rPr>
          <w:rFonts w:eastAsia="宋体"/>
          <w:sz w:val="24"/>
          <w:szCs w:val="28"/>
          <w:lang w:eastAsia="zh-CN"/>
        </w:rPr>
        <w:t xml:space="preserve">   </w:t>
      </w:r>
      <w:r>
        <w:rPr>
          <w:rFonts w:eastAsia="宋体"/>
          <w:sz w:val="24"/>
          <w:szCs w:val="28"/>
          <w:u w:val="single"/>
          <w:lang w:eastAsia="zh-CN"/>
        </w:rPr>
        <w:t xml:space="preserve"> </w:t>
      </w:r>
      <w:r w:rsidR="005855F8">
        <w:rPr>
          <w:rFonts w:eastAsia="宋体"/>
          <w:sz w:val="28"/>
          <w:szCs w:val="28"/>
          <w:u w:val="single"/>
          <w:lang w:eastAsia="zh-CN"/>
        </w:rPr>
        <w:t xml:space="preserve">  </w:t>
      </w:r>
      <w:r>
        <w:rPr>
          <w:rFonts w:eastAsia="宋体" w:hint="eastAsia"/>
          <w:sz w:val="28"/>
          <w:szCs w:val="28"/>
          <w:lang w:eastAsia="zh-CN"/>
        </w:rPr>
        <w:t xml:space="preserve"> </w:t>
      </w:r>
      <w:r>
        <w:rPr>
          <w:rFonts w:eastAsia="宋体" w:hint="eastAsia"/>
          <w:sz w:val="28"/>
          <w:szCs w:val="28"/>
          <w:lang w:eastAsia="zh-CN"/>
        </w:rPr>
        <w:t>年</w:t>
      </w:r>
      <w:r>
        <w:rPr>
          <w:rFonts w:eastAsia="宋体" w:hint="eastAsia"/>
          <w:sz w:val="28"/>
          <w:szCs w:val="28"/>
          <w:lang w:eastAsia="zh-CN"/>
        </w:rPr>
        <w:t xml:space="preserve"> </w:t>
      </w:r>
      <w:r>
        <w:rPr>
          <w:rFonts w:eastAsia="宋体"/>
          <w:sz w:val="28"/>
          <w:szCs w:val="28"/>
          <w:u w:val="single"/>
          <w:lang w:eastAsia="zh-CN"/>
        </w:rPr>
        <w:t xml:space="preserve">  </w:t>
      </w:r>
      <w:r w:rsidR="005855F8">
        <w:rPr>
          <w:rFonts w:eastAsia="宋体"/>
          <w:sz w:val="28"/>
          <w:szCs w:val="28"/>
          <w:u w:val="single"/>
          <w:lang w:val="en-US" w:eastAsia="zh-CN"/>
        </w:rPr>
        <w:t xml:space="preserve">  </w:t>
      </w:r>
      <w:bookmarkStart w:id="1" w:name="_GoBack"/>
      <w:bookmarkEnd w:id="1"/>
      <w:r>
        <w:rPr>
          <w:rFonts w:eastAsia="宋体"/>
          <w:sz w:val="28"/>
          <w:szCs w:val="28"/>
          <w:u w:val="single"/>
          <w:lang w:eastAsia="zh-CN"/>
        </w:rPr>
        <w:t xml:space="preserve"> </w:t>
      </w:r>
      <w:r>
        <w:rPr>
          <w:rFonts w:eastAsia="宋体" w:hint="eastAsia"/>
          <w:sz w:val="28"/>
          <w:szCs w:val="28"/>
          <w:lang w:eastAsia="zh-CN"/>
        </w:rPr>
        <w:t>月</w:t>
      </w:r>
    </w:p>
    <w:bookmarkEnd w:id="0"/>
    <w:p w:rsidR="003104A5">
      <w:pPr>
        <w:autoSpaceDE w:val="0"/>
        <w:autoSpaceDN w:val="0"/>
        <w:adjustRightInd w:val="0"/>
        <w:spacing w:line="360" w:lineRule="auto"/>
        <w:rPr>
          <w:rFonts w:asciiTheme="minorEastAsia" w:eastAsiaTheme="minorEastAsia" w:hAnsiTheme="minorEastAsia"/>
          <w:b/>
          <w:bCs/>
          <w:sz w:val="24"/>
          <w:szCs w:val="34"/>
          <w:lang w:val="en-US" w:eastAsia="zh-CN"/>
        </w:rPr>
      </w:pPr>
      <w:r>
        <w:rPr>
          <w:rFonts w:asciiTheme="minorEastAsia" w:eastAsiaTheme="minorEastAsia" w:hAnsiTheme="minorEastAsia"/>
          <w:sz w:val="24"/>
          <w:szCs w:val="28"/>
          <w:lang w:eastAsia="zh-CN"/>
        </w:rPr>
        <w:t xml:space="preserve"> </w:t>
      </w:r>
    </w:p>
    <w:p w:rsidR="003104A5">
      <w:pPr>
        <w:rPr>
          <w:rStyle w:val="HR-12"/>
          <w:rFonts w:ascii="Times New Roman" w:eastAsia="宋体" w:hAnsi="Times New Roman"/>
          <w:bCs/>
          <w:caps/>
          <w:lang w:eastAsia="zh-CN"/>
        </w:rPr>
        <w:sectPr>
          <w:pgSz w:w="11909" w:h="16834"/>
          <w:pgMar w:top="1440" w:right="1440" w:bottom="1440" w:left="1440" w:header="706" w:footer="720" w:gutter="0"/>
          <w:pgNumType w:start="1"/>
          <w:cols w:space="720"/>
        </w:sectPr>
      </w:pPr>
    </w:p>
    <w:p w:rsidR="003104A5">
      <w:pPr>
        <w:jc w:val="center"/>
        <w:rPr>
          <w:rFonts w:eastAsia="宋体"/>
          <w:lang w:eastAsia="zh-CN"/>
        </w:rPr>
      </w:pPr>
      <w:r>
        <w:rPr>
          <w:rFonts w:eastAsia="宋体" w:hint="eastAsia"/>
          <w:sz w:val="24"/>
          <w:lang w:eastAsia="zh-CN"/>
        </w:rPr>
        <w:t>*</w:t>
      </w:r>
      <w:r>
        <w:rPr>
          <w:rFonts w:eastAsia="宋体"/>
          <w:sz w:val="24"/>
          <w:lang w:eastAsia="zh-CN"/>
        </w:rPr>
        <w:t>****</w:t>
      </w:r>
      <w:r>
        <w:rPr>
          <w:rFonts w:eastAsia="宋体" w:hint="eastAsia"/>
          <w:sz w:val="24"/>
          <w:lang w:eastAsia="zh-CN"/>
        </w:rPr>
        <w:t>大厦</w:t>
      </w:r>
    </w:p>
    <w:p w:rsidR="003104A5">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电梯及自动扶梯装置</w:t>
      </w:r>
    </w:p>
    <w:p w:rsidR="003104A5">
      <w:pPr>
        <w:spacing w:before="60" w:after="60"/>
        <w:jc w:val="center"/>
        <w:rPr>
          <w:rStyle w:val="HR-12"/>
          <w:rFonts w:ascii="Times New Roman" w:eastAsia="宋体" w:hAnsi="Times New Roman"/>
          <w:bCs/>
          <w:caps/>
          <w:lang w:eastAsia="zh-CN"/>
        </w:rPr>
      </w:pPr>
    </w:p>
    <w:p w:rsidR="003104A5">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技术规格说明书</w:t>
      </w:r>
    </w:p>
    <w:p w:rsidR="003104A5">
      <w:pPr>
        <w:spacing w:before="60" w:after="60"/>
        <w:jc w:val="center"/>
        <w:rPr>
          <w:rStyle w:val="HR-12"/>
          <w:rFonts w:ascii="Times New Roman" w:eastAsia="宋体" w:hAnsi="Times New Roman"/>
          <w:bCs/>
          <w:caps/>
          <w:lang w:eastAsia="zh-CN"/>
        </w:rPr>
      </w:pPr>
      <w:r>
        <w:rPr>
          <w:rStyle w:val="HR-12"/>
          <w:rFonts w:ascii="Times New Roman" w:eastAsia="宋体" w:hAnsi="Times New Roman" w:hint="eastAsia"/>
          <w:bCs/>
          <w:caps/>
          <w:lang w:eastAsia="zh-CN"/>
        </w:rPr>
        <w:t>目录</w:t>
      </w:r>
    </w:p>
    <w:p w:rsidR="003104A5">
      <w:pPr>
        <w:tabs>
          <w:tab w:val="right" w:pos="9090"/>
        </w:tabs>
        <w:rPr>
          <w:rStyle w:val="HR-12"/>
          <w:rFonts w:ascii="Times New Roman" w:eastAsia="宋体" w:hAnsi="Times New Roman"/>
          <w:bCs/>
          <w:caps/>
          <w:lang w:eastAsia="zh-CN"/>
        </w:rPr>
      </w:pPr>
      <w:r>
        <w:rPr>
          <w:rStyle w:val="HR-12"/>
          <w:rFonts w:ascii="Times New Roman" w:eastAsia="宋体" w:hAnsi="Times New Roman" w:hint="eastAsia"/>
          <w:bCs/>
          <w:caps/>
          <w:lang w:eastAsia="zh-CN"/>
        </w:rPr>
        <w:t>第一部分</w:t>
      </w:r>
      <w:r>
        <w:rPr>
          <w:rStyle w:val="HR-12"/>
          <w:rFonts w:ascii="Times New Roman" w:eastAsia="宋体" w:hAnsi="Times New Roman"/>
          <w:bCs/>
          <w:caps/>
          <w:lang w:eastAsia="zh-CN"/>
        </w:rPr>
        <w:tab/>
      </w:r>
      <w:r>
        <w:rPr>
          <w:rStyle w:val="HR-12"/>
          <w:rFonts w:ascii="Times New Roman" w:eastAsia="宋体" w:hAnsi="Times New Roman" w:hint="eastAsia"/>
          <w:bCs/>
          <w:caps/>
          <w:u w:val="single"/>
          <w:lang w:eastAsia="zh-CN"/>
        </w:rPr>
        <w:t>页数</w:t>
      </w:r>
    </w:p>
    <w:p w:rsidR="003104A5">
      <w:pPr>
        <w:pStyle w:val="TOC1"/>
        <w:tabs>
          <w:tab w:val="right" w:leader="dot" w:pos="9019"/>
        </w:tabs>
        <w:rPr>
          <w:rFonts w:asciiTheme="minorHAnsi" w:eastAsiaTheme="minorEastAsia" w:hAnsiTheme="minorHAnsi" w:cstheme="minorBidi"/>
          <w:b w:val="0"/>
          <w:caps w:val="0"/>
          <w:kern w:val="2"/>
          <w:sz w:val="21"/>
          <w:szCs w:val="22"/>
          <w:lang w:val="en-US" w:eastAsia="zh-CN"/>
        </w:rPr>
      </w:pPr>
      <w:r>
        <w:rPr>
          <w:rFonts w:eastAsia="宋体"/>
          <w:bCs/>
          <w:sz w:val="24"/>
        </w:rPr>
        <w:fldChar w:fldCharType="begin"/>
      </w:r>
      <w:r>
        <w:rPr>
          <w:rFonts w:eastAsia="宋体"/>
          <w:bCs/>
          <w:sz w:val="24"/>
        </w:rPr>
        <w:instrText xml:space="preserve"> TOC \o "1-1" \h \z </w:instrText>
      </w:r>
      <w:r>
        <w:rPr>
          <w:rFonts w:eastAsia="宋体"/>
          <w:bCs/>
          <w:sz w:val="24"/>
        </w:rPr>
        <w:fldChar w:fldCharType="separate"/>
      </w:r>
      <w:hyperlink w:anchor="_Toc54958235" w:history="1">
        <w:r>
          <w:rPr>
            <w:rStyle w:val="Hyperlink"/>
            <w:rFonts w:asciiTheme="minorEastAsia" w:hAnsiTheme="minorEastAsia"/>
            <w:bCs/>
          </w:rPr>
          <w:t>第一章</w:t>
        </w:r>
        <w:r>
          <w:tab/>
        </w:r>
        <w:r>
          <w:fldChar w:fldCharType="begin"/>
        </w:r>
        <w:r>
          <w:instrText xml:space="preserve"> PAGEREF _Toc54958235 \h </w:instrText>
        </w:r>
        <w:r>
          <w:fldChar w:fldCharType="separate"/>
        </w:r>
        <w:r>
          <w:t>1</w:t>
        </w:r>
        <w:r>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36" w:history="1">
        <w:r w:rsidR="00F042EA">
          <w:rPr>
            <w:rStyle w:val="Hyperlink"/>
            <w:rFonts w:ascii="Times New Roman Bold" w:hAnsi="Times New Roman Bold"/>
            <w:lang w:val="en-US"/>
          </w:rPr>
          <w:t>1.</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技术规格说明书范围</w:t>
        </w:r>
        <w:r w:rsidR="00F042EA">
          <w:tab/>
        </w:r>
        <w:r w:rsidR="00F042EA">
          <w:fldChar w:fldCharType="begin"/>
        </w:r>
        <w:r w:rsidR="00F042EA">
          <w:instrText xml:space="preserve"> PAGEREF _Toc54958236 \h </w:instrText>
        </w:r>
        <w:r w:rsidR="00F042EA">
          <w:fldChar w:fldCharType="separate"/>
        </w:r>
        <w:r w:rsidR="00F042EA">
          <w:t>1</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37" w:history="1">
        <w:r w:rsidR="00F042EA">
          <w:rPr>
            <w:rStyle w:val="Hyperlink"/>
            <w:rFonts w:ascii="Times New Roman Bold" w:hAnsi="Times New Roman Bold"/>
            <w:lang w:val="en-US"/>
          </w:rPr>
          <w:t>2.</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词意定义与缩写</w:t>
        </w:r>
        <w:r w:rsidR="00F042EA">
          <w:tab/>
        </w:r>
        <w:r w:rsidR="00F042EA">
          <w:fldChar w:fldCharType="begin"/>
        </w:r>
        <w:r w:rsidR="00F042EA">
          <w:instrText xml:space="preserve"> PAGEREF _Toc54958237 \h </w:instrText>
        </w:r>
        <w:r w:rsidR="00F042EA">
          <w:fldChar w:fldCharType="separate"/>
        </w:r>
        <w:r w:rsidR="00F042EA">
          <w:t>1</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38" w:history="1">
        <w:r w:rsidR="00F042EA">
          <w:rPr>
            <w:rStyle w:val="Hyperlink"/>
            <w:rFonts w:ascii="Times New Roman Bold" w:hAnsi="Times New Roman Bold"/>
            <w:lang w:val="en-US"/>
          </w:rPr>
          <w:t>3.</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工程范围</w:t>
        </w:r>
        <w:r w:rsidR="00F042EA">
          <w:tab/>
        </w:r>
        <w:r w:rsidR="00F042EA">
          <w:fldChar w:fldCharType="begin"/>
        </w:r>
        <w:r w:rsidR="00F042EA">
          <w:instrText xml:space="preserve"> PAGEREF _Toc54958238 \h </w:instrText>
        </w:r>
        <w:r w:rsidR="00F042EA">
          <w:fldChar w:fldCharType="separate"/>
        </w:r>
        <w:r w:rsidR="00F042EA">
          <w:t>2</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39" w:history="1">
        <w:r w:rsidR="00F042EA">
          <w:rPr>
            <w:rStyle w:val="Hyperlink"/>
            <w:rFonts w:ascii="Times New Roman Bold" w:hAnsi="Times New Roman Bold"/>
          </w:rPr>
          <w:t>4.</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与其它单位</w:t>
        </w:r>
        <w:r w:rsidR="00F042EA">
          <w:rPr>
            <w:rStyle w:val="Hyperlink"/>
            <w:rFonts w:asciiTheme="minorEastAsia" w:hAnsiTheme="minorEastAsia"/>
            <w:lang w:val="en-US"/>
          </w:rPr>
          <w:t>/</w:t>
        </w:r>
        <w:r w:rsidR="00F042EA">
          <w:rPr>
            <w:rStyle w:val="Hyperlink"/>
            <w:rFonts w:asciiTheme="minorEastAsia" w:hAnsiTheme="minorEastAsia"/>
            <w:lang w:val="en-US"/>
          </w:rPr>
          <w:t>政府部门的相关工作</w:t>
        </w:r>
        <w:r w:rsidR="00F042EA">
          <w:tab/>
        </w:r>
        <w:r w:rsidR="00F042EA">
          <w:fldChar w:fldCharType="begin"/>
        </w:r>
        <w:r w:rsidR="00F042EA">
          <w:instrText xml:space="preserve"> PAGEREF _Toc54958239 \h </w:instrText>
        </w:r>
        <w:r w:rsidR="00F042EA">
          <w:fldChar w:fldCharType="separate"/>
        </w:r>
        <w:r w:rsidR="00F042EA">
          <w:t>4</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0" w:history="1">
        <w:r w:rsidR="00F042EA">
          <w:rPr>
            <w:rStyle w:val="Hyperlink"/>
            <w:rFonts w:ascii="Times New Roman Bold" w:hAnsi="Times New Roman Bold"/>
            <w:lang w:val="en-US"/>
          </w:rPr>
          <w:t>5.</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与其它单位的协调及交接工作</w:t>
        </w:r>
        <w:r w:rsidR="00F042EA">
          <w:tab/>
        </w:r>
        <w:r w:rsidR="00F042EA">
          <w:fldChar w:fldCharType="begin"/>
        </w:r>
        <w:r w:rsidR="00F042EA">
          <w:instrText xml:space="preserve"> PAGEREF _Toc54958240 \h </w:instrText>
        </w:r>
        <w:r w:rsidR="00F042EA">
          <w:fldChar w:fldCharType="separate"/>
        </w:r>
        <w:r w:rsidR="00F042EA">
          <w:t>5</w:t>
        </w:r>
        <w:r w:rsidR="00F042EA">
          <w:fldChar w:fldCharType="end"/>
        </w:r>
      </w:hyperlink>
    </w:p>
    <w:p w:rsidR="003104A5">
      <w:pPr>
        <w:pStyle w:val="TOC1"/>
        <w:tabs>
          <w:tab w:val="right" w:leader="dot" w:pos="9019"/>
        </w:tabs>
        <w:rPr>
          <w:rFonts w:asciiTheme="minorHAnsi" w:eastAsiaTheme="minorEastAsia" w:hAnsiTheme="minorHAnsi" w:cstheme="minorBidi"/>
          <w:b w:val="0"/>
          <w:caps w:val="0"/>
          <w:kern w:val="2"/>
          <w:sz w:val="21"/>
          <w:szCs w:val="22"/>
          <w:lang w:val="en-US" w:eastAsia="zh-CN"/>
        </w:rPr>
      </w:pPr>
      <w:hyperlink w:anchor="_Toc54958241" w:history="1">
        <w:r w:rsidR="00F042EA">
          <w:rPr>
            <w:rStyle w:val="Hyperlink"/>
            <w:rFonts w:asciiTheme="minorEastAsia" w:hAnsiTheme="minorEastAsia"/>
            <w:bCs/>
          </w:rPr>
          <w:t>第二章</w:t>
        </w:r>
        <w:r w:rsidR="00F042EA">
          <w:rPr>
            <w:rStyle w:val="Hyperlink"/>
            <w:rFonts w:asciiTheme="minorEastAsia" w:hAnsiTheme="minorEastAsia"/>
            <w:bCs/>
          </w:rPr>
          <w:t xml:space="preserve"> </w:t>
        </w:r>
        <w:r w:rsidR="00F042EA">
          <w:rPr>
            <w:rStyle w:val="Hyperlink"/>
            <w:rFonts w:asciiTheme="minorEastAsia" w:hAnsiTheme="minorEastAsia"/>
            <w:bCs/>
          </w:rPr>
          <w:t>一般要求</w:t>
        </w:r>
        <w:r w:rsidR="00F042EA">
          <w:tab/>
        </w:r>
        <w:r w:rsidR="00F042EA">
          <w:fldChar w:fldCharType="begin"/>
        </w:r>
        <w:r w:rsidR="00F042EA">
          <w:instrText xml:space="preserve"> PAGEREF _Toc54958241 \h </w:instrText>
        </w:r>
        <w:r w:rsidR="00F042EA">
          <w:fldChar w:fldCharType="separate"/>
        </w:r>
        <w:r w:rsidR="00F042EA">
          <w:t>9</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2" w:history="1">
        <w:r w:rsidR="00F042EA">
          <w:rPr>
            <w:rStyle w:val="Hyperlink"/>
            <w:rFonts w:ascii="Times New Roman Bold" w:hAnsi="Times New Roman Bold"/>
            <w:lang w:val="en-US"/>
          </w:rPr>
          <w:t>1.</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规则条例及标准</w:t>
        </w:r>
        <w:r w:rsidR="00F042EA">
          <w:tab/>
        </w:r>
        <w:r w:rsidR="00F042EA">
          <w:fldChar w:fldCharType="begin"/>
        </w:r>
        <w:r w:rsidR="00F042EA">
          <w:instrText xml:space="preserve"> PAGEREF _Toc54958242 \h </w:instrText>
        </w:r>
        <w:r w:rsidR="00F042EA">
          <w:fldChar w:fldCharType="separate"/>
        </w:r>
        <w:r w:rsidR="00F042EA">
          <w:t>9</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3" w:history="1">
        <w:r w:rsidR="00F042EA">
          <w:rPr>
            <w:rStyle w:val="Hyperlink"/>
            <w:rFonts w:ascii="Times New Roman Bold" w:hAnsi="Times New Roman Bold"/>
            <w:lang w:val="en-US"/>
          </w:rPr>
          <w:t>2.</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当地环境情况</w:t>
        </w:r>
        <w:r w:rsidR="00F042EA">
          <w:tab/>
        </w:r>
        <w:r w:rsidR="00F042EA">
          <w:fldChar w:fldCharType="begin"/>
        </w:r>
        <w:r w:rsidR="00F042EA">
          <w:instrText xml:space="preserve"> PAGEREF _Toc54958243 \h </w:instrText>
        </w:r>
        <w:r w:rsidR="00F042EA">
          <w:fldChar w:fldCharType="separate"/>
        </w:r>
        <w:r w:rsidR="00F042EA">
          <w:t>12</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4" w:history="1">
        <w:r w:rsidR="00F042EA">
          <w:rPr>
            <w:rStyle w:val="Hyperlink"/>
            <w:rFonts w:ascii="Times New Roman Bold" w:hAnsi="Times New Roman Bold"/>
          </w:rPr>
          <w:t>3.</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供电条件</w:t>
        </w:r>
        <w:r w:rsidR="00F042EA">
          <w:tab/>
        </w:r>
        <w:r w:rsidR="00F042EA">
          <w:fldChar w:fldCharType="begin"/>
        </w:r>
        <w:r w:rsidR="00F042EA">
          <w:instrText xml:space="preserve"> PAGEREF _Toc54958244 \h </w:instrText>
        </w:r>
        <w:r w:rsidR="00F042EA">
          <w:fldChar w:fldCharType="separate"/>
        </w:r>
        <w:r w:rsidR="00F042EA">
          <w:t>13</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5" w:history="1">
        <w:r w:rsidR="00F042EA">
          <w:rPr>
            <w:rStyle w:val="Hyperlink"/>
            <w:rFonts w:ascii="Times New Roman Bold" w:hAnsi="Times New Roman Bold"/>
            <w:lang w:val="en-US"/>
          </w:rPr>
          <w:t>4.</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工地现场条件勘察</w:t>
        </w:r>
        <w:r w:rsidR="00F042EA">
          <w:tab/>
        </w:r>
        <w:r w:rsidR="00F042EA">
          <w:fldChar w:fldCharType="begin"/>
        </w:r>
        <w:r w:rsidR="00F042EA">
          <w:instrText xml:space="preserve"> PAGEREF _Toc54958245 \h </w:instrText>
        </w:r>
        <w:r w:rsidR="00F042EA">
          <w:fldChar w:fldCharType="separate"/>
        </w:r>
        <w:r w:rsidR="00F042EA">
          <w:t>13</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6" w:history="1">
        <w:r w:rsidR="00F042EA">
          <w:rPr>
            <w:rStyle w:val="Hyperlink"/>
            <w:rFonts w:ascii="Times New Roman Bold" w:hAnsi="Times New Roman Bold"/>
            <w:lang w:val="en-US"/>
          </w:rPr>
          <w:t>5.</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工作协调及配合</w:t>
        </w:r>
        <w:r w:rsidR="00F042EA">
          <w:tab/>
        </w:r>
        <w:r w:rsidR="00F042EA">
          <w:fldChar w:fldCharType="begin"/>
        </w:r>
        <w:r w:rsidR="00F042EA">
          <w:instrText xml:space="preserve"> PAGEREF _Toc54958246 \h </w:instrText>
        </w:r>
        <w:r w:rsidR="00F042EA">
          <w:fldChar w:fldCharType="separate"/>
        </w:r>
        <w:r w:rsidR="00F042EA">
          <w:t>14</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7" w:history="1">
        <w:r w:rsidR="00F042EA">
          <w:rPr>
            <w:rStyle w:val="Hyperlink"/>
            <w:rFonts w:ascii="Times New Roman Bold" w:hAnsi="Times New Roman Bold"/>
            <w:lang w:val="en-US"/>
          </w:rPr>
          <w:t>6.</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定位</w:t>
        </w:r>
        <w:r w:rsidR="00F042EA">
          <w:tab/>
        </w:r>
        <w:r w:rsidR="00F042EA">
          <w:fldChar w:fldCharType="begin"/>
        </w:r>
        <w:r w:rsidR="00F042EA">
          <w:instrText xml:space="preserve"> PAGEREF _Toc54958247 \h </w:instrText>
        </w:r>
        <w:r w:rsidR="00F042EA">
          <w:fldChar w:fldCharType="separate"/>
        </w:r>
        <w:r w:rsidR="00F042EA">
          <w:t>14</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8" w:history="1">
        <w:r w:rsidR="00F042EA">
          <w:rPr>
            <w:rStyle w:val="Hyperlink"/>
            <w:rFonts w:ascii="Times New Roman Bold" w:hAnsi="Times New Roman Bold"/>
            <w:lang w:val="en-US"/>
          </w:rPr>
          <w:t>7.</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物料储存及保管</w:t>
        </w:r>
        <w:r w:rsidR="00F042EA">
          <w:tab/>
        </w:r>
        <w:r w:rsidR="00F042EA">
          <w:fldChar w:fldCharType="begin"/>
        </w:r>
        <w:r w:rsidR="00F042EA">
          <w:instrText xml:space="preserve"> PAGEREF _Toc54958248 \h </w:instrText>
        </w:r>
        <w:r w:rsidR="00F042EA">
          <w:fldChar w:fldCharType="separate"/>
        </w:r>
        <w:r w:rsidR="00F042EA">
          <w:t>15</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49" w:history="1">
        <w:r w:rsidR="00F042EA">
          <w:rPr>
            <w:rStyle w:val="Hyperlink"/>
            <w:rFonts w:ascii="Times New Roman Bold" w:hAnsi="Times New Roman Bold"/>
            <w:lang w:val="en-US"/>
          </w:rPr>
          <w:t>8.</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图纸</w:t>
        </w:r>
        <w:r w:rsidR="00F042EA">
          <w:tab/>
        </w:r>
        <w:r w:rsidR="00F042EA">
          <w:fldChar w:fldCharType="begin"/>
        </w:r>
        <w:r w:rsidR="00F042EA">
          <w:instrText xml:space="preserve"> PAGEREF _Toc54958249 \h </w:instrText>
        </w:r>
        <w:r w:rsidR="00F042EA">
          <w:fldChar w:fldCharType="separate"/>
        </w:r>
        <w:r w:rsidR="00F042EA">
          <w:t>17</w:t>
        </w:r>
        <w:r w:rsidR="00F042EA">
          <w:fldChar w:fldCharType="end"/>
        </w:r>
      </w:hyperlink>
    </w:p>
    <w:p w:rsidR="003104A5">
      <w:pPr>
        <w:pStyle w:val="TOC1"/>
        <w:tabs>
          <w:tab w:val="left" w:pos="440"/>
          <w:tab w:val="right" w:leader="dot" w:pos="9019"/>
        </w:tabs>
        <w:rPr>
          <w:rFonts w:asciiTheme="minorHAnsi" w:eastAsiaTheme="minorEastAsia" w:hAnsiTheme="minorHAnsi" w:cstheme="minorBidi"/>
          <w:b w:val="0"/>
          <w:caps w:val="0"/>
          <w:kern w:val="2"/>
          <w:sz w:val="21"/>
          <w:szCs w:val="22"/>
          <w:lang w:val="en-US" w:eastAsia="zh-CN"/>
        </w:rPr>
      </w:pPr>
      <w:hyperlink w:anchor="_Toc54958250" w:history="1">
        <w:r w:rsidR="00F042EA">
          <w:rPr>
            <w:rStyle w:val="Hyperlink"/>
            <w:rFonts w:ascii="Times New Roman Bold" w:hAnsi="Times New Roman Bold"/>
            <w:lang w:val="en-US"/>
          </w:rPr>
          <w:t>9.</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设备、材料及安装</w:t>
        </w:r>
        <w:r w:rsidR="00F042EA">
          <w:tab/>
        </w:r>
        <w:r w:rsidR="00F042EA">
          <w:fldChar w:fldCharType="begin"/>
        </w:r>
        <w:r w:rsidR="00F042EA">
          <w:instrText xml:space="preserve"> PAGEREF _Toc54958250 \h </w:instrText>
        </w:r>
        <w:r w:rsidR="00F042EA">
          <w:fldChar w:fldCharType="separate"/>
        </w:r>
        <w:r w:rsidR="00F042EA">
          <w:t>21</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1" w:history="1">
        <w:r w:rsidR="00F042EA">
          <w:rPr>
            <w:rStyle w:val="Hyperlink"/>
            <w:rFonts w:ascii="Times New Roman Bold" w:hAnsi="Times New Roman Bold"/>
            <w:lang w:val="en-US"/>
          </w:rPr>
          <w:t>10.</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送审及审批</w:t>
        </w:r>
        <w:r w:rsidR="00F042EA">
          <w:tab/>
        </w:r>
        <w:r w:rsidR="00F042EA">
          <w:fldChar w:fldCharType="begin"/>
        </w:r>
        <w:r w:rsidR="00F042EA">
          <w:instrText xml:space="preserve"> PAGEREF _Toc54958251 \h </w:instrText>
        </w:r>
        <w:r w:rsidR="00F042EA">
          <w:fldChar w:fldCharType="separate"/>
        </w:r>
        <w:r w:rsidR="00F042EA">
          <w:t>27</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2" w:history="1">
        <w:r w:rsidR="00F042EA">
          <w:rPr>
            <w:rStyle w:val="Hyperlink"/>
            <w:rFonts w:ascii="Times New Roman Bold" w:hAnsi="Times New Roman Bold"/>
            <w:lang w:val="en-US"/>
          </w:rPr>
          <w:t>11.</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工地组织</w:t>
        </w:r>
        <w:r w:rsidR="00F042EA">
          <w:tab/>
        </w:r>
        <w:r w:rsidR="00F042EA">
          <w:fldChar w:fldCharType="begin"/>
        </w:r>
        <w:r w:rsidR="00F042EA">
          <w:instrText xml:space="preserve"> PAGEREF _Toc54958252 \h </w:instrText>
        </w:r>
        <w:r w:rsidR="00F042EA">
          <w:fldChar w:fldCharType="separate"/>
        </w:r>
        <w:r w:rsidR="00F042EA">
          <w:t>27</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3" w:history="1">
        <w:r w:rsidR="00F042EA">
          <w:rPr>
            <w:rStyle w:val="Hyperlink"/>
            <w:rFonts w:ascii="Times New Roman Bold" w:hAnsi="Times New Roman Bold"/>
            <w:lang w:val="en-US"/>
          </w:rPr>
          <w:t>12.</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工程进度计划表</w:t>
        </w:r>
        <w:r w:rsidR="00F042EA">
          <w:tab/>
        </w:r>
        <w:r w:rsidR="00F042EA">
          <w:fldChar w:fldCharType="begin"/>
        </w:r>
        <w:r w:rsidR="00F042EA">
          <w:instrText xml:space="preserve"> PAGEREF _Toc54958253 \h </w:instrText>
        </w:r>
        <w:r w:rsidR="00F042EA">
          <w:fldChar w:fldCharType="separate"/>
        </w:r>
        <w:r w:rsidR="00F042EA">
          <w:t>27</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4" w:history="1">
        <w:r w:rsidR="00F042EA">
          <w:rPr>
            <w:rStyle w:val="Hyperlink"/>
            <w:rFonts w:ascii="Times New Roman Bold" w:hAnsi="Times New Roman Bold"/>
            <w:lang w:val="en-US"/>
          </w:rPr>
          <w:t>13.</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安全计划</w:t>
        </w:r>
        <w:r w:rsidR="00F042EA">
          <w:tab/>
        </w:r>
        <w:r w:rsidR="00F042EA">
          <w:fldChar w:fldCharType="begin"/>
        </w:r>
        <w:r w:rsidR="00F042EA">
          <w:instrText xml:space="preserve"> PAGEREF _Toc54958254 \h </w:instrText>
        </w:r>
        <w:r w:rsidR="00F042EA">
          <w:fldChar w:fldCharType="separate"/>
        </w:r>
        <w:r w:rsidR="00F042EA">
          <w:t>28</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5" w:history="1">
        <w:r w:rsidR="00F042EA">
          <w:rPr>
            <w:rStyle w:val="Hyperlink"/>
            <w:rFonts w:ascii="Times New Roman Bold" w:hAnsi="Times New Roman Bold"/>
            <w:lang w:val="en-US"/>
          </w:rPr>
          <w:t>14.</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竣工证书</w:t>
        </w:r>
        <w:r w:rsidR="00F042EA">
          <w:tab/>
        </w:r>
        <w:r w:rsidR="00F042EA">
          <w:fldChar w:fldCharType="begin"/>
        </w:r>
        <w:r w:rsidR="00F042EA">
          <w:instrText xml:space="preserve"> PAGEREF _Toc54958255 \h </w:instrText>
        </w:r>
        <w:r w:rsidR="00F042EA">
          <w:fldChar w:fldCharType="separate"/>
        </w:r>
        <w:r w:rsidR="00F042EA">
          <w:t>30</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6" w:history="1">
        <w:r w:rsidR="00F042EA">
          <w:rPr>
            <w:rStyle w:val="Hyperlink"/>
            <w:rFonts w:ascii="Times New Roman Bold" w:hAnsi="Times New Roman Bold"/>
            <w:lang w:val="en-US"/>
          </w:rPr>
          <w:t>15.</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质量管理</w:t>
        </w:r>
        <w:r w:rsidR="00F042EA">
          <w:tab/>
        </w:r>
        <w:r w:rsidR="00F042EA">
          <w:fldChar w:fldCharType="begin"/>
        </w:r>
        <w:r w:rsidR="00F042EA">
          <w:instrText xml:space="preserve"> PAGEREF _Toc54958256 \h </w:instrText>
        </w:r>
        <w:r w:rsidR="00F042EA">
          <w:fldChar w:fldCharType="separate"/>
        </w:r>
        <w:r w:rsidR="00F042EA">
          <w:t>30</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7" w:history="1">
        <w:r w:rsidR="00F042EA">
          <w:rPr>
            <w:rStyle w:val="Hyperlink"/>
            <w:rFonts w:ascii="Times New Roman Bold" w:hAnsi="Times New Roman Bold"/>
            <w:lang w:val="en-US"/>
          </w:rPr>
          <w:t>16.</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竣工前系统之使用</w:t>
        </w:r>
        <w:r w:rsidR="00F042EA">
          <w:tab/>
        </w:r>
        <w:r w:rsidR="00F042EA">
          <w:fldChar w:fldCharType="begin"/>
        </w:r>
        <w:r w:rsidR="00F042EA">
          <w:instrText xml:space="preserve"> PAGEREF _Toc54958257 \h </w:instrText>
        </w:r>
        <w:r w:rsidR="00F042EA">
          <w:fldChar w:fldCharType="separate"/>
        </w:r>
        <w:r w:rsidR="00F042EA">
          <w:t>33</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8" w:history="1">
        <w:r w:rsidR="00F042EA">
          <w:rPr>
            <w:rStyle w:val="Hyperlink"/>
            <w:rFonts w:ascii="Times New Roman Bold" w:hAnsi="Times New Roman Bold"/>
            <w:lang w:val="en-US"/>
          </w:rPr>
          <w:t>17.</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缺陷处理</w:t>
        </w:r>
        <w:r w:rsidR="00F042EA">
          <w:tab/>
        </w:r>
        <w:r w:rsidR="00F042EA">
          <w:fldChar w:fldCharType="begin"/>
        </w:r>
        <w:r w:rsidR="00F042EA">
          <w:instrText xml:space="preserve"> PAGEREF _Toc54958258 \h </w:instrText>
        </w:r>
        <w:r w:rsidR="00F042EA">
          <w:fldChar w:fldCharType="separate"/>
        </w:r>
        <w:r w:rsidR="00F042EA">
          <w:t>33</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59" w:history="1">
        <w:r w:rsidR="00F042EA">
          <w:rPr>
            <w:rStyle w:val="Hyperlink"/>
            <w:rFonts w:ascii="Times New Roman Bold" w:hAnsi="Times New Roman Bold"/>
            <w:lang w:val="en-US"/>
          </w:rPr>
          <w:t>18.</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操作和维修保养手册</w:t>
        </w:r>
        <w:r w:rsidR="00F042EA">
          <w:tab/>
        </w:r>
        <w:r w:rsidR="00F042EA">
          <w:fldChar w:fldCharType="begin"/>
        </w:r>
        <w:r w:rsidR="00F042EA">
          <w:instrText xml:space="preserve"> PAGEREF _Toc54958259 \h </w:instrText>
        </w:r>
        <w:r w:rsidR="00F042EA">
          <w:fldChar w:fldCharType="separate"/>
        </w:r>
        <w:r w:rsidR="00F042EA">
          <w:t>33</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60" w:history="1">
        <w:r w:rsidR="00F042EA">
          <w:rPr>
            <w:rStyle w:val="Hyperlink"/>
            <w:rFonts w:ascii="Times New Roman Bold" w:hAnsi="Times New Roman Bold"/>
            <w:lang w:val="en-US"/>
          </w:rPr>
          <w:t>19.</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文件及图纸送审及提交</w:t>
        </w:r>
        <w:r w:rsidR="00F042EA">
          <w:tab/>
        </w:r>
        <w:r w:rsidR="00F042EA">
          <w:fldChar w:fldCharType="begin"/>
        </w:r>
        <w:r w:rsidR="00F042EA">
          <w:instrText xml:space="preserve"> PAGEREF _Toc54958260 \h </w:instrText>
        </w:r>
        <w:r w:rsidR="00F042EA">
          <w:fldChar w:fldCharType="separate"/>
        </w:r>
        <w:r w:rsidR="00F042EA">
          <w:t>35</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61" w:history="1">
        <w:r w:rsidR="00F042EA">
          <w:rPr>
            <w:rStyle w:val="Hyperlink"/>
            <w:rFonts w:ascii="Times New Roman Bold" w:hAnsi="Times New Roman Bold"/>
            <w:lang w:val="en-US"/>
          </w:rPr>
          <w:t>20.</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电磁兼容</w:t>
        </w:r>
        <w:r w:rsidR="00F042EA">
          <w:tab/>
        </w:r>
        <w:r w:rsidR="00F042EA">
          <w:fldChar w:fldCharType="begin"/>
        </w:r>
        <w:r w:rsidR="00F042EA">
          <w:instrText xml:space="preserve"> PAGEREF _Toc54958261 \h </w:instrText>
        </w:r>
        <w:r w:rsidR="00F042EA">
          <w:fldChar w:fldCharType="separate"/>
        </w:r>
        <w:r w:rsidR="00F042EA">
          <w:t>36</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62" w:history="1">
        <w:r w:rsidR="00F042EA">
          <w:rPr>
            <w:rStyle w:val="Hyperlink"/>
            <w:rFonts w:ascii="Times New Roman Bold" w:hAnsi="Times New Roman Bold"/>
            <w:lang w:val="en-US"/>
          </w:rPr>
          <w:t>21.</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图纸和设备编号</w:t>
        </w:r>
        <w:r w:rsidR="00F042EA">
          <w:tab/>
        </w:r>
        <w:r w:rsidR="00F042EA">
          <w:fldChar w:fldCharType="begin"/>
        </w:r>
        <w:r w:rsidR="00F042EA">
          <w:instrText xml:space="preserve"> PAGEREF _Toc54958262 \h </w:instrText>
        </w:r>
        <w:r w:rsidR="00F042EA">
          <w:fldChar w:fldCharType="separate"/>
        </w:r>
        <w:r w:rsidR="00F042EA">
          <w:t>37</w:t>
        </w:r>
        <w:r w:rsidR="00F042EA">
          <w:fldChar w:fldCharType="end"/>
        </w:r>
      </w:hyperlink>
    </w:p>
    <w:p w:rsidR="003104A5">
      <w:pPr>
        <w:pStyle w:val="TOC1"/>
        <w:tabs>
          <w:tab w:val="left" w:pos="426"/>
          <w:tab w:val="right" w:leader="dot" w:pos="9019"/>
        </w:tabs>
        <w:rPr>
          <w:rFonts w:asciiTheme="minorHAnsi" w:eastAsiaTheme="minorEastAsia" w:hAnsiTheme="minorHAnsi" w:cstheme="minorBidi"/>
          <w:b w:val="0"/>
          <w:caps w:val="0"/>
          <w:kern w:val="2"/>
          <w:sz w:val="21"/>
          <w:szCs w:val="22"/>
          <w:lang w:val="en-US" w:eastAsia="zh-CN"/>
        </w:rPr>
      </w:pPr>
      <w:hyperlink w:anchor="_Toc54958263" w:history="1">
        <w:r w:rsidR="00F042EA">
          <w:rPr>
            <w:rStyle w:val="Hyperlink"/>
            <w:rFonts w:ascii="Times New Roman Bold" w:hAnsi="Times New Roman Bold"/>
            <w:lang w:val="en-US"/>
          </w:rPr>
          <w:t>22.</w:t>
        </w:r>
        <w:r w:rsidR="00F042EA">
          <w:rPr>
            <w:rFonts w:asciiTheme="minorHAnsi" w:eastAsiaTheme="minorEastAsia" w:hAnsiTheme="minorHAnsi" w:cstheme="minorBidi"/>
            <w:b w:val="0"/>
            <w:caps w:val="0"/>
            <w:kern w:val="2"/>
            <w:sz w:val="21"/>
            <w:szCs w:val="22"/>
            <w:lang w:val="en-US" w:eastAsia="zh-CN"/>
          </w:rPr>
          <w:tab/>
        </w:r>
        <w:r w:rsidR="00F042EA">
          <w:rPr>
            <w:rStyle w:val="Hyperlink"/>
            <w:rFonts w:asciiTheme="minorEastAsia" w:hAnsiTheme="minorEastAsia"/>
            <w:lang w:val="en-US"/>
          </w:rPr>
          <w:t>保修期</w:t>
        </w:r>
        <w:r w:rsidR="00F042EA">
          <w:tab/>
        </w:r>
        <w:r w:rsidR="00F042EA">
          <w:fldChar w:fldCharType="begin"/>
        </w:r>
        <w:r w:rsidR="00F042EA">
          <w:instrText xml:space="preserve"> PAGEREF _Toc54958263 \h </w:instrText>
        </w:r>
        <w:r w:rsidR="00F042EA">
          <w:fldChar w:fldCharType="separate"/>
        </w:r>
        <w:r w:rsidR="00F042EA">
          <w:t>38</w:t>
        </w:r>
        <w:r w:rsidR="00F042EA">
          <w:fldChar w:fldCharType="end"/>
        </w:r>
      </w:hyperlink>
    </w:p>
    <w:p w:rsidR="003104A5">
      <w:pPr>
        <w:pStyle w:val="TOC2"/>
        <w:tabs>
          <w:tab w:val="left" w:pos="440"/>
          <w:tab w:val="left" w:pos="540"/>
          <w:tab w:val="left" w:pos="630"/>
          <w:tab w:val="left" w:pos="657"/>
          <w:tab w:val="left" w:pos="1138"/>
        </w:tabs>
        <w:ind w:left="0"/>
        <w:rPr>
          <w:rFonts w:eastAsia="宋体"/>
          <w:lang w:eastAsia="zh-CN"/>
        </w:rPr>
      </w:pPr>
      <w:r>
        <w:rPr>
          <w:rFonts w:eastAsia="宋体"/>
        </w:rPr>
        <w:fldChar w:fldCharType="end"/>
      </w:r>
    </w:p>
    <w:p w:rsidR="003104A5">
      <w:pPr>
        <w:rPr>
          <w:rFonts w:eastAsia="宋体"/>
          <w:lang w:eastAsia="zh-CN"/>
        </w:rPr>
        <w:sectPr>
          <w:headerReference w:type="default" r:id="rId6"/>
          <w:footerReference w:type="default" r:id="rId7"/>
          <w:pgSz w:w="11909" w:h="16834"/>
          <w:pgMar w:top="1440" w:right="1440" w:bottom="1440" w:left="1440" w:header="706" w:footer="720" w:gutter="0"/>
          <w:pgNumType w:start="1"/>
          <w:cols w:space="720"/>
        </w:sectPr>
      </w:pPr>
    </w:p>
    <w:p w:rsidR="003104A5">
      <w:pPr>
        <w:spacing w:line="360" w:lineRule="auto"/>
        <w:jc w:val="center"/>
        <w:rPr>
          <w:rFonts w:ascii="宋体" w:eastAsia="宋体" w:hAnsi="宋体"/>
          <w:b/>
          <w:bCs/>
          <w:sz w:val="30"/>
          <w:szCs w:val="30"/>
        </w:rPr>
        <w:sectPr>
          <w:headerReference w:type="default" r:id="rId8"/>
          <w:footerReference w:type="default" r:id="rId9"/>
          <w:type w:val="continuous"/>
          <w:pgSz w:w="11909" w:h="16834"/>
          <w:pgMar w:top="1440" w:right="1247" w:bottom="1440" w:left="1440" w:header="709" w:footer="720" w:gutter="0"/>
          <w:pgNumType w:start="0"/>
          <w:cols w:space="720"/>
        </w:sectPr>
      </w:pPr>
      <w:bookmarkStart w:id="3" w:name="_Toc90892963"/>
    </w:p>
    <w:p w:rsidR="003104A5">
      <w:pPr>
        <w:pageBreakBefore/>
        <w:spacing w:line="360" w:lineRule="auto"/>
        <w:jc w:val="center"/>
        <w:rPr>
          <w:rFonts w:ascii="宋体" w:eastAsia="宋体" w:hAnsi="宋体"/>
          <w:b/>
          <w:bCs/>
          <w:sz w:val="30"/>
          <w:szCs w:val="30"/>
          <w:lang w:eastAsia="zh-CN"/>
        </w:rPr>
      </w:pPr>
      <w:r>
        <w:rPr>
          <w:rFonts w:ascii="宋体" w:eastAsia="宋体" w:hAnsi="宋体" w:hint="eastAsia"/>
          <w:b/>
          <w:bCs/>
          <w:sz w:val="30"/>
          <w:szCs w:val="30"/>
        </w:rPr>
        <w:t>第一</w:t>
      </w:r>
      <w:r>
        <w:rPr>
          <w:rFonts w:ascii="宋体" w:eastAsia="宋体" w:hAnsi="宋体" w:hint="eastAsia"/>
          <w:b/>
          <w:bCs/>
          <w:sz w:val="30"/>
          <w:szCs w:val="30"/>
          <w:lang w:eastAsia="zh-CN"/>
        </w:rPr>
        <w:t>部分</w:t>
      </w:r>
    </w:p>
    <w:p w:rsidR="003104A5">
      <w:pPr>
        <w:pStyle w:val="Heading1"/>
        <w:numPr>
          <w:ilvl w:val="0"/>
          <w:numId w:val="0"/>
        </w:numPr>
        <w:tabs>
          <w:tab w:val="left" w:pos="0"/>
        </w:tabs>
        <w:spacing w:line="360" w:lineRule="auto"/>
        <w:jc w:val="center"/>
        <w:rPr>
          <w:rFonts w:asciiTheme="minorEastAsia" w:eastAsiaTheme="minorEastAsia" w:hAnsiTheme="minorEastAsia"/>
          <w:bCs/>
          <w:sz w:val="30"/>
          <w:szCs w:val="30"/>
        </w:rPr>
      </w:pPr>
      <w:bookmarkStart w:id="4" w:name="_Toc31877403"/>
      <w:bookmarkStart w:id="5" w:name="_Toc54958235"/>
      <w:r>
        <w:rPr>
          <w:rFonts w:asciiTheme="minorEastAsia" w:eastAsiaTheme="minorEastAsia" w:hAnsiTheme="minorEastAsia" w:hint="eastAsia"/>
          <w:bCs/>
          <w:sz w:val="30"/>
          <w:szCs w:val="30"/>
        </w:rPr>
        <w:t>第一章</w:t>
      </w:r>
      <w:bookmarkEnd w:id="4"/>
      <w:bookmarkEnd w:id="5"/>
    </w:p>
    <w:p w:rsidR="003104A5">
      <w:pPr>
        <w:pStyle w:val="ReportLevel1"/>
        <w:spacing w:before="240" w:beforeLines="100" w:after="240" w:afterLines="100"/>
        <w:rPr>
          <w:rFonts w:asciiTheme="minorEastAsia" w:eastAsiaTheme="minorEastAsia" w:hAnsiTheme="minorEastAsia"/>
          <w:sz w:val="21"/>
          <w:szCs w:val="21"/>
          <w:lang w:val="en-US"/>
        </w:rPr>
      </w:pPr>
      <w:bookmarkStart w:id="6" w:name="_Toc54958236"/>
      <w:r>
        <w:rPr>
          <w:rFonts w:asciiTheme="minorEastAsia" w:eastAsiaTheme="minorEastAsia" w:hAnsiTheme="minorEastAsia" w:hint="eastAsia"/>
          <w:sz w:val="21"/>
          <w:szCs w:val="21"/>
          <w:lang w:val="en-US"/>
        </w:rPr>
        <w:t>技术规格说明书范围</w:t>
      </w:r>
      <w:bookmarkEnd w:id="3"/>
      <w:bookmarkEnd w:id="6"/>
    </w:p>
    <w:p w:rsidR="003104A5">
      <w:pPr>
        <w:pStyle w:val="BodyTextIndent3"/>
        <w:spacing w:before="120" w:beforeLines="50" w:after="120" w:afterLines="50"/>
        <w:ind w:left="108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关于本合约的电梯及自动扶梯装置的供应、安装、调试、操作及维修等技术要求，均于本技术规格说明书及有关议标图纸内详细说明，并提出符合本合同要求的各项细则。为能妥善完成本合同内各项工程事项，承包单位须按规格要求提供一切所需的施工及管理人员、工具、材料、物料、运输、检测、设备、储存、各施工所需证件、图纸、临时施工措施、保证工地安全及调试等事宜。</w:t>
      </w:r>
    </w:p>
    <w:p w:rsidR="003104A5">
      <w:pPr>
        <w:spacing w:before="120" w:beforeLines="50" w:after="120" w:afterLines="50"/>
        <w:rPr>
          <w:rFonts w:asciiTheme="minorEastAsia" w:eastAsiaTheme="minorEastAsia" w:hAnsiTheme="minorEastAsia"/>
          <w:b/>
          <w:caps/>
          <w:sz w:val="21"/>
          <w:szCs w:val="21"/>
          <w:lang w:val="en-US" w:eastAsia="zh-CN"/>
        </w:rPr>
      </w:pPr>
      <w:bookmarkStart w:id="7" w:name="_Toc90892964"/>
      <w:bookmarkStart w:id="8" w:name="_Toc73796375"/>
      <w:bookmarkStart w:id="9" w:name="_Toc77057503"/>
      <w:bookmarkStart w:id="10" w:name="_Toc73796485"/>
    </w:p>
    <w:p w:rsidR="003104A5">
      <w:pPr>
        <w:pStyle w:val="ReportLevel1"/>
        <w:spacing w:before="240" w:beforeLines="100" w:after="240" w:afterLines="100"/>
        <w:rPr>
          <w:rFonts w:asciiTheme="minorEastAsia" w:eastAsiaTheme="minorEastAsia" w:hAnsiTheme="minorEastAsia"/>
          <w:sz w:val="21"/>
          <w:szCs w:val="21"/>
          <w:lang w:val="en-US"/>
        </w:rPr>
      </w:pPr>
      <w:bookmarkStart w:id="11" w:name="_Toc54958237"/>
      <w:r>
        <w:rPr>
          <w:rFonts w:asciiTheme="minorEastAsia" w:eastAsiaTheme="minorEastAsia" w:hAnsiTheme="minorEastAsia" w:hint="eastAsia"/>
          <w:sz w:val="21"/>
          <w:szCs w:val="21"/>
          <w:lang w:val="en-US"/>
        </w:rPr>
        <w:t>词意定义</w:t>
      </w:r>
      <w:bookmarkEnd w:id="7"/>
      <w:bookmarkEnd w:id="8"/>
      <w:bookmarkEnd w:id="9"/>
      <w:bookmarkEnd w:id="10"/>
      <w:r>
        <w:rPr>
          <w:rFonts w:asciiTheme="minorEastAsia" w:eastAsiaTheme="minorEastAsia" w:hAnsiTheme="minorEastAsia" w:hint="eastAsia"/>
          <w:sz w:val="21"/>
          <w:szCs w:val="21"/>
          <w:lang w:val="en-US"/>
        </w:rPr>
        <w:t>与缩写</w:t>
      </w:r>
      <w:bookmarkEnd w:id="11"/>
    </w:p>
    <w:p w:rsidR="003104A5">
      <w:pPr>
        <w:pStyle w:val="ReportLevel4"/>
        <w:keepNext w:val="0"/>
        <w:numPr>
          <w:ilvl w:val="0"/>
          <w:numId w:val="0"/>
        </w:numPr>
        <w:spacing w:before="120" w:beforeLines="50" w:after="120" w:afterLines="50"/>
        <w:ind w:left="1080"/>
        <w:outlineLvl w:val="9"/>
        <w:rPr>
          <w:rFonts w:asciiTheme="minorEastAsia" w:eastAsiaTheme="minorEastAsia" w:hAnsiTheme="minorEastAsia"/>
          <w:sz w:val="21"/>
          <w:szCs w:val="21"/>
        </w:rPr>
      </w:pPr>
      <w:r>
        <w:rPr>
          <w:rFonts w:asciiTheme="minorEastAsia" w:eastAsiaTheme="minorEastAsia" w:hAnsiTheme="minorEastAsia" w:hint="eastAsia"/>
          <w:sz w:val="21"/>
          <w:szCs w:val="21"/>
        </w:rPr>
        <w:t>下列的词意定义均适用于本技术规格说明书。</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“技术说明或技术规格或技术规范”：即指本技术规格说明书。</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“图纸或附图”：即指与本技术规格说明书有关的图纸。</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“合同或合约”：即指本合同文件。</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“提供”：指供应、安装、联接、调试以至完成指定的工作以达至安全和正确的运作，技术规格说明书内另有规定者除外。</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“安装”：指建造、装配、联接至完成包括有关组件的测试和调试以达至安全和正确的运作。</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“供应”：指购买所需设备包括有关组件并运送到工地的指定位置。</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“类似”或“相等”：指材料质量、重量、体积、设计和功能均相等的指定产品。</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“承包单位”或“指定分包人”：指电梯及自动扶梯装置承包单位。</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“建筑承包单位”或“总承包单位”或“总承包人”：指主体工程的建筑施工承包单位，包括综合机电部分（暖通空调、给排水、强电、消防）。</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“机电承包单位”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指主体工程的建筑施工承包单位中负责综合机电部分（暖通空调、给排水、强电、消防）</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“消防承包单位”</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指消防系统施工单位。</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“弱电承包单位”：指智能化系统施工单位。</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“业主”或“发包方”：即指本项目之建设单位。</w:t>
      </w:r>
    </w:p>
    <w:p w:rsidR="003104A5">
      <w:pPr>
        <w:numPr>
          <w:ilvl w:val="1"/>
          <w:numId w:val="9"/>
        </w:numPr>
        <w:tabs>
          <w:tab w:val="clear" w:pos="1800"/>
          <w:tab w:val="left" w:pos="1843"/>
        </w:tabs>
        <w:spacing w:before="120" w:beforeLines="50"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“建筑师/工程师”：指业主指定的代表业主方的监理、设计单位。</w:t>
      </w:r>
    </w:p>
    <w:p w:rsidR="003104A5">
      <w:pPr>
        <w:tabs>
          <w:tab w:val="left" w:pos="1710"/>
        </w:tabs>
        <w:spacing w:before="120" w:beforeLines="50" w:after="120" w:afterLines="50"/>
        <w:ind w:left="1080"/>
        <w:jc w:val="both"/>
        <w:rPr>
          <w:rFonts w:asciiTheme="minorEastAsia" w:eastAsiaTheme="minorEastAsia" w:hAnsiTheme="minorEastAsia"/>
          <w:sz w:val="21"/>
          <w:szCs w:val="21"/>
          <w:lang w:eastAsia="zh-CN"/>
        </w:rPr>
      </w:pPr>
    </w:p>
    <w:p w:rsidR="003104A5">
      <w:pPr>
        <w:rPr>
          <w:rFonts w:asciiTheme="minorEastAsia" w:eastAsiaTheme="minorEastAsia" w:hAnsiTheme="minorEastAsia"/>
          <w:sz w:val="21"/>
          <w:szCs w:val="21"/>
          <w:lang w:val="en-US" w:eastAsia="zh-CN"/>
        </w:rPr>
        <w:sectPr>
          <w:headerReference w:type="default" r:id="rId10"/>
          <w:footerReference w:type="default" r:id="rId11"/>
          <w:type w:val="nextPage"/>
          <w:pgSz w:w="11909" w:h="16834"/>
          <w:pgMar w:top="1440" w:right="1247" w:bottom="1440" w:left="1440" w:header="709" w:footer="720" w:gutter="0"/>
          <w:pgNumType w:start="1"/>
          <w:cols w:space="720"/>
          <w:titlePg w:val="0"/>
        </w:sectPr>
      </w:pPr>
      <w:bookmarkStart w:id="13" w:name="_Toc73796376"/>
      <w:bookmarkStart w:id="14" w:name="_Toc90892965"/>
      <w:bookmarkStart w:id="15" w:name="_Toc73796486"/>
      <w:bookmarkStart w:id="16" w:name="_Toc77057504"/>
      <w:r>
        <w:rPr>
          <w:rFonts w:asciiTheme="minorEastAsia" w:eastAsiaTheme="minorEastAsia" w:hAnsiTheme="minorEastAsia"/>
          <w:sz w:val="21"/>
          <w:szCs w:val="21"/>
          <w:lang w:val="en-US" w:eastAsia="zh-CN"/>
        </w:rPr>
        <w:t xml:space="preserve">  </w:t>
      </w:r>
    </w:p>
    <w:p w:rsidR="003104A5">
      <w:pPr>
        <w:pStyle w:val="ReportLevel1"/>
        <w:spacing w:before="240" w:beforeLines="100" w:after="240" w:afterLines="100"/>
        <w:rPr>
          <w:rFonts w:asciiTheme="minorEastAsia" w:eastAsiaTheme="minorEastAsia" w:hAnsiTheme="minorEastAsia"/>
          <w:sz w:val="21"/>
          <w:szCs w:val="21"/>
          <w:lang w:val="en-US"/>
        </w:rPr>
      </w:pPr>
      <w:bookmarkStart w:id="17" w:name="_Toc54958238"/>
      <w:r>
        <w:rPr>
          <w:rFonts w:asciiTheme="minorEastAsia" w:eastAsiaTheme="minorEastAsia" w:hAnsiTheme="minorEastAsia" w:hint="eastAsia"/>
          <w:sz w:val="21"/>
          <w:szCs w:val="21"/>
          <w:lang w:val="en-US"/>
        </w:rPr>
        <w:t>工程范围</w:t>
      </w:r>
      <w:bookmarkEnd w:id="17"/>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承包单位须按照本技术规格说明书内所列出的电梯及自动扶梯装置要</w:t>
      </w:r>
      <w:r>
        <w:rPr>
          <w:rFonts w:asciiTheme="minorEastAsia" w:eastAsiaTheme="minorEastAsia" w:hAnsiTheme="minorEastAsia" w:hint="eastAsia"/>
          <w:sz w:val="21"/>
          <w:szCs w:val="21"/>
          <w:lang w:val="en-ZA"/>
        </w:rPr>
        <w:t>求的工程范围提供</w:t>
      </w:r>
      <w:r>
        <w:rPr>
          <w:rFonts w:asciiTheme="minorEastAsia" w:eastAsiaTheme="minorEastAsia" w:hAnsiTheme="minorEastAsia" w:hint="eastAsia"/>
          <w:sz w:val="21"/>
          <w:szCs w:val="21"/>
        </w:rPr>
        <w:t>电梯</w:t>
      </w:r>
      <w:r>
        <w:rPr>
          <w:rFonts w:asciiTheme="minorEastAsia" w:eastAsiaTheme="minorEastAsia" w:hAnsiTheme="minorEastAsia" w:hint="eastAsia"/>
          <w:sz w:val="21"/>
          <w:szCs w:val="21"/>
          <w:lang w:val="en-ZA"/>
        </w:rPr>
        <w:t>及自动扶梯装置，以及为实现电梯及自动扶梯装置的正确运行</w:t>
      </w:r>
      <w:r>
        <w:rPr>
          <w:rFonts w:asciiTheme="minorEastAsia" w:eastAsiaTheme="minorEastAsia" w:hAnsiTheme="minorEastAsia"/>
          <w:sz w:val="21"/>
          <w:szCs w:val="21"/>
          <w:lang w:val="en-ZA"/>
        </w:rPr>
        <w:t>(</w:t>
      </w:r>
      <w:r>
        <w:rPr>
          <w:rFonts w:asciiTheme="minorEastAsia" w:eastAsiaTheme="minorEastAsia" w:hAnsiTheme="minorEastAsia" w:hint="eastAsia"/>
          <w:sz w:val="21"/>
          <w:szCs w:val="21"/>
          <w:lang w:val="en-ZA"/>
        </w:rPr>
        <w:t>包括并不限于规定的或必须的测试，调整，试运行与维修</w:t>
      </w:r>
      <w:r>
        <w:rPr>
          <w:rFonts w:asciiTheme="minorEastAsia" w:eastAsiaTheme="minorEastAsia" w:hAnsiTheme="minorEastAsia"/>
          <w:sz w:val="21"/>
          <w:szCs w:val="21"/>
          <w:lang w:val="en-ZA"/>
        </w:rPr>
        <w:t>)</w:t>
      </w:r>
      <w:r>
        <w:rPr>
          <w:rFonts w:asciiTheme="minorEastAsia" w:eastAsiaTheme="minorEastAsia" w:hAnsiTheme="minorEastAsia" w:hint="eastAsia"/>
          <w:sz w:val="21"/>
          <w:szCs w:val="21"/>
          <w:lang w:val="en-ZA"/>
        </w:rPr>
        <w:t>所必须的全部劳工与材料设备。这不仅包括已指明的设备与装置，</w:t>
      </w:r>
      <w:r>
        <w:rPr>
          <w:rFonts w:asciiTheme="minorEastAsia" w:eastAsiaTheme="minorEastAsia" w:hAnsiTheme="minorEastAsia" w:hint="eastAsia"/>
          <w:sz w:val="21"/>
          <w:szCs w:val="21"/>
        </w:rPr>
        <w:t>提供本说明书所需的电梯装置的设计、呈交施工图审批（包括送设计院盖章）、呈交材料设备样本审批、呈交施工及运输方案、并包括订购、制造、申报海关和办妥所有海关手续、提供保险、运送工地、拆卸、储存、协调、安装、安全保护、测试、试运转和维修等各项工作要求，直至业主或业主指定的代表完全接受并正式移交给业主使用。并包括完工时呈交操作及维修手册、竣工图纸及提供对业主技术人员的培训。</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对本说明书或议标图纸的任何细则、尺寸或材料提出改动建议，可以将建议提出于规格说明书内，或议标图纸的空白处。尺寸与承办人要求的尺寸有差别时，于交回议标书时提出。议标图纸只表示要求的细节和尺寸，但是对于尺寸或细节的准确性，承包单位必须在招标阶段进行核实，以不影响建筑景观、结构的完整或整体工程的安全。承包单位还需在施工的过程中进行监察，确保工程的合理性。</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工作过程中若任何与工程相关并须向有关政府部门申请豁免时，承包单位须负责提交所有需要的资料。</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承包单位必须与其它承包单位协调并尽早提交所有相关</w:t>
      </w:r>
      <w:r>
        <w:rPr>
          <w:rFonts w:asciiTheme="minorEastAsia" w:eastAsiaTheme="minorEastAsia" w:hAnsiTheme="minorEastAsia"/>
          <w:sz w:val="21"/>
          <w:szCs w:val="21"/>
          <w:lang w:val="en-ZA"/>
        </w:rPr>
        <w:t>单位包括但不限于</w:t>
      </w:r>
      <w:r>
        <w:rPr>
          <w:rFonts w:asciiTheme="minorEastAsia" w:eastAsiaTheme="minorEastAsia" w:hAnsiTheme="minorEastAsia" w:hint="eastAsia"/>
          <w:sz w:val="21"/>
          <w:szCs w:val="21"/>
        </w:rPr>
        <w:t>建筑承包单位、弱电承包单位、精装修施工或设计单位等进行协调工作的资料，时间不能超过建筑承包单位在有关部分进行开始前一个月。所有线槽、孔洞、供电、通风、通道、精装修预留配置及其它资料，应能在工程开展时及时预留或建造。</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承包单位必须提供整套电梯系统包括但不限于下列的工作：</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提供本技术规格说明书所要求的电梯及自动扶梯。</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提供所有电梯及自动扶梯装置根据国家规范及安全运行要求所需要的安全维护装置。</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提供用于保护电梯坑对重的钢丝网或钢板。</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如有需要，以金属板遮盖轿厢外井道墙上凹陷地方，使能提供平滑持续的垂直表面。</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电梯五方对讲系统安装，并在电梯机房预留接口。</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电梯无滴水空调安装、换气扇安装；</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电梯相关设备的配电，从主体工程预留配电箱的配电回路，接至各电梯设备，包括电梯井道照明及三相</w:t>
      </w:r>
      <w:r>
        <w:rPr>
          <w:rFonts w:asciiTheme="minorEastAsia" w:eastAsiaTheme="minorEastAsia" w:hAnsiTheme="minorEastAsia"/>
          <w:sz w:val="21"/>
          <w:szCs w:val="21"/>
        </w:rPr>
        <w:t>16A</w:t>
      </w:r>
      <w:r>
        <w:rPr>
          <w:rFonts w:asciiTheme="minorEastAsia" w:eastAsiaTheme="minorEastAsia" w:hAnsiTheme="minorEastAsia" w:hint="eastAsia"/>
          <w:sz w:val="21"/>
          <w:szCs w:val="21"/>
        </w:rPr>
        <w:t>防水插座。</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电梯轿箱内</w:t>
      </w:r>
      <w:bookmarkStart w:id="18" w:name="_Hlk35868019"/>
      <w:r>
        <w:rPr>
          <w:rFonts w:asciiTheme="minorEastAsia" w:eastAsiaTheme="minorEastAsia" w:hAnsiTheme="minorEastAsia" w:hint="eastAsia"/>
          <w:sz w:val="21"/>
          <w:szCs w:val="21"/>
        </w:rPr>
        <w:t>闭路监控摄像机、信息发布屏</w:t>
      </w:r>
      <w:bookmarkEnd w:id="18"/>
      <w:r>
        <w:rPr>
          <w:rFonts w:asciiTheme="minorEastAsia" w:eastAsiaTheme="minorEastAsia" w:hAnsiTheme="minorEastAsia" w:hint="eastAsia"/>
          <w:sz w:val="21"/>
          <w:szCs w:val="21"/>
        </w:rPr>
        <w:t>的安装，监控与信息发布随行电缆的安装，随行电缆在电梯机房预留转换接口。</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电梯控制箱预留消防联动控制系统接口，接入火灾自动报警系统。</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提供移动信号增强系统随行电缆的安装，随行电缆在电梯机房预留转换接口。</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提供电梯门及门套（电梯层门自带小门套）。</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提供电梯标称荷载的不锈钢牌。</w:t>
      </w:r>
    </w:p>
    <w:p w:rsidR="003104A5">
      <w:pPr>
        <w:pStyle w:val="level2"/>
        <w:numPr>
          <w:ilvl w:val="0"/>
          <w:numId w:val="57"/>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sectPr>
          <w:headerReference w:type="default" r:id="rId12"/>
          <w:footerReference w:type="default" r:id="rId13"/>
          <w:type w:val="nextPage"/>
          <w:pgSz w:w="11909" w:h="16834"/>
          <w:pgMar w:top="1440" w:right="1247" w:bottom="1440" w:left="1440" w:header="709" w:footer="720" w:gutter="0"/>
          <w:pgNumType w:start="2"/>
          <w:cols w:space="720"/>
          <w:titlePg w:val="0"/>
        </w:sectPr>
      </w:pPr>
      <w:r>
        <w:rPr>
          <w:rFonts w:asciiTheme="minorEastAsia" w:eastAsiaTheme="minorEastAsia" w:hAnsiTheme="minorEastAsia" w:hint="eastAsia"/>
          <w:sz w:val="21"/>
          <w:szCs w:val="21"/>
        </w:rPr>
        <w:t>供应一切用于执行工作时需要的工具及仪器等。</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负责电梯安装所需的井道脚手架搭设或者其他安装提升设施；预埋埋件或者后置埋件等，并且在完工后清除。</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提供所有法规等规定的不锈钢指示牌于电梯厅，包括但不限于“如遇火警，切勿使用电梯”，“</w:t>
      </w:r>
      <w:r>
        <w:rPr>
          <w:rFonts w:asciiTheme="minorEastAsia" w:eastAsiaTheme="minorEastAsia" w:hAnsiTheme="minorEastAsia"/>
          <w:sz w:val="21"/>
          <w:szCs w:val="21"/>
        </w:rPr>
        <w:t>严禁吸烟</w:t>
      </w:r>
      <w:r>
        <w:rPr>
          <w:rFonts w:asciiTheme="minorEastAsia" w:eastAsiaTheme="minorEastAsia" w:hAnsiTheme="minorEastAsia" w:hint="eastAsia"/>
          <w:sz w:val="21"/>
          <w:szCs w:val="21"/>
        </w:rPr>
        <w:t>”。</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提供电梯及自动扶梯监察盘，监察盘设置在安防控制室，电梯安装单位需要负责提供整体系统。</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提供设备自带的智能接口（含开放的通讯协议），通过电梯及自动扶梯系统自带的控制系统读取有关参数并通过标准接口（如</w:t>
      </w:r>
      <w:r>
        <w:rPr>
          <w:rFonts w:asciiTheme="minorEastAsia" w:eastAsiaTheme="minorEastAsia" w:hAnsiTheme="minorEastAsia"/>
          <w:sz w:val="21"/>
          <w:szCs w:val="21"/>
        </w:rPr>
        <w:t>RS-232</w:t>
      </w:r>
      <w:r>
        <w:rPr>
          <w:rFonts w:asciiTheme="minorEastAsia" w:eastAsiaTheme="minorEastAsia" w:hAnsiTheme="minorEastAsia" w:hint="eastAsia"/>
          <w:sz w:val="21"/>
          <w:szCs w:val="21"/>
        </w:rPr>
        <w:t>或</w:t>
      </w:r>
      <w:r>
        <w:rPr>
          <w:rFonts w:asciiTheme="minorEastAsia" w:eastAsiaTheme="minorEastAsia" w:hAnsiTheme="minorEastAsia"/>
          <w:sz w:val="21"/>
          <w:szCs w:val="21"/>
        </w:rPr>
        <w:t>RS-485</w:t>
      </w:r>
      <w:r>
        <w:rPr>
          <w:rFonts w:asciiTheme="minorEastAsia" w:eastAsiaTheme="minorEastAsia" w:hAnsiTheme="minorEastAsia" w:hint="eastAsia"/>
          <w:sz w:val="21"/>
          <w:szCs w:val="21"/>
        </w:rPr>
        <w:t>）接入楼宇设备控制系统。</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提供结构和支撑的钢材，用以安装电梯及其有关的机械。</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提供钢平台及支架以支撑机器和缓冲器。</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w:t>
      </w:r>
      <w:bookmarkStart w:id="20" w:name="_Hlk49865231"/>
      <w:r>
        <w:rPr>
          <w:rFonts w:asciiTheme="minorEastAsia" w:eastAsiaTheme="minorEastAsia" w:hAnsiTheme="minorEastAsia" w:hint="eastAsia"/>
          <w:sz w:val="21"/>
          <w:szCs w:val="21"/>
        </w:rPr>
        <w:t>机房钢梁</w:t>
      </w:r>
      <w:bookmarkEnd w:id="20"/>
      <w:r>
        <w:rPr>
          <w:rFonts w:asciiTheme="minorEastAsia" w:eastAsiaTheme="minorEastAsia" w:hAnsiTheme="minorEastAsia" w:hint="eastAsia"/>
          <w:sz w:val="21"/>
          <w:szCs w:val="21"/>
        </w:rPr>
        <w:t>、底板、承重垫板，用于支撑机房内的装置、缆轮和电梯机械。</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提供机房的吊钩、厅门牛腿、导轨预埋件。</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所有支撑及牢固设备如吊重钢梁、固定钢架、底钢板等用于自动扶梯安装及运输，以及自动扶梯底坑及其他所有土建设备。</w:t>
      </w:r>
    </w:p>
    <w:p w:rsidR="003104A5">
      <w:pPr>
        <w:pStyle w:val="level2"/>
        <w:numPr>
          <w:ilvl w:val="0"/>
          <w:numId w:val="10"/>
        </w:numPr>
        <w:tabs>
          <w:tab w:val="clear" w:pos="1436"/>
          <w:tab w:val="left" w:pos="1701"/>
        </w:tabs>
        <w:spacing w:before="120" w:beforeLines="50" w:after="120" w:afterLines="50" w:line="240" w:lineRule="auto"/>
        <w:ind w:left="1701" w:hanging="567"/>
        <w:jc w:val="both"/>
        <w:rPr>
          <w:rFonts w:asciiTheme="minorEastAsia" w:eastAsiaTheme="minorEastAsia" w:hAnsiTheme="minorEastAsia"/>
          <w:sz w:val="21"/>
          <w:szCs w:val="21"/>
        </w:rPr>
      </w:pPr>
      <w:r>
        <w:rPr>
          <w:rFonts w:asciiTheme="minorEastAsia" w:eastAsiaTheme="minorEastAsia" w:hAnsiTheme="minorEastAsia" w:hint="eastAsia"/>
          <w:sz w:val="21"/>
          <w:szCs w:val="21"/>
        </w:rPr>
        <w:t>电梯系统的安装、调试及消防调试配合等。</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承包单位必须采取一切适当措施，使合约上的工作能完满地执行。无论这些措施是否在招标图纸上出现或本规格说明书描述过，如有关要求可以从招标图纸或本规格说明书上合理推断结论，承包单位皆须执行。</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相关服务</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向各有关部门及政府机关申请并获取与本项目有关的一切所需许可证及牌照，包括如报装、报建、施工图、设备送审、施工许可证、报完工及竣工资料、</w:t>
      </w:r>
      <w:r>
        <w:rPr>
          <w:rFonts w:asciiTheme="minorEastAsia" w:eastAsiaTheme="minorEastAsia" w:hAnsiTheme="minorEastAsia" w:hint="eastAsia"/>
          <w:lang w:eastAsia="zh-CN"/>
        </w:rPr>
        <w:t>特</w:t>
      </w:r>
      <w:r>
        <w:rPr>
          <w:rFonts w:asciiTheme="minorEastAsia" w:eastAsiaTheme="minorEastAsia" w:hAnsiTheme="minorEastAsia" w:hint="eastAsia"/>
          <w:sz w:val="21"/>
          <w:szCs w:val="21"/>
          <w:lang w:eastAsia="zh-CN"/>
        </w:rPr>
        <w:t>种设备检验以及取得特种设备使用许可等。并负责所需的一切费用。</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提供工程进度计划表</w:t>
      </w:r>
      <w:r>
        <w:rPr>
          <w:rFonts w:asciiTheme="minorEastAsia" w:eastAsiaTheme="minorEastAsia" w:hAnsiTheme="minorEastAsia"/>
          <w:sz w:val="21"/>
          <w:szCs w:val="21"/>
          <w:lang w:eastAsia="zh-CN"/>
        </w:rPr>
        <w:t>并根据现</w:t>
      </w:r>
      <w:r>
        <w:rPr>
          <w:rFonts w:asciiTheme="minorEastAsia" w:eastAsiaTheme="minorEastAsia" w:hAnsiTheme="minorEastAsia" w:hint="eastAsia"/>
          <w:sz w:val="21"/>
          <w:szCs w:val="21"/>
          <w:lang w:eastAsia="zh-CN"/>
        </w:rPr>
        <w:t>场</w:t>
      </w:r>
      <w:r>
        <w:rPr>
          <w:rFonts w:asciiTheme="minorEastAsia" w:eastAsiaTheme="minorEastAsia" w:hAnsiTheme="minorEastAsia"/>
          <w:sz w:val="21"/>
          <w:szCs w:val="21"/>
          <w:lang w:eastAsia="zh-CN"/>
        </w:rPr>
        <w:t>施工进度更新</w:t>
      </w:r>
      <w:r>
        <w:rPr>
          <w:rFonts w:asciiTheme="minorEastAsia" w:eastAsiaTheme="minorEastAsia" w:hAnsiTheme="minorEastAsia" w:hint="eastAsia"/>
          <w:sz w:val="21"/>
          <w:szCs w:val="21"/>
          <w:lang w:eastAsia="zh-CN"/>
        </w:rPr>
        <w:t>。</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提供所有设备和材料的技术呈审（包括所需的样本）。</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出席工地例会。</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提供保险、保证产品安全到达工地。</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提供施工及运输方案。</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提供施工图、要求土建配合图、竣工图、以及一切所需的图纸及资料。</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提供零备件、操作及维修手册、设备系统测试报告。</w:t>
      </w:r>
    </w:p>
    <w:p w:rsidR="003104A5">
      <w:pPr>
        <w:pStyle w:val="ReportList1"/>
        <w:keepLines/>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提供一位全职并对电梯有相关项目之</w:t>
      </w:r>
      <w:r>
        <w:rPr>
          <w:rFonts w:asciiTheme="minorEastAsia" w:eastAsiaTheme="minorEastAsia" w:hAnsiTheme="minorEastAsia" w:hint="eastAsia"/>
          <w:sz w:val="21"/>
          <w:szCs w:val="21"/>
          <w:lang w:val="en-ZA" w:eastAsia="zh-CN"/>
        </w:rPr>
        <w:t>十年</w:t>
      </w:r>
      <w:r>
        <w:rPr>
          <w:rFonts w:asciiTheme="minorEastAsia" w:eastAsiaTheme="minorEastAsia" w:hAnsiTheme="minorEastAsia" w:hint="eastAsia"/>
          <w:sz w:val="21"/>
          <w:szCs w:val="21"/>
          <w:lang w:eastAsia="zh-CN"/>
        </w:rPr>
        <w:t>安装及调试经验的驻工地代表。该代表的详细履历表必须呈交业主或业主指定的代表批准才能派驻工地，而当业主或业主指定的代表发现他不称职或工作表现不符合要求时承包单位必须无偿地更换另外一位可被接受的工地代表，所须一切费用或损失均由承包单位承担。</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对业主及物业管理人员提供培训及指导。</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提供所有电梯一切所需的清洁、测试及系统平衡等工作。</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sectPr>
          <w:headerReference w:type="default" r:id="rId14"/>
          <w:footerReference w:type="default" r:id="rId15"/>
          <w:type w:val="nextPage"/>
          <w:pgSz w:w="11909" w:h="16834"/>
          <w:pgMar w:top="1440" w:right="1247" w:bottom="1440" w:left="1440" w:header="709" w:footer="720" w:gutter="0"/>
          <w:pgNumType w:start="3"/>
          <w:cols w:space="720"/>
          <w:titlePg w:val="0"/>
        </w:sectPr>
      </w:pPr>
      <w:r>
        <w:rPr>
          <w:rFonts w:asciiTheme="minorEastAsia" w:eastAsiaTheme="minorEastAsia" w:hAnsiTheme="minorEastAsia" w:hint="eastAsia"/>
          <w:sz w:val="21"/>
          <w:szCs w:val="21"/>
          <w:lang w:eastAsia="zh-CN"/>
        </w:rPr>
        <w:t>提供所有有关设备的外表处理及修饰油漆工程。</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在总承包单位拆除工地之垂直运输机械后，在业主或业主指定的代表所签发竣工证书前，总承包单位在获得业主或业主指定的代表同意情况下有权征用主楼及裙房各两部电梯以作施工之用。</w:t>
      </w:r>
    </w:p>
    <w:p w:rsidR="003104A5">
      <w:pPr>
        <w:pStyle w:val="ReportList1"/>
        <w:numPr>
          <w:ilvl w:val="3"/>
          <w:numId w:val="11"/>
        </w:numPr>
        <w:tabs>
          <w:tab w:val="clear" w:pos="1440"/>
          <w:tab w:val="left" w:pos="1701"/>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提供所有电梯和其它承包单位之间的技术管理及协调工作，并与建筑承包单位进行联系协调，按时完成有关工作。</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w:t>
      </w:r>
      <w:r>
        <w:rPr>
          <w:rFonts w:asciiTheme="minorEastAsia" w:eastAsiaTheme="minorEastAsia" w:hAnsiTheme="minorEastAsia" w:hint="eastAsia"/>
          <w:sz w:val="21"/>
          <w:szCs w:val="21"/>
          <w:lang w:val="en-US" w:eastAsia="zh-CN"/>
        </w:rPr>
        <w:t>三十六</w:t>
      </w:r>
      <w:r>
        <w:rPr>
          <w:rFonts w:asciiTheme="minorEastAsia" w:eastAsiaTheme="minorEastAsia" w:hAnsiTheme="minorEastAsia" w:hint="eastAsia"/>
          <w:sz w:val="21"/>
          <w:szCs w:val="21"/>
          <w:lang w:eastAsia="zh-CN"/>
        </w:rPr>
        <w:t>个月免费维修保养。</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提供在保养期内的维修及保养，详细的保养程序表和保养工作细节须于工程完成前提交业主或业主指定的代表批准。</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施工期间及竣工后清理及运送所有与本合约有关的废料和垃圾到指定地点。</w:t>
      </w:r>
    </w:p>
    <w:p w:rsidR="003104A5">
      <w:pPr>
        <w:pStyle w:val="ReportList1"/>
        <w:numPr>
          <w:ilvl w:val="3"/>
          <w:numId w:val="11"/>
        </w:numPr>
        <w:tabs>
          <w:tab w:val="left" w:pos="1843"/>
        </w:tabs>
        <w:spacing w:before="120" w:beforeLines="50" w:after="120" w:afterLines="50"/>
        <w:ind w:left="1701" w:hanging="567"/>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工程完工后，需负责对整体工程进行保护和清洁工作，达到业主或业主指定的代表满意的程度。</w:t>
      </w:r>
    </w:p>
    <w:p w:rsidR="003104A5">
      <w:pPr>
        <w:spacing w:before="120" w:beforeLines="50" w:after="120" w:afterLines="50"/>
        <w:rPr>
          <w:rFonts w:asciiTheme="minorEastAsia" w:eastAsiaTheme="minorEastAsia" w:hAnsiTheme="minorEastAsia"/>
          <w:b/>
          <w:caps/>
          <w:sz w:val="21"/>
          <w:szCs w:val="21"/>
          <w:lang w:eastAsia="zh-CN"/>
        </w:rPr>
      </w:pPr>
      <w:bookmarkStart w:id="22" w:name="_Toc327777387"/>
      <w:bookmarkStart w:id="23" w:name="_Toc89506532"/>
      <w:bookmarkStart w:id="24" w:name="_Toc76965573"/>
    </w:p>
    <w:p w:rsidR="003104A5">
      <w:pPr>
        <w:pStyle w:val="ReportLevel1"/>
        <w:spacing w:before="240" w:beforeLines="100" w:after="240" w:afterLines="100"/>
      </w:pPr>
      <w:bookmarkStart w:id="25" w:name="_Toc54958239"/>
      <w:r>
        <w:rPr>
          <w:rFonts w:asciiTheme="minorEastAsia" w:eastAsiaTheme="minorEastAsia" w:hAnsiTheme="minorEastAsia" w:hint="eastAsia"/>
          <w:sz w:val="21"/>
          <w:szCs w:val="21"/>
          <w:lang w:val="en-US"/>
        </w:rPr>
        <w:t>与其它单位</w:t>
      </w:r>
      <w:r>
        <w:rPr>
          <w:rFonts w:asciiTheme="minorEastAsia" w:eastAsiaTheme="minorEastAsia" w:hAnsiTheme="minorEastAsia"/>
          <w:sz w:val="21"/>
          <w:szCs w:val="21"/>
          <w:lang w:val="en-US"/>
        </w:rPr>
        <w:t>/</w:t>
      </w:r>
      <w:r>
        <w:rPr>
          <w:rFonts w:asciiTheme="minorEastAsia" w:eastAsiaTheme="minorEastAsia" w:hAnsiTheme="minorEastAsia" w:hint="eastAsia"/>
          <w:sz w:val="21"/>
          <w:szCs w:val="21"/>
          <w:lang w:val="en-US"/>
        </w:rPr>
        <w:t>政府部门的相关工作</w:t>
      </w:r>
      <w:bookmarkEnd w:id="22"/>
      <w:bookmarkEnd w:id="25"/>
    </w:p>
    <w:bookmarkEnd w:id="23"/>
    <w:bookmarkEnd w:id="24"/>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概述</w:t>
      </w:r>
    </w:p>
    <w:p w:rsidR="003104A5">
      <w:pPr>
        <w:pStyle w:val="ReportText"/>
        <w:spacing w:before="120" w:beforeLines="50" w:after="120" w:afterLines="50"/>
        <w:ind w:left="992"/>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本承包单位须负责与各有关政府部门协调及合作。</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提供相应资料</w:t>
      </w:r>
    </w:p>
    <w:p w:rsidR="003104A5">
      <w:pPr>
        <w:pStyle w:val="ReportText"/>
        <w:spacing w:before="120" w:beforeLines="50" w:after="120" w:afterLines="50"/>
        <w:ind w:left="992"/>
        <w:rPr>
          <w:rFonts w:asciiTheme="minorEastAsia" w:eastAsiaTheme="minorEastAsia" w:hAnsiTheme="minorEastAsia" w:cs="Arial"/>
          <w:sz w:val="21"/>
          <w:szCs w:val="21"/>
          <w:lang w:eastAsia="zh-CN"/>
        </w:rPr>
      </w:pPr>
      <w:r>
        <w:rPr>
          <w:rFonts w:asciiTheme="minorEastAsia" w:eastAsiaTheme="minorEastAsia" w:hAnsiTheme="minorEastAsia" w:cs="Arial" w:hint="eastAsia"/>
          <w:sz w:val="21"/>
          <w:szCs w:val="21"/>
          <w:lang w:eastAsia="zh-CN"/>
        </w:rPr>
        <w:t>本承包单位必须提供所需的有关资料包括图纸、样品、产品说明等给各有关政府部门及公用事业机构作审批之用。承包单位须注意，若有任何须送审的资料未能达到有关政府部门的要求而需作重新送审，因此而导致工期延误及所引起的一切费用损失等均由本承包单位承担。</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相关责任赔偿</w:t>
      </w:r>
    </w:p>
    <w:p w:rsidR="003104A5">
      <w:pPr>
        <w:pStyle w:val="ReportText"/>
        <w:spacing w:before="120" w:beforeLines="50" w:after="120" w:afterLines="50"/>
        <w:ind w:left="992"/>
        <w:rPr>
          <w:rFonts w:asciiTheme="minorEastAsia" w:eastAsiaTheme="minorEastAsia" w:hAnsiTheme="minorEastAsia" w:cs="Arial"/>
          <w:sz w:val="21"/>
          <w:szCs w:val="21"/>
          <w:lang w:eastAsia="zh-CN"/>
        </w:rPr>
        <w:sectPr>
          <w:headerReference w:type="default" r:id="rId16"/>
          <w:footerReference w:type="default" r:id="rId17"/>
          <w:type w:val="nextPage"/>
          <w:pgSz w:w="11909" w:h="16834"/>
          <w:pgMar w:top="1440" w:right="1247" w:bottom="1440" w:left="1440" w:header="709" w:footer="720" w:gutter="0"/>
          <w:pgNumType w:start="4"/>
          <w:cols w:space="720"/>
          <w:titlePg w:val="0"/>
        </w:sectPr>
      </w:pPr>
      <w:r>
        <w:rPr>
          <w:rFonts w:asciiTheme="minorEastAsia" w:eastAsiaTheme="minorEastAsia" w:hAnsiTheme="minorEastAsia" w:cs="Arial" w:hint="eastAsia"/>
          <w:sz w:val="21"/>
          <w:szCs w:val="21"/>
          <w:lang w:eastAsia="zh-CN"/>
        </w:rPr>
        <w:t>如因与有关政府部门及公用事业机构缺乏协调和合作而导致已安装的设备或系统需作更改或拆除，承包单位除须承担所有有关的费用和因此而导致工期延误的责任外仍须对业主做出相应的赔偿。</w:t>
      </w:r>
    </w:p>
    <w:p w:rsidR="003104A5">
      <w:pPr>
        <w:pStyle w:val="ReportLevel1"/>
        <w:spacing w:before="240" w:beforeLines="100" w:after="240" w:afterLines="100"/>
        <w:rPr>
          <w:rFonts w:asciiTheme="minorEastAsia" w:eastAsiaTheme="minorEastAsia" w:hAnsiTheme="minorEastAsia"/>
          <w:sz w:val="21"/>
          <w:szCs w:val="21"/>
          <w:lang w:val="en-US"/>
        </w:rPr>
      </w:pPr>
      <w:bookmarkStart w:id="27" w:name="_Toc54958240"/>
      <w:r>
        <w:rPr>
          <w:rFonts w:asciiTheme="minorEastAsia" w:eastAsiaTheme="minorEastAsia" w:hAnsiTheme="minorEastAsia" w:hint="eastAsia"/>
          <w:sz w:val="21"/>
          <w:szCs w:val="21"/>
          <w:lang w:val="en-US"/>
        </w:rPr>
        <w:t>与其它单位的协调及交接工作</w:t>
      </w:r>
      <w:bookmarkEnd w:id="27"/>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概述</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本承包单位须与本项目其它的承包单位协调和合作。本承包单位须提供所有需要的资料、设备和人员，以确保于分工交界点上能与其它承包单位满意地配合，并确保其负责的工作是按正确的程序进行。在施工进行中各个阶段，本承包单位须与其它有关的承包单位讨论、协调和落实各分工交界点。</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本承包单位须协调及提供一切所需图纸和资料。若因本承包单位未予协调和合作而影响综合设备施工图及有关的土建配合图的制作，因而影响各专业的施工进度，本承包单位须承担所有责任。</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本承包单位必须遵从经业主或业主指定的代表批准的施工图及土建配合图的施工程序来进行安装工作。若因本承包单位不依照此施工程序而引致任何一方或多方承包单位需要修改或返工，本承包单位须承担所有责任。</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已由业主或业主指定的代表批准的施工图或土建配合图，本承包单位必须提供磁盘供存档。所采用的计算机软件必须互相协调配合。</w:t>
      </w:r>
    </w:p>
    <w:p w:rsidR="003104A5">
      <w:pPr>
        <w:pStyle w:val="ReportLevel3"/>
        <w:spacing w:before="120" w:beforeLines="50" w:after="120" w:afterLines="50"/>
        <w:ind w:left="1077" w:hanging="1077"/>
      </w:pPr>
      <w:r>
        <w:rPr>
          <w:rFonts w:asciiTheme="minorEastAsia" w:eastAsiaTheme="minorEastAsia" w:hAnsiTheme="minorEastAsia" w:hint="eastAsia"/>
          <w:sz w:val="21"/>
          <w:szCs w:val="21"/>
        </w:rPr>
        <w:t>本承包单位须负责在有关工程施工前复核由其它承包单位为配合本合约工程所提供的各项设施和配备是否配合和适用。并书面通知业主或业主指定的代表和总包单位。</w:t>
      </w:r>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建筑承包单位负责的工作</w:t>
      </w:r>
    </w:p>
    <w:p w:rsidR="003104A5">
      <w:pPr>
        <w:spacing w:before="120" w:beforeLines="50" w:after="120" w:afterLines="50"/>
        <w:ind w:left="1078" w:leftChars="49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下列的工作将由建筑承包单位负责提供。然而，本承包单位需于配合施工进度及计划下的适当时间提供按指定格式绘制的土建预留图纸和土建配合图纸及其它必需资料，以便建筑承包单位能满意及顺利地执行其工作。</w:t>
      </w:r>
    </w:p>
    <w:p w:rsidR="003104A5">
      <w:pPr>
        <w:numPr>
          <w:ilvl w:val="0"/>
          <w:numId w:val="5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除另有特别说明，提供基础和</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或地基，以支撑和固定合约内的机械装置。</w:t>
      </w:r>
    </w:p>
    <w:p w:rsidR="003104A5">
      <w:pPr>
        <w:numPr>
          <w:ilvl w:val="0"/>
          <w:numId w:val="5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建筑承包单位负责提供电梯结构井道</w:t>
      </w:r>
      <w:r>
        <w:rPr>
          <w:rFonts w:asciiTheme="minorEastAsia" w:eastAsiaTheme="minorEastAsia" w:hAnsiTheme="minorEastAsia" w:hint="eastAsia"/>
          <w:sz w:val="21"/>
          <w:szCs w:val="21"/>
          <w:lang w:eastAsia="zh-CN"/>
        </w:rPr>
        <w:t>（需满足电梯安装设计要求）</w:t>
      </w:r>
      <w:r>
        <w:rPr>
          <w:rFonts w:asciiTheme="minorEastAsia" w:eastAsiaTheme="minorEastAsia" w:hAnsiTheme="minorEastAsia" w:hint="eastAsia"/>
          <w:sz w:val="21"/>
          <w:szCs w:val="21"/>
          <w:lang w:val="en-US" w:eastAsia="zh-CN"/>
        </w:rPr>
        <w:t>；设置</w:t>
      </w:r>
      <w:r>
        <w:rPr>
          <w:rFonts w:asciiTheme="minorEastAsia" w:eastAsiaTheme="minorEastAsia" w:hAnsiTheme="minorEastAsia"/>
          <w:sz w:val="21"/>
          <w:szCs w:val="21"/>
          <w:lang w:val="en-US" w:eastAsia="zh-CN"/>
        </w:rPr>
        <w:t>150</w:t>
      </w:r>
      <w:r>
        <w:rPr>
          <w:rFonts w:asciiTheme="minorEastAsia" w:eastAsiaTheme="minorEastAsia" w:hAnsiTheme="minorEastAsia" w:hint="eastAsia"/>
          <w:sz w:val="21"/>
          <w:szCs w:val="21"/>
          <w:lang w:val="en-US" w:eastAsia="zh-CN"/>
        </w:rPr>
        <w:t>高砖砌挡水槛；根据电梯深化图纸施工井道钢筋砼圈梁以及钢梁、门洞过梁；机房预留洞口、控制面板洞口；机房土建条件，提供机房内吊钩；电梯底坑、爬梯及基础施工；井道及层面洞口等安全防护；提供水准点及楼层控制线等。</w:t>
      </w:r>
    </w:p>
    <w:p w:rsidR="003104A5">
      <w:pPr>
        <w:numPr>
          <w:ilvl w:val="0"/>
          <w:numId w:val="5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提供吊重机械。（承包单位必须与建筑承包单位协调安排时间，否则承包单位必须自行安排吊重机械）。</w:t>
      </w:r>
    </w:p>
    <w:p w:rsidR="003104A5">
      <w:pPr>
        <w:numPr>
          <w:ilvl w:val="0"/>
          <w:numId w:val="58"/>
        </w:numPr>
        <w:tabs>
          <w:tab w:val="left" w:pos="1620"/>
          <w:tab w:val="clear" w:pos="180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总承包单位负责为每层电梯井道入口安装临时保护安全设施，但电梯承包单位必须负责维持这些保护安全设施良好。门框、轿厢内部及电梯施工界面内的楼层贯通处等，由电梯施工单位负责安装临时保护安全设施。当安装进行时，为所有电梯井道入口、门框、轿厢内部及楼层的贯通处，供应和安装临时保护安全设施，但电梯承包单位必须负责维持这些保护安全设施良好。</w:t>
      </w:r>
    </w:p>
    <w:p w:rsidR="003104A5">
      <w:pPr>
        <w:numPr>
          <w:ilvl w:val="0"/>
          <w:numId w:val="58"/>
        </w:numPr>
        <w:tabs>
          <w:tab w:val="left" w:pos="1620"/>
          <w:tab w:val="clear" w:pos="1800"/>
        </w:tabs>
        <w:spacing w:before="120" w:beforeLines="50" w:after="120" w:afterLines="50"/>
        <w:ind w:left="1620" w:hanging="540"/>
        <w:jc w:val="both"/>
        <w:rPr>
          <w:rFonts w:eastAsia="宋体"/>
          <w:sz w:val="24"/>
          <w:lang w:eastAsia="zh-CN"/>
        </w:rPr>
      </w:pPr>
      <w:r>
        <w:rPr>
          <w:rFonts w:asciiTheme="minorEastAsia" w:eastAsiaTheme="minorEastAsia" w:hAnsiTheme="minorEastAsia" w:hint="eastAsia"/>
          <w:sz w:val="21"/>
          <w:szCs w:val="21"/>
          <w:lang w:eastAsia="zh-CN"/>
        </w:rPr>
        <w:t>当安装进行时，为了方便及保护所有员工和公众，供应及安装围栏或保护罩（包括保护入口）。围栏是为限制进入工地及能使工作有效进行，但电梯承包单位需对所有电梯装备提供和安装保护设施。</w:t>
      </w:r>
    </w:p>
    <w:p w:rsidR="003104A5">
      <w:pPr>
        <w:numPr>
          <w:ilvl w:val="0"/>
          <w:numId w:val="58"/>
        </w:numPr>
        <w:tabs>
          <w:tab w:val="left" w:pos="1620"/>
          <w:tab w:val="clear" w:pos="1800"/>
        </w:tabs>
        <w:spacing w:before="120" w:beforeLines="50" w:after="120" w:afterLines="50"/>
        <w:ind w:left="1620" w:hanging="540"/>
        <w:jc w:val="both"/>
        <w:rPr>
          <w:rFonts w:eastAsia="宋体"/>
          <w:sz w:val="21"/>
          <w:szCs w:val="21"/>
          <w:lang w:val="en-US" w:eastAsia="zh-CN"/>
        </w:rPr>
      </w:pPr>
      <w:r>
        <w:rPr>
          <w:rFonts w:eastAsia="宋体" w:hint="eastAsia"/>
          <w:sz w:val="21"/>
          <w:szCs w:val="21"/>
          <w:lang w:eastAsia="zh-CN"/>
        </w:rPr>
        <w:t>电梯井坑积水</w:t>
      </w:r>
      <w:r>
        <w:rPr>
          <w:rFonts w:eastAsia="宋体" w:hint="eastAsia"/>
          <w:sz w:val="21"/>
          <w:szCs w:val="21"/>
          <w:lang w:val="en-US" w:eastAsia="zh-CN"/>
        </w:rPr>
        <w:t>、垃圾应</w:t>
      </w:r>
      <w:r>
        <w:rPr>
          <w:rFonts w:eastAsia="宋体" w:hint="eastAsia"/>
          <w:sz w:val="21"/>
          <w:szCs w:val="21"/>
          <w:lang w:eastAsia="zh-CN"/>
        </w:rPr>
        <w:t>及时抽干</w:t>
      </w:r>
      <w:r>
        <w:rPr>
          <w:rFonts w:eastAsia="宋体" w:hint="eastAsia"/>
          <w:sz w:val="21"/>
          <w:szCs w:val="21"/>
          <w:lang w:val="en-US" w:eastAsia="zh-CN"/>
        </w:rPr>
        <w:t>和清理。</w:t>
      </w:r>
    </w:p>
    <w:p w:rsidR="003104A5">
      <w:pPr>
        <w:numPr>
          <w:ilvl w:val="0"/>
          <w:numId w:val="58"/>
        </w:numPr>
        <w:tabs>
          <w:tab w:val="left" w:pos="1620"/>
          <w:tab w:val="clear" w:pos="1800"/>
        </w:tabs>
        <w:spacing w:before="120" w:beforeLines="50" w:after="120" w:afterLines="50"/>
        <w:ind w:left="1620" w:hanging="540"/>
        <w:jc w:val="both"/>
        <w:rPr>
          <w:rFonts w:eastAsia="宋体"/>
          <w:sz w:val="21"/>
          <w:szCs w:val="21"/>
          <w:lang w:val="en-US" w:eastAsia="zh-CN"/>
        </w:rPr>
        <w:sectPr>
          <w:headerReference w:type="default" r:id="rId18"/>
          <w:footerReference w:type="default" r:id="rId19"/>
          <w:type w:val="nextPage"/>
          <w:pgSz w:w="11909" w:h="16834"/>
          <w:pgMar w:top="1440" w:right="1247" w:bottom="1440" w:left="1440" w:header="709" w:footer="720" w:gutter="0"/>
          <w:pgNumType w:start="5"/>
          <w:cols w:space="720"/>
          <w:titlePg w:val="0"/>
        </w:sectPr>
      </w:pPr>
      <w:r>
        <w:rPr>
          <w:rFonts w:eastAsia="宋体" w:hint="eastAsia"/>
          <w:sz w:val="21"/>
          <w:szCs w:val="21"/>
          <w:lang w:val="en-US" w:eastAsia="zh-CN"/>
        </w:rPr>
        <w:t>建筑承包单位负责电梯工程预留孔洞（呼梯按钮盒、到站灯及电梯深化图要求的其他设备预留孔洞）、套管及后期封堵。对电梯承包工程施工后的留洞、凹口、凹槽等进行填补、灌浆、修整，及装潢以达到有关规范要求的标准。</w:t>
      </w:r>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与总承包单位的协调工作</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提前通知总承包单位所有土建工作之工作要求，使总承包单位能有足够预备和准备，如因承包单位不能预先指定时间及呈报土建工作要求图纸而引致该项工作未能如期完成，则承包单位需承担一切责任。</w:t>
      </w:r>
    </w:p>
    <w:p w:rsidR="003104A5">
      <w:pPr>
        <w:pStyle w:val="ReportLevel3"/>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必须提供和安排所有洞口及沟槽的尺寸和位置，并须在工地上监督协调，确保工程能依照本承包单位的要求进行。挖掘和填补必须尽量减少，因错误或者疏忽而引致其它承包单位的工作不能完成、改动、修补，无论错误或者疏忽是直接或间接由承包单位造成，承包单位都必须承担一切费用及工作延误的责任。</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hint="eastAsia"/>
          <w:sz w:val="21"/>
          <w:szCs w:val="21"/>
        </w:rPr>
        <w:t>在墙壁、梁、地板或其它结构的所有沟槽和通道，必须与一般土建结构一起建造。结构建造完成后，任何在结构内的挖掘，必须在施工图表示并交付业主或业主指定的代表批准，及由承包单位承担所有相关责任及费用。</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总承包单位负责协调电梯临时存放场地、材料加工场地、材料设备垂直运输等必要的协助工作。</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承包单位须与总承包单位协调，使有关的安装工作能配合工程进度。因缺乏协调而造成的一切后果如延误工期等，将由本承包单位负责。</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承包单位须负责确保有关预留设施，在有关土建施工时按要求正确预留。</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安全门由总承包单位负责建造，承包单位负责提供安全门连锁装置及所有有关管线。</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总承包单位须按电梯安装工程承包单位要求提供供电条件，负责提供从低压开关柜至（有机房电梯机房或无机房电梯井道内</w:t>
      </w:r>
      <w:r>
        <w:rPr>
          <w:rFonts w:asciiTheme="minorEastAsia" w:eastAsiaTheme="minorEastAsia" w:hAnsiTheme="minorEastAsia"/>
          <w:sz w:val="21"/>
          <w:szCs w:val="21"/>
        </w:rPr>
        <w:t>)</w:t>
      </w:r>
      <w:r>
        <w:rPr>
          <w:rFonts w:asciiTheme="minorEastAsia" w:eastAsiaTheme="minorEastAsia" w:hAnsiTheme="minorEastAsia" w:hint="eastAsia"/>
          <w:sz w:val="21"/>
          <w:szCs w:val="21"/>
        </w:rPr>
        <w:t>电梯机房的电梯配电箱的电缆、桥架、线管等附件，并负责接驳。</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按电梯安装工程承包单位要求提供电梯配电箱安装于机房内，并提供施工期间临时井道照明、井坑照明、井坑插座、轿厢照明、轿厢插座及群控等所需电源，由电梯系统配电箱至电梯设备之间的线管、线槽及电缆等均由承包单位提供。</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总承包单位负责提供电梯机房</w:t>
      </w:r>
      <w:r>
        <w:rPr>
          <w:rFonts w:asciiTheme="minorEastAsia" w:eastAsiaTheme="minorEastAsia" w:hAnsiTheme="minorEastAsia"/>
          <w:sz w:val="21"/>
          <w:szCs w:val="21"/>
        </w:rPr>
        <w:t>/</w:t>
      </w:r>
      <w:r>
        <w:rPr>
          <w:rFonts w:asciiTheme="minorEastAsia" w:eastAsiaTheme="minorEastAsia" w:hAnsiTheme="minorEastAsia" w:hint="eastAsia"/>
          <w:sz w:val="21"/>
          <w:szCs w:val="21"/>
        </w:rPr>
        <w:t>滑轮房的照明、插座、通风系统。</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总承包单位负责提供紧急电源以用作供电故障时操作。</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总承包单位负责按照图纸提供电梯机房的</w:t>
      </w:r>
      <w:r>
        <w:rPr>
          <w:rFonts w:asciiTheme="minorEastAsia" w:eastAsiaTheme="minorEastAsia" w:hAnsiTheme="minorEastAsia"/>
          <w:sz w:val="21"/>
          <w:szCs w:val="21"/>
        </w:rPr>
        <w:t>VRF</w:t>
      </w:r>
      <w:r>
        <w:rPr>
          <w:rFonts w:asciiTheme="minorEastAsia" w:eastAsiaTheme="minorEastAsia" w:hAnsiTheme="minorEastAsia" w:hint="eastAsia"/>
          <w:sz w:val="21"/>
          <w:szCs w:val="21"/>
        </w:rPr>
        <w:t>多联机或分体机，承包单位负责提供有关设备散热量的数据。</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总承包单位负责按整体进度协调和提供排水系统于电梯底坑内，并负责与承包单位协调电梯井道内管线走向，设备检修空间及相关配件的定位以确保日常操作及维修。</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总承包单位负责提供电梯井道的竖向接地母排（</w:t>
      </w:r>
      <w:r>
        <w:rPr>
          <w:rFonts w:asciiTheme="minorEastAsia" w:eastAsiaTheme="minorEastAsia" w:hAnsiTheme="minorEastAsia"/>
          <w:sz w:val="21"/>
          <w:szCs w:val="21"/>
        </w:rPr>
        <w:t>40*4</w:t>
      </w:r>
      <w:r>
        <w:rPr>
          <w:rFonts w:asciiTheme="minorEastAsia" w:eastAsiaTheme="minorEastAsia" w:hAnsiTheme="minorEastAsia" w:hint="eastAsia"/>
          <w:sz w:val="21"/>
          <w:szCs w:val="21"/>
        </w:rPr>
        <w:t>热浸镀锌扁钢）及电梯机房内的</w:t>
      </w:r>
      <w:r>
        <w:rPr>
          <w:rFonts w:asciiTheme="minorEastAsia" w:eastAsiaTheme="minorEastAsia" w:hAnsiTheme="minorEastAsia"/>
          <w:sz w:val="21"/>
          <w:szCs w:val="21"/>
        </w:rPr>
        <w:t>LEB</w:t>
      </w:r>
      <w:r>
        <w:rPr>
          <w:rFonts w:asciiTheme="minorEastAsia" w:eastAsiaTheme="minorEastAsia" w:hAnsiTheme="minorEastAsia" w:hint="eastAsia"/>
          <w:sz w:val="21"/>
          <w:szCs w:val="21"/>
        </w:rPr>
        <w:t>箱，其余接地工作由承包单位提供。</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w:t>
      </w:r>
      <w:r>
        <w:rPr>
          <w:rFonts w:asciiTheme="minorEastAsia" w:eastAsiaTheme="minorEastAsia" w:hAnsiTheme="minorEastAsia"/>
          <w:sz w:val="21"/>
          <w:szCs w:val="21"/>
        </w:rPr>
        <w:t>须与</w:t>
      </w:r>
      <w:r>
        <w:rPr>
          <w:rFonts w:asciiTheme="minorEastAsia" w:eastAsiaTheme="minorEastAsia" w:hAnsiTheme="minorEastAsia" w:hint="eastAsia"/>
          <w:sz w:val="21"/>
          <w:szCs w:val="21"/>
        </w:rPr>
        <w:t>总承包单位</w:t>
      </w:r>
      <w:r>
        <w:rPr>
          <w:rFonts w:asciiTheme="minorEastAsia" w:eastAsiaTheme="minorEastAsia" w:hAnsiTheme="minorEastAsia"/>
          <w:sz w:val="21"/>
          <w:szCs w:val="21"/>
        </w:rPr>
        <w:t>协调电梯井道内排水系统的管道走向、排水泵检修空间及相关配件的定位的确保日常操作及维修之要求。</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w:t>
      </w:r>
      <w:r>
        <w:rPr>
          <w:rFonts w:asciiTheme="minorEastAsia" w:eastAsiaTheme="minorEastAsia" w:hAnsiTheme="minorEastAsia"/>
          <w:sz w:val="21"/>
          <w:szCs w:val="21"/>
        </w:rPr>
        <w:t>须向</w:t>
      </w:r>
      <w:r>
        <w:rPr>
          <w:rFonts w:asciiTheme="minorEastAsia" w:eastAsiaTheme="minorEastAsia" w:hAnsiTheme="minorEastAsia" w:hint="eastAsia"/>
          <w:sz w:val="21"/>
          <w:szCs w:val="21"/>
        </w:rPr>
        <w:t>总承包单位</w:t>
      </w:r>
      <w:r>
        <w:rPr>
          <w:rFonts w:asciiTheme="minorEastAsia" w:eastAsiaTheme="minorEastAsia" w:hAnsiTheme="minorEastAsia"/>
          <w:sz w:val="21"/>
          <w:szCs w:val="21"/>
        </w:rPr>
        <w:t>提交电梯系统有关的负载容量，以便</w:t>
      </w:r>
      <w:r>
        <w:rPr>
          <w:rFonts w:asciiTheme="minorEastAsia" w:eastAsiaTheme="minorEastAsia" w:hAnsiTheme="minorEastAsia" w:hint="eastAsia"/>
          <w:sz w:val="21"/>
          <w:szCs w:val="21"/>
        </w:rPr>
        <w:t>建筑承包单位</w:t>
      </w:r>
      <w:r>
        <w:rPr>
          <w:rFonts w:asciiTheme="minorEastAsia" w:eastAsiaTheme="minorEastAsia" w:hAnsiTheme="minorEastAsia"/>
          <w:sz w:val="21"/>
          <w:szCs w:val="21"/>
        </w:rPr>
        <w:t>复核所提供的电源是否合理。</w:t>
      </w:r>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与弱电系统承包单位的协调工作</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sectPr>
          <w:headerReference w:type="default" r:id="rId20"/>
          <w:footerReference w:type="default" r:id="rId21"/>
          <w:type w:val="nextPage"/>
          <w:pgSz w:w="11909" w:h="16834"/>
          <w:pgMar w:top="1440" w:right="1247" w:bottom="1440" w:left="1440" w:header="709" w:footer="720" w:gutter="0"/>
          <w:pgNumType w:start="6"/>
          <w:cols w:space="720"/>
          <w:titlePg w:val="0"/>
        </w:sectPr>
      </w:pPr>
      <w:r>
        <w:rPr>
          <w:rFonts w:asciiTheme="minorEastAsia" w:eastAsiaTheme="minorEastAsia" w:hAnsiTheme="minorEastAsia" w:cs="Arial"/>
          <w:sz w:val="21"/>
          <w:szCs w:val="21"/>
        </w:rPr>
        <w:t>承包单位须按楼宇设备控制系统监控点一览表及图纸要求提供无电压</w:t>
      </w:r>
      <w:r>
        <w:rPr>
          <w:rFonts w:asciiTheme="minorEastAsia" w:eastAsiaTheme="minorEastAsia" w:hAnsiTheme="minorEastAsia" w:cs="Arial" w:hint="eastAsia"/>
          <w:sz w:val="21"/>
          <w:szCs w:val="21"/>
        </w:rPr>
        <w:t>干</w:t>
      </w:r>
      <w:r>
        <w:rPr>
          <w:rFonts w:asciiTheme="minorEastAsia" w:eastAsiaTheme="minorEastAsia" w:hAnsiTheme="minorEastAsia" w:cs="Arial"/>
          <w:sz w:val="21"/>
          <w:szCs w:val="21"/>
        </w:rPr>
        <w:t>接点信号</w:t>
      </w:r>
      <w:r>
        <w:rPr>
          <w:rFonts w:asciiTheme="minorEastAsia" w:eastAsiaTheme="minorEastAsia" w:hAnsiTheme="minorEastAsia" w:cs="Arial" w:hint="eastAsia"/>
          <w:sz w:val="21"/>
          <w:szCs w:val="21"/>
        </w:rPr>
        <w:t>、</w:t>
      </w:r>
      <w:r>
        <w:rPr>
          <w:rFonts w:asciiTheme="minorEastAsia" w:eastAsiaTheme="minorEastAsia" w:hAnsiTheme="minorEastAsia" w:cs="Arial"/>
          <w:sz w:val="21"/>
          <w:szCs w:val="21"/>
        </w:rPr>
        <w:t>模拟信号或通讯接口，以供接驳至楼宇设备控制系统。接点端接至设于控制屏、电梯</w:t>
      </w:r>
      <w:r>
        <w:rPr>
          <w:rFonts w:asciiTheme="minorEastAsia" w:eastAsiaTheme="minorEastAsia" w:hAnsiTheme="minorEastAsia"/>
          <w:sz w:val="21"/>
          <w:szCs w:val="21"/>
        </w:rPr>
        <w:t>监控</w:t>
      </w:r>
      <w:r>
        <w:rPr>
          <w:rFonts w:asciiTheme="minorEastAsia" w:eastAsiaTheme="minorEastAsia" w:hAnsiTheme="minorEastAsia" w:cs="Arial"/>
          <w:sz w:val="21"/>
          <w:szCs w:val="21"/>
        </w:rPr>
        <w:t>屏及所有相关设备旁的终端盒内以供弱电系统承包单位连接至楼宇设备控制系统，用以显</w:t>
      </w:r>
      <w:r>
        <w:rPr>
          <w:rFonts w:asciiTheme="minorEastAsia" w:eastAsiaTheme="minorEastAsia" w:hAnsiTheme="minorEastAsia" w:cs="Arial"/>
          <w:sz w:val="21"/>
          <w:szCs w:val="21"/>
        </w:rPr>
        <w:t>示各电梯的运作状况。终端盒由承包单位提供。终端盒至弱电主机/控制器之线缆、线管、线槽/桥架等由弱电承包单位提供。</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承包</w:t>
      </w:r>
      <w:r>
        <w:rPr>
          <w:rFonts w:asciiTheme="minorEastAsia" w:eastAsiaTheme="minorEastAsia" w:hAnsiTheme="minorEastAsia"/>
          <w:sz w:val="21"/>
          <w:szCs w:val="21"/>
        </w:rPr>
        <w:t>单位</w:t>
      </w:r>
      <w:r>
        <w:rPr>
          <w:rFonts w:asciiTheme="minorEastAsia" w:eastAsiaTheme="minorEastAsia" w:hAnsiTheme="minorEastAsia" w:cs="Arial"/>
          <w:sz w:val="21"/>
          <w:szCs w:val="21"/>
        </w:rPr>
        <w:t>需负责提供电梯控制系统之通信接口及通讯协议，如TCP/IP，RS232，RS485，Bacnet，Lonwork等以便与楼宇设备控制系统良好通讯。</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弱电承包单位负责提供由电梯机房至电梯监察盘</w:t>
      </w:r>
      <w:r>
        <w:rPr>
          <w:rFonts w:asciiTheme="minorEastAsia" w:eastAsiaTheme="minorEastAsia" w:hAnsiTheme="minorEastAsia" w:cs="Arial"/>
          <w:sz w:val="21"/>
          <w:szCs w:val="21"/>
          <w:lang w:val="en-US"/>
        </w:rPr>
        <w:t>(</w:t>
      </w:r>
      <w:r>
        <w:rPr>
          <w:rFonts w:asciiTheme="minorEastAsia" w:eastAsiaTheme="minorEastAsia" w:hAnsiTheme="minorEastAsia" w:cs="Arial" w:hint="eastAsia"/>
          <w:sz w:val="21"/>
          <w:szCs w:val="21"/>
          <w:lang w:val="en-US"/>
        </w:rPr>
        <w:t>于消防控制室内</w:t>
      </w:r>
      <w:r>
        <w:rPr>
          <w:rFonts w:asciiTheme="minorEastAsia" w:eastAsiaTheme="minorEastAsia" w:hAnsiTheme="minorEastAsia" w:cs="Arial"/>
          <w:sz w:val="21"/>
          <w:szCs w:val="21"/>
          <w:lang w:val="en-US"/>
        </w:rPr>
        <w:t>)</w:t>
      </w:r>
      <w:r>
        <w:rPr>
          <w:rFonts w:asciiTheme="minorEastAsia" w:eastAsiaTheme="minorEastAsia" w:hAnsiTheme="minorEastAsia" w:cs="Arial"/>
          <w:sz w:val="21"/>
          <w:szCs w:val="21"/>
        </w:rPr>
        <w:t>之间的</w:t>
      </w:r>
      <w:r>
        <w:rPr>
          <w:rFonts w:asciiTheme="minorEastAsia" w:eastAsiaTheme="minorEastAsia" w:hAnsiTheme="minorEastAsia" w:cs="Arial" w:hint="eastAsia"/>
          <w:sz w:val="21"/>
          <w:szCs w:val="21"/>
        </w:rPr>
        <w:t>线缆、</w:t>
      </w:r>
      <w:r>
        <w:rPr>
          <w:rFonts w:asciiTheme="minorEastAsia" w:eastAsiaTheme="minorEastAsia" w:hAnsiTheme="minorEastAsia" w:cs="Arial"/>
          <w:sz w:val="21"/>
          <w:szCs w:val="21"/>
        </w:rPr>
        <w:t>线管、线槽及桥架。</w:t>
      </w:r>
      <w:r>
        <w:rPr>
          <w:rFonts w:asciiTheme="minorEastAsia" w:eastAsiaTheme="minorEastAsia" w:hAnsiTheme="minorEastAsia" w:cs="Arial" w:hint="eastAsia"/>
          <w:sz w:val="21"/>
          <w:szCs w:val="21"/>
        </w:rPr>
        <w:t>承包单位负责提供线管、线槽及桥架的要求尺寸及位置，并协助协调综合管线图。</w:t>
      </w:r>
      <w:r>
        <w:rPr>
          <w:rFonts w:asciiTheme="minorEastAsia" w:eastAsiaTheme="minorEastAsia" w:hAnsiTheme="minorEastAsia" w:cs="Arial"/>
          <w:sz w:val="21"/>
          <w:szCs w:val="21"/>
        </w:rPr>
        <w:t>承包单位负责提供由电梯机房至电梯轿厢的线管、线槽、桥架、视频及音频传输线</w:t>
      </w:r>
      <w:r>
        <w:rPr>
          <w:rFonts w:asciiTheme="minorEastAsia" w:eastAsiaTheme="minorEastAsia" w:hAnsiTheme="minorEastAsia" w:cs="Arial" w:hint="eastAsia"/>
          <w:sz w:val="21"/>
          <w:szCs w:val="21"/>
        </w:rPr>
        <w:t>、</w:t>
      </w:r>
      <w:r>
        <w:rPr>
          <w:rFonts w:asciiTheme="minorEastAsia" w:eastAsiaTheme="minorEastAsia" w:hAnsiTheme="minorEastAsia" w:cs="Arial"/>
          <w:sz w:val="21"/>
          <w:szCs w:val="21"/>
        </w:rPr>
        <w:t>移动通信信号线、门禁控制线等弱电线路及接线端子、电源、井道内之电线接驳及轿厢顶开孔工作，并在电梯机房内提供终端盒供弱电承包单位接驳</w:t>
      </w:r>
      <w:r>
        <w:rPr>
          <w:rFonts w:asciiTheme="minorEastAsia" w:eastAsiaTheme="minorEastAsia" w:hAnsiTheme="minorEastAsia" w:cs="Arial" w:hint="eastAsia"/>
          <w:sz w:val="21"/>
          <w:szCs w:val="21"/>
        </w:rPr>
        <w:t>。</w:t>
      </w:r>
      <w:r>
        <w:rPr>
          <w:rFonts w:asciiTheme="minorEastAsia" w:eastAsiaTheme="minorEastAsia" w:hAnsiTheme="minorEastAsia" w:cs="Arial"/>
          <w:sz w:val="21"/>
          <w:szCs w:val="21"/>
        </w:rPr>
        <w:t>终端盒至弱电主机/控制器之线缆、线管、线槽/桥架等由弱电承包单位提供。</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承包单位须与弱电系统承包单位协调并就监控盘的外观形式及在控制室的安装布置达成统一。</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承包单位</w:t>
      </w:r>
      <w:r>
        <w:rPr>
          <w:rFonts w:asciiTheme="minorEastAsia" w:eastAsiaTheme="minorEastAsia" w:hAnsiTheme="minorEastAsia"/>
          <w:sz w:val="21"/>
          <w:szCs w:val="21"/>
        </w:rPr>
        <w:t>提供</w:t>
      </w:r>
      <w:r>
        <w:rPr>
          <w:rFonts w:asciiTheme="minorEastAsia" w:eastAsiaTheme="minorEastAsia" w:hAnsiTheme="minorEastAsia" w:cs="Arial"/>
          <w:sz w:val="21"/>
          <w:szCs w:val="21"/>
        </w:rPr>
        <w:t>之电梯轿厢至电梯机房内供弱电设备信号传递之电缆须符合弱电系统对电缆的最低特性要求。承包单位亦需于适当位置提供与弱电系统连接的接线设备。</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承包单位须与弱电承包单位协调并就轿厢内/井道内的移动通信信号增强点议定准确的位置及详细的工作界面。</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sz w:val="21"/>
          <w:szCs w:val="21"/>
        </w:rPr>
        <w:t>承包单位须</w:t>
      </w:r>
      <w:r>
        <w:rPr>
          <w:rFonts w:asciiTheme="minorEastAsia" w:eastAsiaTheme="minorEastAsia" w:hAnsiTheme="minorEastAsia" w:cs="Arial" w:hint="eastAsia"/>
          <w:sz w:val="21"/>
          <w:szCs w:val="21"/>
        </w:rPr>
        <w:t>与</w:t>
      </w:r>
      <w:r>
        <w:rPr>
          <w:rFonts w:asciiTheme="minorEastAsia" w:eastAsiaTheme="minorEastAsia" w:hAnsiTheme="minorEastAsia" w:cs="Arial"/>
          <w:sz w:val="21"/>
          <w:szCs w:val="21"/>
        </w:rPr>
        <w:t>弱电系统承包单位协调，并就双方的接驳口议定准确位置及详细的工作接口。</w:t>
      </w:r>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与装修工程承包单位的协调及配合工作</w:t>
      </w:r>
    </w:p>
    <w:p w:rsidR="003104A5">
      <w:pPr>
        <w:pStyle w:val="ReportLevel3"/>
        <w:keepNext w:val="0"/>
        <w:spacing w:before="120" w:beforeLines="50" w:after="120" w:afterLines="50"/>
        <w:ind w:left="1077" w:hanging="1077"/>
        <w:rPr>
          <w:rFonts w:eastAsiaTheme="minorEastAsia"/>
        </w:rPr>
      </w:pPr>
      <w:r>
        <w:rPr>
          <w:rFonts w:asciiTheme="minorEastAsia" w:eastAsiaTheme="minorEastAsia" w:hAnsiTheme="minorEastAsia" w:hint="eastAsia"/>
          <w:sz w:val="21"/>
          <w:szCs w:val="21"/>
        </w:rPr>
        <w:t>承包单位负责自动扶梯的侧板装饰</w:t>
      </w:r>
      <w:r>
        <w:rPr>
          <w:rFonts w:asciiTheme="minorEastAsia" w:eastAsiaTheme="minorEastAsia" w:hAnsiTheme="minorEastAsia" w:hint="eastAsia"/>
          <w:sz w:val="21"/>
          <w:szCs w:val="21"/>
          <w:lang w:val="en-US"/>
        </w:rPr>
        <w:t>和</w:t>
      </w:r>
      <w:r>
        <w:rPr>
          <w:rFonts w:asciiTheme="minorEastAsia" w:eastAsiaTheme="minorEastAsia" w:hAnsiTheme="minorEastAsia" w:hint="eastAsia"/>
          <w:sz w:val="21"/>
          <w:szCs w:val="21"/>
        </w:rPr>
        <w:t>底板装饰，装修工程承包单位负责自动扶梯出入口地面、天花保护板。</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承包单位</w:t>
      </w:r>
      <w:r>
        <w:rPr>
          <w:rFonts w:asciiTheme="minorEastAsia" w:eastAsiaTheme="minorEastAsia" w:hAnsiTheme="minorEastAsia"/>
          <w:sz w:val="21"/>
          <w:szCs w:val="21"/>
        </w:rPr>
        <w:t>负责与精装修设计</w:t>
      </w:r>
      <w:r>
        <w:rPr>
          <w:rFonts w:asciiTheme="minorEastAsia" w:eastAsiaTheme="minorEastAsia" w:hAnsiTheme="minorEastAsia" w:hint="eastAsia"/>
          <w:sz w:val="21"/>
          <w:szCs w:val="21"/>
        </w:rPr>
        <w:t>单位</w:t>
      </w:r>
      <w:r>
        <w:rPr>
          <w:rFonts w:asciiTheme="minorEastAsia" w:eastAsiaTheme="minorEastAsia" w:hAnsiTheme="minorEastAsia"/>
          <w:sz w:val="21"/>
          <w:szCs w:val="21"/>
        </w:rPr>
        <w:t>及施工单位协调，提供并配合精装修之要求，如因</w:t>
      </w:r>
      <w:r>
        <w:rPr>
          <w:rFonts w:asciiTheme="minorEastAsia" w:eastAsiaTheme="minorEastAsia" w:hAnsiTheme="minorEastAsia" w:hint="eastAsia"/>
          <w:sz w:val="21"/>
          <w:szCs w:val="21"/>
        </w:rPr>
        <w:t>电梯安装工程承包单位</w:t>
      </w:r>
      <w:r>
        <w:rPr>
          <w:rFonts w:asciiTheme="minorEastAsia" w:eastAsiaTheme="minorEastAsia" w:hAnsiTheme="minorEastAsia"/>
          <w:sz w:val="21"/>
          <w:szCs w:val="21"/>
        </w:rPr>
        <w:t>缺乏协调而造成的一切后果如延误工期等，将由</w:t>
      </w:r>
      <w:r>
        <w:rPr>
          <w:rFonts w:asciiTheme="minorEastAsia" w:eastAsiaTheme="minorEastAsia" w:hAnsiTheme="minorEastAsia" w:hint="eastAsia"/>
          <w:sz w:val="21"/>
          <w:szCs w:val="21"/>
        </w:rPr>
        <w:t>电梯安装工程承包单位</w:t>
      </w:r>
      <w:r>
        <w:rPr>
          <w:rFonts w:asciiTheme="minorEastAsia" w:eastAsiaTheme="minorEastAsia" w:hAnsiTheme="minorEastAsia"/>
          <w:sz w:val="21"/>
          <w:szCs w:val="21"/>
        </w:rPr>
        <w:t>负责。</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与精装修协调预留呼梯按钮，层楼显示在石材上的位置。</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轿厢装修前，中标人进行负载实验并将实验报告交招标人、监理项目部审批。精装修完成后，中标人再作一次负载试验以确认是否超过设计的装修重量。</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如涉及电梯信号灯、按钮等接线、装饰施工工作，精装修单位负责接线安装末端器材</w:t>
      </w:r>
      <w:r>
        <w:rPr>
          <w:rFonts w:asciiTheme="minorEastAsia" w:eastAsiaTheme="minorEastAsia" w:hAnsiTheme="minorEastAsia"/>
          <w:sz w:val="21"/>
          <w:szCs w:val="21"/>
        </w:rPr>
        <w:t>(</w:t>
      </w:r>
      <w:r>
        <w:rPr>
          <w:rFonts w:asciiTheme="minorEastAsia" w:eastAsiaTheme="minorEastAsia" w:hAnsiTheme="minorEastAsia" w:hint="eastAsia"/>
          <w:sz w:val="21"/>
          <w:szCs w:val="21"/>
        </w:rPr>
        <w:t>如：变电器、精装修工程内的按钮面板、装饰性信号灯带等</w:t>
      </w:r>
      <w:r>
        <w:rPr>
          <w:rFonts w:asciiTheme="minorEastAsia" w:eastAsiaTheme="minorEastAsia" w:hAnsiTheme="minorEastAsia"/>
          <w:sz w:val="21"/>
          <w:szCs w:val="21"/>
        </w:rPr>
        <w:t>)</w:t>
      </w:r>
      <w:r>
        <w:rPr>
          <w:rFonts w:asciiTheme="minorEastAsia" w:eastAsiaTheme="minorEastAsia" w:hAnsiTheme="minorEastAsia" w:hint="eastAsia"/>
          <w:sz w:val="21"/>
          <w:szCs w:val="21"/>
        </w:rPr>
        <w:t>，电梯单位负责将信号线及电源线甩出至底盒内或者电梯厅结构墙面外露</w:t>
      </w:r>
      <w:r>
        <w:rPr>
          <w:rFonts w:asciiTheme="minorEastAsia" w:eastAsiaTheme="minorEastAsia" w:hAnsiTheme="minorEastAsia"/>
          <w:sz w:val="21"/>
          <w:szCs w:val="21"/>
        </w:rPr>
        <w:t>10cm</w:t>
      </w:r>
      <w:r>
        <w:rPr>
          <w:rFonts w:asciiTheme="minorEastAsia" w:eastAsiaTheme="minorEastAsia" w:hAnsiTheme="minorEastAsia" w:hint="eastAsia"/>
          <w:sz w:val="21"/>
          <w:szCs w:val="21"/>
        </w:rPr>
        <w:t>以上。</w:t>
      </w:r>
    </w:p>
    <w:p w:rsidR="003104A5">
      <w:pPr>
        <w:pStyle w:val="ReportLevel3"/>
        <w:keepNext w:val="0"/>
        <w:spacing w:before="120" w:beforeLines="50" w:after="120" w:afterLines="50"/>
        <w:ind w:left="1077" w:hanging="1077"/>
        <w:rPr>
          <w:rFonts w:asciiTheme="minorEastAsia" w:eastAsiaTheme="minorEastAsia" w:hAnsiTheme="minorEastAsia"/>
          <w:sz w:val="21"/>
          <w:szCs w:val="21"/>
        </w:rPr>
      </w:pPr>
      <w:r>
        <w:rPr>
          <w:rFonts w:asciiTheme="minorEastAsia" w:eastAsiaTheme="minorEastAsia" w:hAnsiTheme="minorEastAsia" w:hint="eastAsia"/>
          <w:sz w:val="21"/>
          <w:szCs w:val="21"/>
        </w:rPr>
        <w:t>电梯轿厢的天花、墙面、底板精装修工作，由精装修施工单位负责。如涉及邻梯救援暗门等施工，由电梯单位需负责无条件配合。</w:t>
      </w:r>
    </w:p>
    <w:p w:rsidR="003104A5">
      <w:pPr>
        <w:pStyle w:val="ReportLevel2"/>
        <w:spacing w:before="240" w:beforeLines="100" w:after="240" w:afterLines="100"/>
        <w:rPr>
          <w:rFonts w:asciiTheme="minorEastAsia" w:eastAsiaTheme="minorEastAsia" w:hAnsiTheme="minorEastAsia"/>
          <w:b/>
          <w:bCs/>
          <w:sz w:val="21"/>
          <w:szCs w:val="21"/>
        </w:rPr>
      </w:pPr>
      <w:r>
        <w:rPr>
          <w:rFonts w:asciiTheme="minorEastAsia" w:eastAsiaTheme="minorEastAsia" w:hAnsiTheme="minorEastAsia" w:hint="eastAsia"/>
          <w:b/>
          <w:bCs/>
          <w:sz w:val="21"/>
          <w:szCs w:val="21"/>
        </w:rPr>
        <w:t>与消防承包单位的协调及配合工作</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eastAsiaTheme="minorEastAsia" w:hint="eastAsia"/>
          <w:sz w:val="21"/>
          <w:szCs w:val="21"/>
        </w:rPr>
        <w:t>消防承包单位负责消防联动控制线引入电梯机房（无机房电梯应引入电</w:t>
      </w:r>
      <w:r>
        <w:rPr>
          <w:rFonts w:asciiTheme="minorEastAsia" w:eastAsiaTheme="minorEastAsia" w:hAnsiTheme="minorEastAsia" w:cs="Arial" w:hint="eastAsia"/>
          <w:sz w:val="21"/>
          <w:szCs w:val="21"/>
        </w:rPr>
        <w:t>梯控制柜），并安装相关的消防控制模块，控制电缆接入电梯承包商指定的电梯控制柜之接口。</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电梯应具有规范要求的消防联动控制功能，并在电梯控制柜中提供消防联动控制线的接口。</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电梯承包单位应配合消防承包单位主导的消防运行调试与验收。</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消防承包单位负责电梯井道通风口防火阀的安装。</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pPr>
      <w:r>
        <w:rPr>
          <w:rFonts w:asciiTheme="minorEastAsia" w:eastAsiaTheme="minorEastAsia" w:hAnsiTheme="minorEastAsia" w:cs="Arial" w:hint="eastAsia"/>
          <w:sz w:val="21"/>
          <w:szCs w:val="21"/>
        </w:rPr>
        <w:t>消防承包单位负责五方对讲控制线缆的安装（从消防控制室到电梯机房），并接入电梯承包商指定的电梯控制柜之接口。</w:t>
      </w:r>
    </w:p>
    <w:p w:rsidR="003104A5">
      <w:pPr>
        <w:pStyle w:val="ReportLevel3"/>
        <w:keepNext w:val="0"/>
        <w:spacing w:before="120" w:beforeLines="50" w:after="120" w:afterLines="50"/>
        <w:ind w:left="1077" w:hanging="1077"/>
        <w:rPr>
          <w:rFonts w:asciiTheme="minorEastAsia" w:eastAsiaTheme="minorEastAsia" w:hAnsiTheme="minorEastAsia" w:cs="Arial"/>
          <w:sz w:val="21"/>
          <w:szCs w:val="21"/>
        </w:rPr>
        <w:sectPr>
          <w:headerReference w:type="default" r:id="rId22"/>
          <w:footerReference w:type="default" r:id="rId23"/>
          <w:type w:val="nextPage"/>
          <w:pgSz w:w="11909" w:h="16834"/>
          <w:pgMar w:top="1440" w:right="1247" w:bottom="1440" w:left="1440" w:header="709" w:footer="720" w:gutter="0"/>
          <w:pgNumType w:start="7"/>
          <w:cols w:space="720"/>
          <w:titlePg w:val="0"/>
        </w:sectPr>
      </w:pPr>
      <w:r>
        <w:rPr>
          <w:rFonts w:asciiTheme="minorEastAsia" w:eastAsiaTheme="minorEastAsia" w:hAnsiTheme="minorEastAsia" w:cs="Arial"/>
          <w:sz w:val="21"/>
          <w:szCs w:val="21"/>
        </w:rPr>
        <w:t>承包单位须与机电承包单位协调并就双方的交接驳口议定准确的位置及详细的工作界面。</w:t>
      </w:r>
    </w:p>
    <w:p w:rsidR="003104A5">
      <w:pPr>
        <w:pStyle w:val="Heading1"/>
        <w:numPr>
          <w:ilvl w:val="0"/>
          <w:numId w:val="0"/>
        </w:numPr>
        <w:spacing w:line="360" w:lineRule="auto"/>
        <w:jc w:val="center"/>
        <w:rPr>
          <w:rFonts w:asciiTheme="minorEastAsia" w:eastAsiaTheme="minorEastAsia" w:hAnsiTheme="minorEastAsia"/>
          <w:bCs/>
          <w:sz w:val="30"/>
          <w:szCs w:val="30"/>
        </w:rPr>
      </w:pPr>
      <w:bookmarkStart w:id="31" w:name="_Toc31877412"/>
      <w:bookmarkStart w:id="32" w:name="_Toc54958241"/>
      <w:r>
        <w:rPr>
          <w:rFonts w:asciiTheme="minorEastAsia" w:eastAsiaTheme="minorEastAsia" w:hAnsiTheme="minorEastAsia" w:hint="eastAsia"/>
          <w:bCs/>
          <w:sz w:val="30"/>
          <w:szCs w:val="30"/>
        </w:rPr>
        <w:t>第二章</w:t>
      </w:r>
      <w:r>
        <w:rPr>
          <w:rFonts w:asciiTheme="minorEastAsia" w:eastAsiaTheme="minorEastAsia" w:hAnsiTheme="minorEastAsia"/>
          <w:bCs/>
          <w:sz w:val="30"/>
          <w:szCs w:val="30"/>
        </w:rPr>
        <w:t xml:space="preserve"> </w:t>
      </w:r>
      <w:r>
        <w:rPr>
          <w:rFonts w:asciiTheme="minorEastAsia" w:eastAsiaTheme="minorEastAsia" w:hAnsiTheme="minorEastAsia" w:hint="eastAsia"/>
          <w:bCs/>
          <w:sz w:val="30"/>
          <w:szCs w:val="30"/>
        </w:rPr>
        <w:t>一般要求</w:t>
      </w:r>
      <w:bookmarkEnd w:id="31"/>
      <w:bookmarkEnd w:id="32"/>
    </w:p>
    <w:p w:rsidR="003104A5">
      <w:pPr>
        <w:pStyle w:val="ReportLevel1"/>
        <w:numPr>
          <w:ilvl w:val="0"/>
          <w:numId w:val="13"/>
        </w:numPr>
        <w:spacing w:before="240" w:beforeLines="100" w:after="240" w:afterLines="100"/>
        <w:rPr>
          <w:rFonts w:asciiTheme="minorEastAsia" w:eastAsiaTheme="minorEastAsia" w:hAnsiTheme="minorEastAsia"/>
          <w:sz w:val="21"/>
          <w:szCs w:val="21"/>
          <w:lang w:val="en-US"/>
        </w:rPr>
      </w:pPr>
      <w:bookmarkStart w:id="33" w:name="_Toc54958242"/>
      <w:r>
        <w:rPr>
          <w:rFonts w:asciiTheme="minorEastAsia" w:eastAsiaTheme="minorEastAsia" w:hAnsiTheme="minorEastAsia" w:hint="eastAsia"/>
          <w:sz w:val="21"/>
          <w:szCs w:val="21"/>
          <w:lang w:val="en-US"/>
        </w:rPr>
        <w:t>规则条例</w:t>
      </w:r>
      <w:bookmarkEnd w:id="13"/>
      <w:bookmarkEnd w:id="14"/>
      <w:bookmarkEnd w:id="15"/>
      <w:bookmarkEnd w:id="16"/>
      <w:r>
        <w:rPr>
          <w:rFonts w:asciiTheme="minorEastAsia" w:eastAsiaTheme="minorEastAsia" w:hAnsiTheme="minorEastAsia" w:hint="eastAsia"/>
          <w:sz w:val="21"/>
          <w:szCs w:val="21"/>
          <w:lang w:val="en-US"/>
        </w:rPr>
        <w:t>及标准</w:t>
      </w:r>
      <w:bookmarkEnd w:id="33"/>
    </w:p>
    <w:p w:rsidR="003104A5">
      <w:pPr>
        <w:pStyle w:val="ReportLevel2"/>
        <w:spacing w:before="240" w:beforeLines="100" w:after="240" w:afterLines="100"/>
        <w:rPr>
          <w:rFonts w:asciiTheme="minorEastAsia" w:eastAsiaTheme="minorEastAsia" w:hAnsiTheme="minorEastAsia"/>
          <w:spacing w:val="-10"/>
          <w:sz w:val="21"/>
          <w:szCs w:val="21"/>
          <w:lang w:eastAsia="zh-TW"/>
        </w:rPr>
      </w:pPr>
      <w:r>
        <w:rPr>
          <w:rFonts w:asciiTheme="minorEastAsia" w:eastAsiaTheme="minorEastAsia" w:hAnsiTheme="minorEastAsia" w:hint="eastAsia"/>
          <w:sz w:val="21"/>
          <w:szCs w:val="21"/>
        </w:rPr>
        <w:t>所有设备、材料的供应和施工工艺，必须符合下列各机关、部门所颁</w:t>
      </w:r>
      <w:r>
        <w:rPr>
          <w:rFonts w:asciiTheme="minorEastAsia" w:eastAsiaTheme="minorEastAsia" w:hAnsiTheme="minorEastAsia" w:hint="eastAsia"/>
          <w:spacing w:val="-10"/>
          <w:sz w:val="21"/>
          <w:szCs w:val="21"/>
        </w:rPr>
        <w:t>布的最新的法定职责、条例、规范、规格、标准、施工准则和业务条例：</w:t>
      </w:r>
    </w:p>
    <w:p w:rsidR="003104A5">
      <w:pPr>
        <w:autoSpaceDE w:val="0"/>
        <w:autoSpaceDN w:val="0"/>
        <w:adjustRightInd w:val="0"/>
        <w:spacing w:before="120" w:beforeLines="50" w:after="120" w:afterLines="50"/>
        <w:ind w:left="1077"/>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所有中国中央和工程所在地的当地政府机关及部门，包括但不仅限于以下所列的单位：</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深圳市特种设备安全检验研究院</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消防局</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规划局</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环境保护局</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卫生防疫站</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供电局</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技术监督局</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公安局技防办</w:t>
      </w:r>
    </w:p>
    <w:p w:rsidR="003104A5">
      <w:pPr>
        <w:numPr>
          <w:ilvl w:val="0"/>
          <w:numId w:val="14"/>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工程所在地建设工程质量监督站</w:t>
      </w:r>
    </w:p>
    <w:p w:rsidR="003104A5">
      <w:pPr>
        <w:spacing w:before="120" w:beforeLines="50" w:after="120" w:afterLines="50"/>
        <w:ind w:left="1078" w:leftChars="49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所有中国国家及当地政府有关部门所订定规范，规程和准则，以及国际认可的规例和标准，所有国内或国际规范，规程，规例及标准等均指签订合同时所颁布的最新版本，包括但不仅限于以下所列：</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建筑设计防火规范（</w:t>
      </w:r>
      <w:r>
        <w:rPr>
          <w:rFonts w:asciiTheme="minorEastAsia" w:eastAsiaTheme="minorEastAsia" w:hAnsiTheme="minorEastAsia"/>
          <w:sz w:val="21"/>
          <w:szCs w:val="21"/>
          <w:lang w:eastAsia="zh-CN"/>
        </w:rPr>
        <w:t>GB50016-2014</w:t>
      </w:r>
      <w:r>
        <w:rPr>
          <w:rFonts w:asciiTheme="minorEastAsia" w:eastAsiaTheme="minorEastAsia" w:hAnsiTheme="minorEastAsia" w:hint="eastAsia"/>
          <w:sz w:val="21"/>
          <w:szCs w:val="21"/>
          <w:lang w:eastAsia="zh-CN"/>
        </w:rPr>
        <w:t>（2</w:t>
      </w:r>
      <w:r>
        <w:rPr>
          <w:rFonts w:asciiTheme="minorEastAsia" w:eastAsiaTheme="minorEastAsia" w:hAnsiTheme="minorEastAsia"/>
          <w:sz w:val="21"/>
          <w:szCs w:val="21"/>
          <w:lang w:eastAsia="zh-CN"/>
        </w:rPr>
        <w:t>018</w:t>
      </w:r>
      <w:r>
        <w:rPr>
          <w:rFonts w:asciiTheme="minorEastAsia" w:eastAsiaTheme="minorEastAsia" w:hAnsiTheme="minorEastAsia" w:hint="eastAsia"/>
          <w:sz w:val="21"/>
          <w:szCs w:val="21"/>
          <w:lang w:eastAsia="zh-CN"/>
        </w:rPr>
        <w:t>版）</w:t>
      </w:r>
      <w:r>
        <w:rPr>
          <w:rFonts w:asciiTheme="minorEastAsia" w:eastAsiaTheme="minorEastAsia" w:hAnsiTheme="minor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民用建筑电气设计规范（</w:t>
      </w:r>
      <w:r>
        <w:rPr>
          <w:rFonts w:asciiTheme="minorEastAsia" w:eastAsiaTheme="minorEastAsia" w:hAnsiTheme="minorEastAsia"/>
          <w:sz w:val="21"/>
          <w:szCs w:val="21"/>
          <w:lang w:eastAsia="zh-CN"/>
        </w:rPr>
        <w:t>JGJ16-2008</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火灾自动报警系统设计规范（</w:t>
      </w:r>
      <w:r>
        <w:rPr>
          <w:rFonts w:asciiTheme="minorEastAsia" w:eastAsiaTheme="minorEastAsia" w:hAnsiTheme="minorEastAsia"/>
          <w:sz w:val="21"/>
          <w:szCs w:val="21"/>
          <w:lang w:eastAsia="zh-CN"/>
        </w:rPr>
        <w:t>GB 50116-2013</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建筑物防雷设计规范（</w:t>
      </w:r>
      <w:r>
        <w:rPr>
          <w:rFonts w:asciiTheme="minorEastAsia" w:eastAsiaTheme="minorEastAsia" w:hAnsiTheme="minorEastAsia"/>
          <w:sz w:val="21"/>
          <w:szCs w:val="21"/>
          <w:lang w:eastAsia="zh-CN"/>
        </w:rPr>
        <w:t>GB 50057-2010</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自动喷水灭火系统设计规范</w:t>
      </w:r>
      <w:r>
        <w:rPr>
          <w:rFonts w:asciiTheme="minorEastAsia" w:eastAsiaTheme="minorEastAsia" w:hAnsiTheme="minorEastAsia"/>
          <w:sz w:val="21"/>
          <w:szCs w:val="21"/>
          <w:lang w:eastAsia="zh-CN"/>
        </w:rPr>
        <w:t xml:space="preserve"> (GB50084-2017) </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供配电系统设计规范（</w:t>
      </w:r>
      <w:r>
        <w:rPr>
          <w:rFonts w:asciiTheme="minorEastAsia" w:eastAsiaTheme="minorEastAsia" w:hAnsiTheme="minorEastAsia"/>
          <w:sz w:val="21"/>
          <w:szCs w:val="21"/>
          <w:lang w:eastAsia="zh-CN"/>
        </w:rPr>
        <w:t>GB50052-2009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低压配电设计规范（</w:t>
      </w:r>
      <w:r>
        <w:rPr>
          <w:rFonts w:asciiTheme="minorEastAsia" w:eastAsiaTheme="minorEastAsia" w:hAnsiTheme="minorEastAsia"/>
          <w:sz w:val="21"/>
          <w:szCs w:val="21"/>
          <w:lang w:eastAsia="zh-CN"/>
        </w:rPr>
        <w:t>GB50054-2011</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电梯制造与安装安全规范（</w:t>
      </w:r>
      <w:r>
        <w:rPr>
          <w:rFonts w:asciiTheme="minorEastAsia" w:eastAsiaTheme="minorEastAsia" w:hAnsiTheme="minorEastAsia"/>
          <w:sz w:val="21"/>
          <w:szCs w:val="21"/>
          <w:lang w:eastAsia="zh-CN"/>
        </w:rPr>
        <w:t>GB7588-2003</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消防电梯制造与安装安全规范</w:t>
      </w:r>
      <w:r>
        <w:rPr>
          <w:rFonts w:asciiTheme="minorEastAsia" w:eastAsiaTheme="minorEastAsia" w:hAnsiTheme="minorEastAsia"/>
          <w:sz w:val="21"/>
          <w:szCs w:val="21"/>
          <w:lang w:eastAsia="zh-CN"/>
        </w:rPr>
        <w:t>(GB26465-2011)</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电梯技术条件（</w:t>
      </w:r>
      <w:r>
        <w:rPr>
          <w:rFonts w:asciiTheme="minorEastAsia" w:eastAsiaTheme="minorEastAsia" w:hAnsiTheme="minorEastAsia"/>
          <w:sz w:val="21"/>
          <w:szCs w:val="21"/>
          <w:lang w:eastAsia="zh-CN"/>
        </w:rPr>
        <w:t>GB/T10058-2009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电梯安装验收规范（</w:t>
      </w:r>
      <w:r>
        <w:rPr>
          <w:rFonts w:asciiTheme="minorEastAsia" w:eastAsiaTheme="minorEastAsia" w:hAnsiTheme="minorEastAsia"/>
          <w:sz w:val="21"/>
          <w:szCs w:val="21"/>
          <w:lang w:eastAsia="zh-CN"/>
        </w:rPr>
        <w:t>GB/T10060-2011</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电梯试验方法（</w:t>
      </w:r>
      <w:r>
        <w:rPr>
          <w:rFonts w:asciiTheme="minorEastAsia" w:eastAsiaTheme="minorEastAsia" w:hAnsiTheme="minorEastAsia"/>
          <w:sz w:val="21"/>
          <w:szCs w:val="21"/>
          <w:lang w:eastAsia="zh-CN"/>
        </w:rPr>
        <w:t>GB/T10059-2009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电梯曳引机</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GB/T24478-2009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自动扶梯和自动人行道制造与安装安全规范（</w:t>
      </w:r>
      <w:r>
        <w:rPr>
          <w:rFonts w:asciiTheme="minorEastAsia" w:eastAsiaTheme="minorEastAsia" w:hAnsiTheme="minorEastAsia"/>
          <w:sz w:val="21"/>
          <w:szCs w:val="21"/>
          <w:lang w:eastAsia="zh-CN"/>
        </w:rPr>
        <w:t>GB16899-2011</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电梯、自动扶梯、自动人行道术语（</w:t>
      </w:r>
      <w:r>
        <w:rPr>
          <w:rFonts w:asciiTheme="minorEastAsia" w:eastAsiaTheme="minorEastAsia" w:hAnsiTheme="minorEastAsia"/>
          <w:sz w:val="21"/>
          <w:szCs w:val="21"/>
          <w:lang w:eastAsia="zh-CN"/>
        </w:rPr>
        <w:t>GB/T7024-2008</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24"/>
          <w:footerReference w:type="default" r:id="rId25"/>
          <w:type w:val="nextPage"/>
          <w:pgSz w:w="11909" w:h="16834"/>
          <w:pgMar w:top="1440" w:right="1247" w:bottom="1440" w:left="1440" w:header="709" w:footer="720" w:gutter="0"/>
          <w:pgNumType w:start="8"/>
          <w:cols w:space="720"/>
          <w:titlePg w:val="0"/>
        </w:sectPr>
      </w:pPr>
      <w:r>
        <w:rPr>
          <w:rFonts w:asciiTheme="minorEastAsia" w:eastAsiaTheme="minorEastAsia" w:hAnsiTheme="minorEastAsia" w:hint="eastAsia"/>
          <w:sz w:val="21"/>
          <w:szCs w:val="21"/>
          <w:lang w:eastAsia="zh-CN"/>
        </w:rPr>
        <w:t>电梯主参数及轿厢、井道、机房的型式与尺寸第</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部分：</w:t>
      </w:r>
      <w:r>
        <w:rPr>
          <w:rFonts w:asciiTheme="minorEastAsia" w:eastAsiaTheme="minorEastAsia" w:hAnsiTheme="minorEastAsia"/>
          <w:sz w:val="21"/>
          <w:szCs w:val="21"/>
          <w:lang w:eastAsia="zh-CN"/>
        </w:rPr>
        <w:t>I</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II</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III</w:t>
      </w: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VI</w:t>
      </w:r>
      <w:r>
        <w:rPr>
          <w:rFonts w:asciiTheme="minorEastAsia" w:eastAsiaTheme="minorEastAsia" w:hAnsiTheme="minorEastAsia" w:hint="eastAsia"/>
          <w:sz w:val="21"/>
          <w:szCs w:val="21"/>
          <w:lang w:eastAsia="zh-CN"/>
        </w:rPr>
        <w:t>类电梯（</w:t>
      </w:r>
      <w:r>
        <w:rPr>
          <w:rFonts w:asciiTheme="minorEastAsia" w:eastAsiaTheme="minorEastAsia" w:hAnsiTheme="minorEastAsia"/>
          <w:sz w:val="21"/>
          <w:szCs w:val="21"/>
          <w:lang w:eastAsia="zh-CN"/>
        </w:rPr>
        <w:t>GB/T7025.1-2008</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电梯主参数及轿厢、井道、机房的型式与尺寸第</w:t>
      </w:r>
      <w:r>
        <w:rPr>
          <w:rFonts w:asciiTheme="minorEastAsia" w:eastAsiaTheme="minorEastAsia" w:hAnsiTheme="minorEastAsia"/>
          <w:sz w:val="21"/>
          <w:szCs w:val="21"/>
          <w:lang w:eastAsia="zh-CN"/>
        </w:rPr>
        <w:t>2</w:t>
      </w:r>
      <w:r>
        <w:rPr>
          <w:rFonts w:asciiTheme="minorEastAsia" w:eastAsiaTheme="minorEastAsia" w:hAnsiTheme="minorEastAsia" w:hint="eastAsia"/>
          <w:sz w:val="21"/>
          <w:szCs w:val="21"/>
          <w:lang w:eastAsia="zh-CN"/>
        </w:rPr>
        <w:t>部分：Ⅳ类电梯（</w:t>
      </w:r>
      <w:r>
        <w:rPr>
          <w:rFonts w:asciiTheme="minorEastAsia" w:eastAsiaTheme="minorEastAsia" w:hAnsiTheme="minorEastAsia"/>
          <w:sz w:val="21"/>
          <w:szCs w:val="21"/>
          <w:lang w:eastAsia="zh-CN"/>
        </w:rPr>
        <w:t>GB/T7025.2-2008</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电梯主参数及轿厢、井道、机房的型式与尺寸第三部分：Ⅴ类电梯（</w:t>
      </w:r>
      <w:r>
        <w:rPr>
          <w:rFonts w:asciiTheme="minorEastAsia" w:eastAsiaTheme="minorEastAsia" w:hAnsiTheme="minorEastAsia"/>
          <w:sz w:val="21"/>
          <w:szCs w:val="21"/>
          <w:lang w:eastAsia="zh-CN"/>
        </w:rPr>
        <w:t>GB/T7025.3-1997</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电梯用钢丝绳（</w:t>
      </w:r>
      <w:r>
        <w:rPr>
          <w:rFonts w:asciiTheme="minorEastAsia" w:eastAsiaTheme="minorEastAsia" w:hAnsiTheme="minorEastAsia"/>
          <w:sz w:val="21"/>
          <w:szCs w:val="21"/>
          <w:lang w:eastAsia="zh-CN"/>
        </w:rPr>
        <w:t>GB8903-2005</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杂物电梯（</w:t>
      </w:r>
      <w:r>
        <w:rPr>
          <w:rFonts w:asciiTheme="minorEastAsia" w:eastAsiaTheme="minorEastAsia" w:hAnsiTheme="minorEastAsia"/>
          <w:sz w:val="21"/>
          <w:szCs w:val="21"/>
          <w:lang w:eastAsia="zh-CN"/>
        </w:rPr>
        <w:t>JG135-2000</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交流电梯电动机通用技术条件（</w:t>
      </w:r>
      <w:r>
        <w:rPr>
          <w:rFonts w:asciiTheme="minorEastAsia" w:eastAsiaTheme="minorEastAsia" w:hAnsiTheme="minorEastAsia"/>
          <w:sz w:val="21"/>
          <w:szCs w:val="21"/>
          <w:lang w:eastAsia="zh-CN"/>
        </w:rPr>
        <w:t>GB/T12974-2012</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电梯工程施工质量验收规范（</w:t>
      </w:r>
      <w:r>
        <w:rPr>
          <w:rFonts w:asciiTheme="minorEastAsia" w:eastAsiaTheme="minorEastAsia" w:hAnsiTheme="minorEastAsia"/>
          <w:sz w:val="21"/>
          <w:szCs w:val="21"/>
          <w:lang w:eastAsia="zh-CN"/>
        </w:rPr>
        <w:t>GB50310-2002</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w:t>
      </w:r>
      <w:r>
        <w:rPr>
          <w:rFonts w:asciiTheme="minorEastAsia" w:eastAsiaTheme="minorEastAsia" w:hAnsiTheme="minorEastAsia"/>
          <w:sz w:val="21"/>
          <w:szCs w:val="21"/>
          <w:lang w:eastAsia="zh-CN"/>
        </w:rPr>
        <w:t>T</w:t>
      </w:r>
      <w:r>
        <w:rPr>
          <w:rFonts w:asciiTheme="minorEastAsia" w:eastAsiaTheme="minorEastAsia" w:hAnsiTheme="minorEastAsia" w:hint="eastAsia"/>
          <w:sz w:val="21"/>
          <w:szCs w:val="21"/>
          <w:lang w:eastAsia="zh-CN"/>
        </w:rPr>
        <w:t>型导轨（</w:t>
      </w:r>
      <w:r>
        <w:rPr>
          <w:rFonts w:asciiTheme="minorEastAsia" w:eastAsiaTheme="minorEastAsia" w:hAnsiTheme="minorEastAsia"/>
          <w:sz w:val="21"/>
          <w:szCs w:val="21"/>
          <w:lang w:eastAsia="zh-CN"/>
        </w:rPr>
        <w:t>JG/T5072.1-1996</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电梯对重用空心导轨（</w:t>
      </w:r>
      <w:r>
        <w:rPr>
          <w:rFonts w:asciiTheme="minorEastAsia" w:eastAsiaTheme="minorEastAsia" w:hAnsiTheme="minorEastAsia"/>
          <w:sz w:val="21"/>
          <w:szCs w:val="21"/>
          <w:lang w:eastAsia="zh-CN"/>
        </w:rPr>
        <w:t>JG/T5072.3-1996</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液压电梯（</w:t>
      </w:r>
      <w:r>
        <w:rPr>
          <w:rFonts w:asciiTheme="minorEastAsia" w:eastAsiaTheme="minorEastAsia" w:hAnsiTheme="minorEastAsia"/>
          <w:sz w:val="21"/>
          <w:szCs w:val="21"/>
          <w:lang w:eastAsia="zh-CN"/>
        </w:rPr>
        <w:t>JG5071-1996</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电梯维修规范（</w:t>
      </w:r>
      <w:r>
        <w:rPr>
          <w:rFonts w:asciiTheme="minorEastAsia" w:eastAsiaTheme="minorEastAsia" w:hAnsiTheme="minorEastAsia"/>
          <w:sz w:val="21"/>
          <w:szCs w:val="21"/>
          <w:lang w:val="en-US" w:eastAsia="zh-CN"/>
        </w:rPr>
        <w:t>GB/T18775-2002</w:t>
      </w:r>
      <w:r>
        <w:rPr>
          <w:rFonts w:asciiTheme="minorEastAsia" w:eastAsiaTheme="minorEastAsia" w:hAnsiTheme="minorEastAsia" w:hint="eastAsia"/>
          <w:sz w:val="21"/>
          <w:szCs w:val="21"/>
          <w:lang w:val="en-US"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进出口升降机（电梯）检验规程通用要求（</w:t>
      </w:r>
      <w:r>
        <w:rPr>
          <w:rFonts w:asciiTheme="minorEastAsia" w:eastAsiaTheme="minorEastAsia" w:hAnsiTheme="minorEastAsia"/>
          <w:sz w:val="21"/>
          <w:szCs w:val="21"/>
          <w:lang w:val="en-US" w:eastAsia="zh-CN"/>
        </w:rPr>
        <w:t>SN/T0814-2012</w:t>
      </w:r>
      <w:r>
        <w:rPr>
          <w:rFonts w:asciiTheme="minorEastAsia" w:eastAsiaTheme="minorEastAsia" w:hAnsiTheme="minorEastAsia" w:hint="eastAsia"/>
          <w:sz w:val="21"/>
          <w:szCs w:val="21"/>
          <w:lang w:val="en-US"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自动扶梯梯级链、附件和链轮（</w:t>
      </w:r>
      <w:r>
        <w:rPr>
          <w:rFonts w:asciiTheme="minorEastAsia" w:eastAsiaTheme="minorEastAsia" w:hAnsiTheme="minorEastAsia"/>
          <w:sz w:val="21"/>
          <w:szCs w:val="21"/>
          <w:lang w:eastAsia="zh-CN"/>
        </w:rPr>
        <w:t>JB/T8545-2010</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电梯钢丝绳用钢丝（</w:t>
      </w:r>
      <w:r>
        <w:rPr>
          <w:rFonts w:asciiTheme="minorEastAsia" w:eastAsiaTheme="minorEastAsia" w:hAnsiTheme="minorEastAsia"/>
          <w:sz w:val="21"/>
          <w:szCs w:val="21"/>
          <w:lang w:eastAsia="zh-CN"/>
        </w:rPr>
        <w:t>YB/T5198-2004</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电梯导轨用热压型钢（</w:t>
      </w:r>
      <w:r>
        <w:rPr>
          <w:rFonts w:asciiTheme="minorEastAsia" w:eastAsiaTheme="minorEastAsia" w:hAnsiTheme="minorEastAsia"/>
          <w:sz w:val="21"/>
          <w:szCs w:val="21"/>
          <w:lang w:eastAsia="zh-CN"/>
        </w:rPr>
        <w:t>YB/T157-1999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机械设备安装工程施工及验收通用规范（</w:t>
      </w:r>
      <w:r>
        <w:rPr>
          <w:rFonts w:asciiTheme="minorEastAsia" w:eastAsiaTheme="minorEastAsia" w:hAnsiTheme="minorEastAsia"/>
          <w:sz w:val="21"/>
          <w:szCs w:val="21"/>
          <w:lang w:eastAsia="zh-CN"/>
        </w:rPr>
        <w:t>GB50231-2009</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建筑电气工程施工质量验收规范</w:t>
      </w:r>
      <w:r>
        <w:rPr>
          <w:rFonts w:asciiTheme="minorEastAsia" w:eastAsiaTheme="minorEastAsia" w:hAnsiTheme="minorEastAsia"/>
          <w:sz w:val="21"/>
          <w:szCs w:val="21"/>
          <w:lang w:eastAsia="zh-CN"/>
        </w:rPr>
        <w:t xml:space="preserve"> (GB50303-2015)</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智能建筑施工质量验收规范</w:t>
      </w:r>
      <w:r>
        <w:rPr>
          <w:rFonts w:asciiTheme="minorEastAsia" w:eastAsiaTheme="minorEastAsia" w:hAnsiTheme="minorEastAsia"/>
          <w:sz w:val="21"/>
          <w:szCs w:val="21"/>
          <w:lang w:eastAsia="zh-CN"/>
        </w:rPr>
        <w:t>(GB50339-2013)</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火灾自动报警系统施工及验收规范</w:t>
      </w:r>
      <w:r>
        <w:rPr>
          <w:rFonts w:asciiTheme="minorEastAsia" w:eastAsiaTheme="minorEastAsia" w:hAnsiTheme="minorEastAsia"/>
          <w:sz w:val="21"/>
          <w:szCs w:val="21"/>
          <w:lang w:eastAsia="zh-CN"/>
        </w:rPr>
        <w:t>(GB 50166—2019)</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公共建筑电磁兼容设计规范</w:t>
      </w:r>
      <w:r>
        <w:rPr>
          <w:rFonts w:asciiTheme="minorEastAsia" w:eastAsiaTheme="minorEastAsia" w:hAnsiTheme="minorEastAsia"/>
          <w:sz w:val="21"/>
          <w:szCs w:val="21"/>
          <w:lang w:val="en-US" w:eastAsia="zh-CN"/>
        </w:rPr>
        <w:t>(DG/TJ08-1104-2005)</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 xml:space="preserve">GB/T 24807-2009 </w:t>
      </w:r>
      <w:r>
        <w:rPr>
          <w:rFonts w:asciiTheme="minorEastAsia" w:eastAsiaTheme="minorEastAsia" w:hAnsiTheme="minorEastAsia" w:hint="eastAsia"/>
          <w:sz w:val="21"/>
          <w:szCs w:val="21"/>
          <w:lang w:eastAsia="zh-CN"/>
        </w:rPr>
        <w:t>电磁兼容</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电梯、自动扶梯和自动人行道的产品系列标准</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发射</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 xml:space="preserve">GB/T 24808-2009 </w:t>
      </w:r>
      <w:r>
        <w:rPr>
          <w:rFonts w:asciiTheme="minorEastAsia" w:eastAsiaTheme="minorEastAsia" w:hAnsiTheme="minorEastAsia" w:hint="eastAsia"/>
          <w:sz w:val="21"/>
          <w:szCs w:val="21"/>
          <w:lang w:eastAsia="zh-CN"/>
        </w:rPr>
        <w:t>电磁兼容</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电梯、自动扶梯和自动人行道的产品系列标准</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抗扰度</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 xml:space="preserve">GB/T 24480-2009 </w:t>
      </w:r>
      <w:r>
        <w:rPr>
          <w:rFonts w:asciiTheme="minorEastAsia" w:eastAsiaTheme="minorEastAsia" w:hAnsiTheme="minorEastAsia" w:hint="eastAsia"/>
          <w:sz w:val="21"/>
          <w:szCs w:val="21"/>
          <w:lang w:eastAsia="zh-CN"/>
        </w:rPr>
        <w:t>电梯层门耐火试验</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 xml:space="preserve">GB 24803.1-2009 </w:t>
      </w:r>
      <w:r>
        <w:rPr>
          <w:rFonts w:asciiTheme="minorEastAsia" w:eastAsiaTheme="minorEastAsia" w:hAnsiTheme="minorEastAsia" w:hint="eastAsia"/>
          <w:sz w:val="21"/>
          <w:szCs w:val="21"/>
          <w:lang w:eastAsia="zh-CN"/>
        </w:rPr>
        <w:t>电梯安全要求</w:t>
      </w:r>
      <w:r>
        <w:rPr>
          <w:rFonts w:asciiTheme="minorEastAsia" w:eastAsiaTheme="minorEastAsia" w:hAnsiTheme="minorEastAsia"/>
          <w:sz w:val="21"/>
          <w:szCs w:val="21"/>
          <w:lang w:eastAsia="zh-CN"/>
        </w:rPr>
        <w:t xml:space="preserve"> </w:t>
      </w:r>
      <w:r>
        <w:rPr>
          <w:rFonts w:asciiTheme="minorEastAsia" w:eastAsiaTheme="minorEastAsia" w:hAnsiTheme="minorEastAsia" w:hint="eastAsia"/>
          <w:sz w:val="21"/>
          <w:szCs w:val="21"/>
          <w:lang w:eastAsia="zh-CN"/>
        </w:rPr>
        <w:t>第</w:t>
      </w:r>
      <w:r>
        <w:rPr>
          <w:rFonts w:asciiTheme="minorEastAsia" w:eastAsiaTheme="minorEastAsia" w:hAnsiTheme="minorEastAsia"/>
          <w:sz w:val="21"/>
          <w:szCs w:val="21"/>
          <w:lang w:eastAsia="zh-CN"/>
        </w:rPr>
        <w:t>1</w:t>
      </w:r>
      <w:r>
        <w:rPr>
          <w:rFonts w:asciiTheme="minorEastAsia" w:eastAsiaTheme="minorEastAsia" w:hAnsiTheme="minorEastAsia" w:hint="eastAsia"/>
          <w:sz w:val="21"/>
          <w:szCs w:val="21"/>
          <w:lang w:eastAsia="zh-CN"/>
        </w:rPr>
        <w:t>部分：电梯基本安全要求</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GB/T 24477-2009</w:t>
      </w:r>
      <w:r>
        <w:rPr>
          <w:rFonts w:asciiTheme="minorEastAsia" w:eastAsiaTheme="minorEastAsia" w:hAnsiTheme="minorEastAsia"/>
          <w:b/>
          <w:bCs/>
          <w:sz w:val="21"/>
          <w:szCs w:val="21"/>
          <w:lang w:eastAsia="zh-CN"/>
        </w:rPr>
        <w:t xml:space="preserve"> </w:t>
      </w:r>
      <w:r>
        <w:rPr>
          <w:rFonts w:asciiTheme="minorEastAsia" w:eastAsiaTheme="minorEastAsia" w:hAnsiTheme="minorEastAsia" w:hint="eastAsia"/>
          <w:sz w:val="21"/>
          <w:szCs w:val="21"/>
          <w:lang w:eastAsia="zh-CN"/>
        </w:rPr>
        <w:t>适用于残障人员的电梯附加要求</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GB/T 24475-2009</w:t>
      </w:r>
      <w:r>
        <w:rPr>
          <w:rFonts w:asciiTheme="minorEastAsia" w:eastAsiaTheme="minorEastAsia" w:hAnsiTheme="minorEastAsia"/>
          <w:b/>
          <w:bCs/>
          <w:sz w:val="21"/>
          <w:szCs w:val="21"/>
          <w:lang w:eastAsia="zh-CN"/>
        </w:rPr>
        <w:t xml:space="preserve"> </w:t>
      </w:r>
      <w:r>
        <w:rPr>
          <w:rFonts w:asciiTheme="minorEastAsia" w:eastAsiaTheme="minorEastAsia" w:hAnsiTheme="minorEastAsia" w:hint="eastAsia"/>
          <w:sz w:val="21"/>
          <w:szCs w:val="21"/>
          <w:lang w:eastAsia="zh-CN"/>
        </w:rPr>
        <w:t>电梯远程报警系统</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bCs/>
          <w:sz w:val="21"/>
          <w:szCs w:val="21"/>
          <w:lang w:eastAsia="zh-CN"/>
        </w:rPr>
        <w:t>GB/T 24474-2009</w:t>
      </w:r>
      <w:r>
        <w:rPr>
          <w:rFonts w:asciiTheme="minorEastAsia" w:eastAsiaTheme="minorEastAsia" w:hAnsiTheme="minorEastAsia"/>
          <w:b/>
          <w:bCs/>
          <w:sz w:val="21"/>
          <w:szCs w:val="21"/>
          <w:lang w:eastAsia="zh-CN"/>
        </w:rPr>
        <w:t xml:space="preserve"> </w:t>
      </w:r>
      <w:r>
        <w:rPr>
          <w:rFonts w:asciiTheme="minorEastAsia" w:eastAsiaTheme="minorEastAsia" w:hAnsiTheme="minorEastAsia" w:hint="eastAsia"/>
          <w:sz w:val="21"/>
          <w:szCs w:val="21"/>
          <w:lang w:eastAsia="zh-CN"/>
        </w:rPr>
        <w:t>电梯乘运质量测量</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 xml:space="preserve">GB/T 27903-2011 </w:t>
      </w:r>
      <w:r>
        <w:rPr>
          <w:rFonts w:asciiTheme="minorEastAsia" w:eastAsiaTheme="minorEastAsia" w:hAnsiTheme="minorEastAsia" w:hint="eastAsia"/>
          <w:sz w:val="21"/>
          <w:szCs w:val="21"/>
          <w:lang w:eastAsia="zh-CN"/>
        </w:rPr>
        <w:t>电梯层门耐火试验完整性、隔热性和热通量测定法</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进口产品除符合以上国家标准外，还应符合设备进口国的相关标准：</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国际电气技术委员会标准（</w:t>
      </w:r>
      <w:r>
        <w:rPr>
          <w:rFonts w:asciiTheme="minorEastAsia" w:eastAsiaTheme="minorEastAsia" w:hAnsiTheme="minorEastAsia"/>
          <w:sz w:val="21"/>
          <w:szCs w:val="21"/>
          <w:lang w:eastAsia="zh-CN"/>
        </w:rPr>
        <w:t>IEC</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英国标准和施工规范（</w:t>
      </w:r>
      <w:r>
        <w:rPr>
          <w:rFonts w:asciiTheme="minorEastAsia" w:eastAsiaTheme="minorEastAsia" w:hAnsiTheme="minorEastAsia"/>
          <w:sz w:val="21"/>
          <w:szCs w:val="21"/>
          <w:lang w:eastAsia="zh-CN"/>
        </w:rPr>
        <w:t>BRITISH STANDARD AND CODE OF PRACTICE</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英国电机工程师学会布线规例（</w:t>
      </w:r>
      <w:r>
        <w:rPr>
          <w:rFonts w:asciiTheme="minorEastAsia" w:eastAsiaTheme="minorEastAsia" w:hAnsiTheme="minorEastAsia"/>
          <w:sz w:val="21"/>
          <w:szCs w:val="21"/>
          <w:lang w:eastAsia="zh-CN"/>
        </w:rPr>
        <w:t>IEE REGULATION</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欧洲标准委员会标准（</w:t>
      </w:r>
      <w:r>
        <w:rPr>
          <w:rFonts w:asciiTheme="minorEastAsia" w:eastAsiaTheme="minorEastAsia" w:hAnsiTheme="minorEastAsia"/>
          <w:sz w:val="21"/>
          <w:szCs w:val="21"/>
          <w:lang w:eastAsia="zh-CN"/>
        </w:rPr>
        <w:t>EN115</w:t>
      </w:r>
      <w:r>
        <w:rPr>
          <w:rFonts w:asciiTheme="minorEastAsia" w:eastAsiaTheme="minorEastAsia" w:hAnsiTheme="minorEastAsia" w:hint="eastAsia"/>
          <w:sz w:val="21"/>
          <w:szCs w:val="21"/>
          <w:lang w:eastAsia="zh-CN"/>
        </w:rPr>
        <w:t>）</w:t>
      </w:r>
    </w:p>
    <w:p w:rsidR="003104A5">
      <w:pPr>
        <w:numPr>
          <w:ilvl w:val="0"/>
          <w:numId w:val="15"/>
        </w:numPr>
        <w:tabs>
          <w:tab w:val="clear" w:pos="1440"/>
          <w:tab w:val="left" w:pos="1620"/>
        </w:tabs>
        <w:spacing w:before="120" w:beforeLines="50" w:after="120" w:afterLines="50"/>
        <w:ind w:left="1620" w:hanging="540"/>
        <w:jc w:val="both"/>
        <w:rPr>
          <w:rFonts w:asciiTheme="minorEastAsia" w:eastAsiaTheme="minorEastAsia" w:hAnsiTheme="minorEastAsia"/>
          <w:sz w:val="21"/>
          <w:szCs w:val="21"/>
          <w:lang w:eastAsia="zh-CN"/>
        </w:rPr>
        <w:sectPr>
          <w:headerReference w:type="default" r:id="rId26"/>
          <w:footerReference w:type="default" r:id="rId27"/>
          <w:type w:val="nextPage"/>
          <w:pgSz w:w="11909" w:h="16834"/>
          <w:pgMar w:top="1440" w:right="1247" w:bottom="1440" w:left="1440" w:header="709" w:footer="720" w:gutter="0"/>
          <w:pgNumType w:start="9"/>
          <w:cols w:space="720"/>
          <w:titlePg w:val="0"/>
        </w:sectPr>
      </w:pPr>
      <w:r>
        <w:rPr>
          <w:rFonts w:asciiTheme="minorEastAsia" w:eastAsiaTheme="minorEastAsia" w:hAnsiTheme="minorEastAsia" w:hint="eastAsia"/>
          <w:sz w:val="21"/>
          <w:szCs w:val="21"/>
          <w:lang w:eastAsia="zh-CN"/>
        </w:rPr>
        <w:t>英国屋宇设备工程手册（</w:t>
      </w:r>
      <w:r>
        <w:rPr>
          <w:rFonts w:asciiTheme="minorEastAsia" w:eastAsiaTheme="minorEastAsia" w:hAnsiTheme="minorEastAsia"/>
          <w:sz w:val="21"/>
          <w:szCs w:val="21"/>
          <w:lang w:eastAsia="zh-CN"/>
        </w:rPr>
        <w:t>CIBSE GUIDE</w:t>
      </w:r>
      <w:r>
        <w:rPr>
          <w:rFonts w:asciiTheme="minorEastAsia" w:eastAsiaTheme="minorEastAsia" w:hAnsiTheme="minorEastAsia" w:hint="eastAsia"/>
          <w:sz w:val="21"/>
          <w:szCs w:val="21"/>
          <w:lang w:eastAsia="zh-CN"/>
        </w:rPr>
        <w:t>）</w:t>
      </w:r>
    </w:p>
    <w:p w:rsidR="003104A5">
      <w:pPr>
        <w:pStyle w:val="ReportLevel2"/>
        <w:spacing w:before="240" w:beforeLines="100" w:after="240" w:afterLines="100"/>
        <w:jc w:val="both"/>
        <w:rPr>
          <w:rFonts w:asciiTheme="minorEastAsia" w:eastAsiaTheme="minorEastAsia" w:hAnsiTheme="minorEastAsia"/>
          <w:sz w:val="21"/>
          <w:szCs w:val="21"/>
          <w:lang w:val="en-US"/>
        </w:rPr>
      </w:pPr>
      <w:r>
        <w:rPr>
          <w:rFonts w:asciiTheme="minorEastAsia" w:eastAsiaTheme="minorEastAsia" w:hAnsiTheme="minorEastAsia" w:hint="eastAsia"/>
          <w:sz w:val="21"/>
          <w:szCs w:val="21"/>
          <w:lang w:val="en-US"/>
        </w:rPr>
        <w:t>当上述标准或当地政府及有关部门的特别要求，在技术要求上与本技术规格说明书所规定的发生抵触时，或技术规格说明书和图纸上所标注或要求有互相矛盾时，或技术规格说明书内有关章节的要求有互相矛盾时，承包单位必须向业主或其指定代表反映，至于应遵从哪个准则，将由业主或其指定代表决定，而有关最终决定不构成任何造价变更。在一般情况下，当技术规范说明书的第一部分，第二部分及第三部分说明书有互相冲击时，承包单位按下列优先程序处理：</w:t>
      </w:r>
    </w:p>
    <w:p w:rsidR="003104A5">
      <w:pPr>
        <w:pStyle w:val="ReportText"/>
        <w:numPr>
          <w:ilvl w:val="1"/>
          <w:numId w:val="59"/>
        </w:numPr>
        <w:spacing w:before="120" w:beforeLines="50" w:after="120" w:afterLines="50"/>
        <w:rPr>
          <w:rFonts w:asciiTheme="minorEastAsia" w:eastAsiaTheme="minorEastAsia" w:hAnsiTheme="minorEastAsia"/>
          <w:sz w:val="21"/>
          <w:szCs w:val="21"/>
          <w:lang w:val="en-US" w:eastAsia="zh-TW"/>
        </w:rPr>
      </w:pPr>
      <w:r>
        <w:rPr>
          <w:rFonts w:asciiTheme="minorEastAsia" w:eastAsiaTheme="minorEastAsia" w:hAnsiTheme="minorEastAsia" w:hint="eastAsia"/>
          <w:sz w:val="21"/>
          <w:szCs w:val="21"/>
          <w:lang w:val="en-US" w:eastAsia="zh-CN"/>
        </w:rPr>
        <w:t>按第一部分</w:t>
      </w:r>
    </w:p>
    <w:p w:rsidR="003104A5">
      <w:pPr>
        <w:pStyle w:val="ReportText"/>
        <w:numPr>
          <w:ilvl w:val="1"/>
          <w:numId w:val="59"/>
        </w:numPr>
        <w:spacing w:before="120" w:beforeLines="50" w:after="120" w:afterLines="50"/>
        <w:rPr>
          <w:rFonts w:asciiTheme="minorEastAsia" w:eastAsiaTheme="minorEastAsia" w:hAnsiTheme="minorEastAsia"/>
          <w:sz w:val="21"/>
          <w:szCs w:val="21"/>
          <w:lang w:val="en-US" w:eastAsia="zh-TW"/>
        </w:rPr>
      </w:pPr>
      <w:r>
        <w:rPr>
          <w:rFonts w:asciiTheme="minorEastAsia" w:eastAsiaTheme="minorEastAsia" w:hAnsiTheme="minorEastAsia" w:hint="eastAsia"/>
          <w:sz w:val="21"/>
          <w:szCs w:val="21"/>
          <w:lang w:val="en-US" w:eastAsia="zh-CN"/>
        </w:rPr>
        <w:t>按第三部分</w:t>
      </w:r>
    </w:p>
    <w:p w:rsidR="003104A5">
      <w:pPr>
        <w:pStyle w:val="ReportText"/>
        <w:numPr>
          <w:ilvl w:val="1"/>
          <w:numId w:val="59"/>
        </w:numPr>
        <w:spacing w:before="120" w:beforeLines="50" w:after="120" w:afterLines="5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按第二部分</w:t>
      </w:r>
    </w:p>
    <w:p w:rsidR="003104A5">
      <w:pPr>
        <w:pStyle w:val="ReportLevel2"/>
        <w:spacing w:before="240" w:beforeLines="100" w:after="240" w:afterLines="100"/>
        <w:rPr>
          <w:rFonts w:asciiTheme="minorEastAsia" w:eastAsiaTheme="minorEastAsia" w:hAnsiTheme="minorEastAsia"/>
          <w:sz w:val="21"/>
          <w:szCs w:val="21"/>
        </w:rPr>
      </w:pPr>
      <w:r>
        <w:rPr>
          <w:rFonts w:asciiTheme="minorEastAsia" w:eastAsiaTheme="minorEastAsia" w:hAnsiTheme="minorEastAsia" w:hint="eastAsia"/>
          <w:sz w:val="21"/>
          <w:szCs w:val="21"/>
        </w:rPr>
        <w:t>承包单位所提供的有关设备以及电梯的安装必须满足技术监督局的资质要求。</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所</w:t>
      </w:r>
      <w:r>
        <w:rPr>
          <w:rFonts w:asciiTheme="minorEastAsia" w:eastAsiaTheme="minorEastAsia" w:hAnsiTheme="minorEastAsia" w:hint="eastAsia"/>
          <w:sz w:val="21"/>
          <w:szCs w:val="21"/>
          <w:lang w:val="en-US"/>
        </w:rPr>
        <w:t>提供</w:t>
      </w:r>
      <w:r>
        <w:rPr>
          <w:rFonts w:asciiTheme="minorEastAsia" w:eastAsiaTheme="minorEastAsia" w:hAnsiTheme="minorEastAsia" w:hint="eastAsia"/>
          <w:sz w:val="21"/>
          <w:szCs w:val="21"/>
        </w:rPr>
        <w:t>的有关设备和所建议的系统设计需获得当地消防局、卫生防疫站、供电局、环保局、技术监督局及其它有关部门的书面认可。</w:t>
      </w:r>
    </w:p>
    <w:p w:rsidR="003104A5">
      <w:pPr>
        <w:spacing w:before="120" w:beforeLines="50" w:after="120" w:afterLines="50"/>
        <w:rPr>
          <w:rFonts w:asciiTheme="minorEastAsia" w:eastAsiaTheme="minorEastAsia" w:hAnsiTheme="minorEastAsia"/>
          <w:b/>
          <w:caps/>
          <w:sz w:val="21"/>
          <w:szCs w:val="21"/>
          <w:lang w:val="en-US" w:eastAsia="zh-CN"/>
        </w:rPr>
        <w:sectPr>
          <w:headerReference w:type="default" r:id="rId28"/>
          <w:footerReference w:type="default" r:id="rId29"/>
          <w:type w:val="nextPage"/>
          <w:pgSz w:w="11909" w:h="16834"/>
          <w:pgMar w:top="1440" w:right="1247" w:bottom="1440" w:left="1440" w:header="709" w:footer="720" w:gutter="0"/>
          <w:pgNumType w:start="10"/>
          <w:cols w:space="720"/>
          <w:titlePg w:val="0"/>
        </w:sectPr>
      </w:pPr>
      <w:bookmarkStart w:id="37" w:name="_Toc90892966"/>
      <w:bookmarkStart w:id="38" w:name="_Toc77057505"/>
      <w:bookmarkStart w:id="39" w:name="_Toc73796487"/>
      <w:bookmarkStart w:id="40" w:name="_Toc73796377"/>
    </w:p>
    <w:p w:rsidR="003104A5">
      <w:pPr>
        <w:pStyle w:val="ReportLevel1"/>
        <w:spacing w:before="240" w:beforeLines="100" w:after="240" w:afterLines="100"/>
        <w:rPr>
          <w:rFonts w:asciiTheme="minorEastAsia" w:eastAsiaTheme="minorEastAsia" w:hAnsiTheme="minorEastAsia"/>
          <w:sz w:val="21"/>
          <w:szCs w:val="21"/>
          <w:lang w:val="en-US"/>
        </w:rPr>
      </w:pPr>
      <w:bookmarkStart w:id="41" w:name="_Toc54958243"/>
      <w:r>
        <w:rPr>
          <w:rFonts w:asciiTheme="minorEastAsia" w:eastAsiaTheme="minorEastAsia" w:hAnsiTheme="minorEastAsia" w:hint="eastAsia"/>
          <w:sz w:val="21"/>
          <w:szCs w:val="21"/>
          <w:lang w:val="en-US"/>
        </w:rPr>
        <w:t>当地环境情况</w:t>
      </w:r>
      <w:bookmarkEnd w:id="37"/>
      <w:bookmarkEnd w:id="38"/>
      <w:bookmarkEnd w:id="39"/>
      <w:bookmarkEnd w:id="40"/>
      <w:bookmarkEnd w:id="41"/>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在设计、制造、装配、检验和调试本技术规格说明书内所要求的仪器和设备时，必须考虑有关工程所在地（深圳市）的气候情况，以下所列气象资料供参考：</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温度</w:t>
      </w:r>
    </w:p>
    <w:tbl>
      <w:tblPr>
        <w:tblStyle w:val="TableNormal"/>
        <w:tblW w:w="0" w:type="auto"/>
        <w:tblInd w:w="1098" w:type="dxa"/>
        <w:tblLook w:val="04A0"/>
      </w:tblPr>
      <w:tblGrid>
        <w:gridCol w:w="3780"/>
        <w:gridCol w:w="2383"/>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夏季：</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极端温度（干球）</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39.4</w:t>
            </w:r>
            <w:r>
              <w:rPr>
                <w:rFonts w:asciiTheme="minorEastAsia" w:eastAsiaTheme="minorEastAsia" w:hAnsiTheme="minorEastAsia" w:hint="eastAsia"/>
                <w:sz w:val="21"/>
                <w:szCs w:val="21"/>
                <w:lang w:val="en-US" w:eastAsia="zh-CN"/>
              </w:rPr>
              <w:t>度摄氏</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最热月份的平均温度（干球）</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27.7</w:t>
            </w:r>
            <w:r>
              <w:rPr>
                <w:rFonts w:asciiTheme="minorEastAsia" w:eastAsiaTheme="minorEastAsia" w:hAnsiTheme="minorEastAsia" w:hint="eastAsia"/>
                <w:sz w:val="21"/>
                <w:szCs w:val="21"/>
                <w:lang w:val="en-US" w:eastAsia="zh-CN"/>
              </w:rPr>
              <w:t>度摄氏</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夏季通风温度（干球）</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31.2</w:t>
            </w:r>
            <w:r>
              <w:rPr>
                <w:rFonts w:asciiTheme="minorEastAsia" w:eastAsiaTheme="minorEastAsia" w:hAnsiTheme="minorEastAsia" w:hint="eastAsia"/>
                <w:sz w:val="21"/>
                <w:szCs w:val="21"/>
                <w:lang w:val="en-US" w:eastAsia="zh-CN"/>
              </w:rPr>
              <w:t>度摄氏</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冬季：</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极端温度（干球）</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-10.1</w:t>
            </w:r>
            <w:r>
              <w:rPr>
                <w:rFonts w:asciiTheme="minorEastAsia" w:eastAsiaTheme="minorEastAsia" w:hAnsiTheme="minorEastAsia" w:hint="eastAsia"/>
                <w:sz w:val="21"/>
                <w:szCs w:val="21"/>
                <w:lang w:val="en-US" w:eastAsia="zh-CN"/>
              </w:rPr>
              <w:t>度摄氏</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极端</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指记录所得的最低温度</w:t>
            </w:r>
            <w:r>
              <w:rPr>
                <w:rFonts w:asciiTheme="minorEastAsia" w:eastAsiaTheme="minorEastAsia" w:hAnsiTheme="minorEastAsia"/>
                <w:sz w:val="21"/>
                <w:szCs w:val="21"/>
                <w:lang w:val="en-US" w:eastAsia="zh-CN"/>
              </w:rPr>
              <w:t>)</w:t>
            </w:r>
          </w:p>
        </w:tc>
        <w:tc>
          <w:tcPr>
            <w:tcW w:w="2383" w:type="dxa"/>
          </w:tcPr>
          <w:p w:rsidR="003104A5">
            <w:pPr>
              <w:spacing w:after="120" w:afterLines="50"/>
              <w:jc w:val="both"/>
              <w:rPr>
                <w:rFonts w:asciiTheme="minorEastAsia" w:eastAsiaTheme="minorEastAsia" w:hAnsiTheme="minorEastAsia"/>
                <w:sz w:val="21"/>
                <w:szCs w:val="21"/>
                <w:lang w:eastAsia="zh-CN"/>
              </w:rPr>
            </w:pP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海拔</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0</w:t>
            </w:r>
            <w:r>
              <w:rPr>
                <w:rFonts w:asciiTheme="minorEastAsia" w:eastAsiaTheme="minorEastAsia" w:hAnsiTheme="minorEastAsia" w:hint="eastAsia"/>
                <w:sz w:val="21"/>
                <w:szCs w:val="21"/>
                <w:lang w:val="en-US" w:eastAsia="zh-CN"/>
              </w:rPr>
              <w:t>～</w:t>
            </w:r>
            <w:r>
              <w:rPr>
                <w:rFonts w:asciiTheme="minorEastAsia" w:eastAsiaTheme="minorEastAsia" w:hAnsiTheme="minorEastAsia"/>
                <w:sz w:val="21"/>
                <w:szCs w:val="21"/>
                <w:lang w:val="en-US" w:eastAsia="zh-CN"/>
              </w:rPr>
              <w:t>10</w:t>
            </w:r>
            <w:r>
              <w:rPr>
                <w:rFonts w:asciiTheme="minorEastAsia" w:eastAsiaTheme="minorEastAsia" w:hAnsiTheme="minorEastAsia" w:hint="eastAsia"/>
                <w:sz w:val="21"/>
                <w:szCs w:val="21"/>
                <w:lang w:val="en-US" w:eastAsia="zh-CN"/>
              </w:rPr>
              <w:t>米</w:t>
            </w:r>
            <w:r>
              <w:rPr>
                <w:rFonts w:asciiTheme="minorEastAsia" w:eastAsiaTheme="minorEastAsia" w:hAnsiTheme="minorEastAsia"/>
                <w:sz w:val="21"/>
                <w:szCs w:val="21"/>
                <w:lang w:val="en-US" w:eastAsia="zh-CN"/>
              </w:rPr>
              <w:t xml:space="preserve">   </w:t>
            </w:r>
          </w:p>
        </w:tc>
      </w:tr>
      <w:tr>
        <w:tblPrEx>
          <w:tblW w:w="0" w:type="auto"/>
          <w:tblInd w:w="1098" w:type="dxa"/>
          <w:tblLook w:val="04A0"/>
        </w:tblPrEx>
        <w:trPr>
          <w:cantSplit/>
        </w:trPr>
        <w:tc>
          <w:tcPr>
            <w:tcW w:w="6163" w:type="dxa"/>
            <w:gridSpan w:val="2"/>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val="en-US" w:eastAsia="zh-CN"/>
              </w:rPr>
              <w:t>夏季：</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39.4</w:t>
            </w:r>
            <w:r>
              <w:rPr>
                <w:rFonts w:asciiTheme="minorEastAsia" w:eastAsiaTheme="minorEastAsia" w:hAnsiTheme="minorEastAsia" w:hint="eastAsia"/>
                <w:sz w:val="21"/>
                <w:szCs w:val="21"/>
                <w:lang w:val="en-US" w:eastAsia="zh-CN"/>
              </w:rPr>
              <w:t>度摄氏</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极端</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指记录所得的最高温度</w:t>
            </w:r>
            <w:r>
              <w:rPr>
                <w:rFonts w:asciiTheme="minorEastAsia" w:eastAsiaTheme="minorEastAsia" w:hAnsiTheme="minorEastAsia"/>
                <w:sz w:val="21"/>
                <w:szCs w:val="21"/>
                <w:lang w:val="en-US" w:eastAsia="zh-CN"/>
              </w:rPr>
              <w:t>)</w:t>
            </w:r>
          </w:p>
        </w:tc>
        <w:tc>
          <w:tcPr>
            <w:tcW w:w="2383" w:type="dxa"/>
          </w:tcPr>
          <w:p w:rsidR="003104A5">
            <w:pPr>
              <w:spacing w:after="120" w:afterLines="50"/>
              <w:jc w:val="both"/>
              <w:rPr>
                <w:rFonts w:asciiTheme="minorEastAsia" w:eastAsiaTheme="minorEastAsia" w:hAnsiTheme="minorEastAsia"/>
                <w:sz w:val="21"/>
                <w:szCs w:val="21"/>
                <w:lang w:val="en-US" w:eastAsia="zh-CN"/>
              </w:rPr>
            </w:pPr>
          </w:p>
        </w:tc>
      </w:tr>
    </w:tbl>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平均风速</w:t>
      </w:r>
    </w:p>
    <w:tbl>
      <w:tblPr>
        <w:tblStyle w:val="TableNormal"/>
        <w:tblW w:w="0" w:type="auto"/>
        <w:tblInd w:w="1098" w:type="dxa"/>
        <w:tblLook w:val="04A0"/>
      </w:tblPr>
      <w:tblGrid>
        <w:gridCol w:w="3780"/>
        <w:gridCol w:w="2383"/>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冬季</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2</w:t>
            </w:r>
            <w:r>
              <w:rPr>
                <w:rFonts w:asciiTheme="minorEastAsia" w:eastAsiaTheme="minorEastAsia" w:hAnsiTheme="minorEastAsia"/>
                <w:sz w:val="21"/>
                <w:szCs w:val="21"/>
                <w:lang w:eastAsia="zh-TW"/>
              </w:rPr>
              <w:t>.</w:t>
            </w:r>
            <w:r>
              <w:rPr>
                <w:rFonts w:asciiTheme="minorEastAsia" w:eastAsiaTheme="minorEastAsia" w:hAnsiTheme="minorEastAsia"/>
                <w:sz w:val="21"/>
                <w:szCs w:val="21"/>
                <w:lang w:eastAsia="zh-CN"/>
              </w:rPr>
              <w:t>6</w:t>
            </w:r>
            <w:r>
              <w:rPr>
                <w:rFonts w:asciiTheme="minorEastAsia" w:eastAsiaTheme="minorEastAsia" w:hAnsiTheme="minorEastAsia" w:hint="eastAsia"/>
                <w:sz w:val="21"/>
                <w:szCs w:val="21"/>
                <w:lang w:eastAsia="zh-CN"/>
              </w:rPr>
              <w:t>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秒</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夏季</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3.1</w:t>
            </w:r>
            <w:r>
              <w:rPr>
                <w:rFonts w:asciiTheme="minorEastAsia" w:eastAsiaTheme="minorEastAsia" w:hAnsiTheme="minorEastAsia" w:hint="eastAsia"/>
                <w:sz w:val="21"/>
                <w:szCs w:val="21"/>
                <w:lang w:eastAsia="zh-CN"/>
              </w:rPr>
              <w:t>米</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秒</w:t>
            </w:r>
          </w:p>
        </w:tc>
      </w:tr>
    </w:tbl>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地震</w:t>
      </w:r>
      <w:r>
        <w:rPr>
          <w:rFonts w:asciiTheme="minorEastAsia" w:eastAsiaTheme="minorEastAsia" w:hAnsiTheme="minorEastAsia"/>
          <w:sz w:val="21"/>
          <w:szCs w:val="21"/>
        </w:rPr>
        <w:t xml:space="preserve"> </w:t>
      </w:r>
    </w:p>
    <w:tbl>
      <w:tblPr>
        <w:tblStyle w:val="TableNormal"/>
        <w:tblW w:w="0" w:type="auto"/>
        <w:tblInd w:w="1098" w:type="dxa"/>
        <w:tblLook w:val="04A0"/>
      </w:tblPr>
      <w:tblGrid>
        <w:gridCol w:w="3780"/>
        <w:gridCol w:w="2383"/>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基本烈度（中国标准）</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7</w:t>
            </w:r>
            <w:r>
              <w:rPr>
                <w:rFonts w:asciiTheme="minorEastAsia" w:eastAsiaTheme="minorEastAsia" w:hAnsiTheme="minorEastAsia" w:hint="eastAsia"/>
                <w:sz w:val="21"/>
                <w:szCs w:val="21"/>
                <w:lang w:eastAsia="zh-CN"/>
              </w:rPr>
              <w:t>度</w:t>
            </w:r>
          </w:p>
        </w:tc>
      </w:tr>
    </w:tbl>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相对湿度</w:t>
      </w:r>
    </w:p>
    <w:tbl>
      <w:tblPr>
        <w:tblStyle w:val="TableNormal"/>
        <w:tblW w:w="0" w:type="auto"/>
        <w:tblInd w:w="1098" w:type="dxa"/>
        <w:tblLook w:val="04A0"/>
      </w:tblPr>
      <w:tblGrid>
        <w:gridCol w:w="3780"/>
        <w:gridCol w:w="2383"/>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TW"/>
              </w:rPr>
            </w:pPr>
            <w:r>
              <w:rPr>
                <w:rFonts w:asciiTheme="minorEastAsia" w:eastAsiaTheme="minorEastAsia" w:hAnsiTheme="minorEastAsia" w:hint="eastAsia"/>
                <w:sz w:val="21"/>
                <w:szCs w:val="21"/>
                <w:lang w:eastAsia="zh-CN"/>
              </w:rPr>
              <w:t>室外夏季通风</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83</w:t>
            </w:r>
            <w:r>
              <w:rPr>
                <w:rFonts w:asciiTheme="minorEastAsia" w:eastAsiaTheme="minorEastAsia" w:hAnsiTheme="minorEastAsia"/>
                <w:sz w:val="21"/>
                <w:szCs w:val="21"/>
                <w:lang w:eastAsia="zh-CN"/>
              </w:rPr>
              <w:t>%</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室外冬季空调</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7</w:t>
            </w:r>
            <w:r>
              <w:rPr>
                <w:rFonts w:asciiTheme="minorEastAsia" w:eastAsiaTheme="minorEastAsia" w:hAnsiTheme="minorEastAsia"/>
                <w:sz w:val="21"/>
                <w:szCs w:val="21"/>
                <w:lang w:eastAsia="zh-TW"/>
              </w:rPr>
              <w:t>5</w:t>
            </w:r>
            <w:r>
              <w:rPr>
                <w:rFonts w:asciiTheme="minorEastAsia" w:eastAsiaTheme="minorEastAsia" w:hAnsiTheme="minorEastAsia"/>
                <w:sz w:val="21"/>
                <w:szCs w:val="21"/>
                <w:lang w:eastAsia="zh-CN"/>
              </w:rPr>
              <w:t>%</w:t>
            </w:r>
          </w:p>
        </w:tc>
      </w:tr>
    </w:tbl>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设备规格及设计所需符合的环境条件</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除本技术规格说明书特别注明外，所有设备包括电气设备和机械配件都应能于下列的环境条件下进行测试工作及正常操作。</w:t>
      </w:r>
    </w:p>
    <w:tbl>
      <w:tblPr>
        <w:tblStyle w:val="TableNormal"/>
        <w:tblW w:w="0" w:type="auto"/>
        <w:tblInd w:w="1098" w:type="dxa"/>
        <w:tblLook w:val="04A0"/>
      </w:tblPr>
      <w:tblGrid>
        <w:gridCol w:w="3780"/>
        <w:gridCol w:w="2970"/>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夏季</w:t>
            </w:r>
          </w:p>
        </w:tc>
        <w:tc>
          <w:tcPr>
            <w:tcW w:w="297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40</w:t>
            </w:r>
            <w:r>
              <w:rPr>
                <w:rFonts w:asciiTheme="minorEastAsia" w:eastAsiaTheme="minorEastAsia" w:hAnsiTheme="minorEastAsia" w:hint="eastAsia"/>
                <w:sz w:val="21"/>
                <w:szCs w:val="21"/>
                <w:lang w:eastAsia="zh-CN"/>
              </w:rPr>
              <w:t>度摄氏（干球温度）</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冬季</w:t>
            </w:r>
          </w:p>
        </w:tc>
        <w:tc>
          <w:tcPr>
            <w:tcW w:w="297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-4</w:t>
            </w:r>
            <w:r>
              <w:rPr>
                <w:rFonts w:asciiTheme="minorEastAsia" w:eastAsiaTheme="minorEastAsia" w:hAnsiTheme="minorEastAsia" w:hint="eastAsia"/>
                <w:sz w:val="21"/>
                <w:szCs w:val="21"/>
                <w:lang w:eastAsia="zh-CN"/>
              </w:rPr>
              <w:t>度摄氏（干球温度）</w:t>
            </w:r>
          </w:p>
        </w:tc>
      </w:tr>
      <w:tr>
        <w:tblPrEx>
          <w:tblW w:w="0" w:type="auto"/>
          <w:tblInd w:w="1098" w:type="dxa"/>
          <w:tblLook w:val="04A0"/>
        </w:tblPrEx>
        <w:trPr>
          <w:trHeight w:val="80"/>
        </w:trPr>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相对湿度</w:t>
            </w:r>
          </w:p>
        </w:tc>
        <w:tc>
          <w:tcPr>
            <w:tcW w:w="297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99%</w:t>
            </w:r>
          </w:p>
        </w:tc>
      </w:tr>
    </w:tbl>
    <w:p>
      <w:pPr>
        <w:sectPr>
          <w:headerReference w:type="default" r:id="rId30"/>
          <w:footerReference w:type="default" r:id="rId31"/>
          <w:type w:val="nextPage"/>
          <w:pgSz w:w="11909" w:h="16834"/>
          <w:pgMar w:top="1440" w:right="1247" w:bottom="1440" w:left="1440" w:header="709" w:footer="720" w:gutter="0"/>
          <w:pgNumType w:start="11"/>
          <w:cols w:space="720"/>
          <w:titlePg w:val="0"/>
        </w:sectPr>
      </w:pP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按本技术规格说明书要求，部份设备需在更恶劣的环境条件下作正常性运作，而所有设备有可能需要在较高温度和湿度的恶劣环境条件下作短暂性的操作。</w:t>
      </w:r>
    </w:p>
    <w:p w:rsidR="003104A5">
      <w:pPr>
        <w:pStyle w:val="ReportLevel3"/>
        <w:spacing w:before="120" w:beforeLines="50" w:after="120" w:afterLines="50"/>
        <w:rPr>
          <w:rFonts w:asciiTheme="minorEastAsia" w:eastAsiaTheme="minorEastAsia" w:hAnsiTheme="minorEastAsia"/>
          <w:sz w:val="21"/>
          <w:szCs w:val="21"/>
          <w:lang w:val="en-US"/>
        </w:rPr>
      </w:pPr>
      <w:r>
        <w:rPr>
          <w:rFonts w:asciiTheme="minorEastAsia" w:eastAsiaTheme="minorEastAsia" w:hAnsiTheme="minorEastAsia" w:hint="eastAsia"/>
          <w:sz w:val="21"/>
          <w:szCs w:val="21"/>
          <w:lang w:val="en-US"/>
        </w:rPr>
        <w:t>按当地环保局之达到声环境质量标准</w:t>
      </w:r>
      <w:r>
        <w:rPr>
          <w:rFonts w:asciiTheme="minorEastAsia" w:eastAsiaTheme="minorEastAsia" w:hAnsiTheme="minorEastAsia"/>
          <w:sz w:val="21"/>
          <w:szCs w:val="21"/>
          <w:lang w:val="en-US"/>
        </w:rPr>
        <w:t>(GB3096-2008)</w:t>
      </w:r>
      <w:r>
        <w:rPr>
          <w:rFonts w:asciiTheme="minorEastAsia" w:eastAsiaTheme="minorEastAsia" w:hAnsiTheme="minorEastAsia" w:hint="eastAsia"/>
          <w:sz w:val="21"/>
          <w:szCs w:val="21"/>
          <w:lang w:val="en-US"/>
        </w:rPr>
        <w:t>中的要求，所有设备必须为低噪声和高效率型，及并须符合下列噪声管制要求</w:t>
      </w:r>
      <w:r>
        <w:rPr>
          <w:rFonts w:asciiTheme="minorEastAsia" w:eastAsiaTheme="minorEastAsia" w:hAnsiTheme="minorEastAsia"/>
          <w:sz w:val="21"/>
          <w:szCs w:val="21"/>
          <w:lang w:val="en-US"/>
        </w:rPr>
        <w:t xml:space="preserve"> (</w:t>
      </w:r>
      <w:r>
        <w:rPr>
          <w:rFonts w:asciiTheme="minorEastAsia" w:eastAsiaTheme="minorEastAsia" w:hAnsiTheme="minorEastAsia" w:hint="eastAsia"/>
          <w:sz w:val="21"/>
          <w:szCs w:val="21"/>
          <w:lang w:val="en-US"/>
        </w:rPr>
        <w:t>以上要求不一致时，按其中较严格的执行</w:t>
      </w:r>
      <w:r>
        <w:rPr>
          <w:rFonts w:asciiTheme="minorEastAsia" w:eastAsiaTheme="minorEastAsia" w:hAnsiTheme="minorEastAsia"/>
          <w:sz w:val="21"/>
          <w:szCs w:val="21"/>
          <w:lang w:val="en-US"/>
        </w:rPr>
        <w:t>)</w:t>
      </w:r>
      <w:r>
        <w:rPr>
          <w:rFonts w:asciiTheme="minorEastAsia" w:eastAsiaTheme="minorEastAsia" w:hAnsiTheme="minorEastAsia" w:hint="eastAsia"/>
          <w:sz w:val="21"/>
          <w:szCs w:val="21"/>
          <w:lang w:val="en-US"/>
        </w:rPr>
        <w:t>：</w:t>
      </w:r>
    </w:p>
    <w:tbl>
      <w:tblPr>
        <w:tblStyle w:val="TableNormal"/>
        <w:tblW w:w="0" w:type="auto"/>
        <w:tblInd w:w="1098" w:type="dxa"/>
        <w:tblLook w:val="04A0"/>
      </w:tblPr>
      <w:tblGrid>
        <w:gridCol w:w="5524"/>
        <w:gridCol w:w="2407"/>
      </w:tblGrid>
      <w:tr>
        <w:tblPrEx>
          <w:tblW w:w="0" w:type="auto"/>
          <w:tblInd w:w="1098" w:type="dxa"/>
          <w:tblLook w:val="04A0"/>
        </w:tblPrEx>
        <w:tc>
          <w:tcPr>
            <w:tcW w:w="5524"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昼间（上午六时至晚上十时）</w:t>
            </w:r>
          </w:p>
        </w:tc>
        <w:tc>
          <w:tcPr>
            <w:tcW w:w="2407"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不大于</w:t>
            </w:r>
            <w:r>
              <w:rPr>
                <w:rFonts w:asciiTheme="minorEastAsia" w:eastAsiaTheme="minorEastAsia" w:hAnsiTheme="minorEastAsia"/>
                <w:sz w:val="21"/>
                <w:szCs w:val="21"/>
                <w:lang w:eastAsia="zh-CN"/>
              </w:rPr>
              <w:t>60</w:t>
            </w:r>
            <w:r>
              <w:rPr>
                <w:rFonts w:asciiTheme="minorEastAsia" w:eastAsiaTheme="minorEastAsia" w:hAnsiTheme="minorEastAsia" w:hint="eastAsia"/>
                <w:sz w:val="21"/>
                <w:szCs w:val="21"/>
                <w:lang w:eastAsia="zh-CN"/>
              </w:rPr>
              <w:t>分贝</w:t>
            </w:r>
          </w:p>
        </w:tc>
      </w:tr>
      <w:tr>
        <w:tblPrEx>
          <w:tblW w:w="0" w:type="auto"/>
          <w:tblInd w:w="1098" w:type="dxa"/>
          <w:tblLook w:val="04A0"/>
        </w:tblPrEx>
        <w:tc>
          <w:tcPr>
            <w:tcW w:w="5524"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夜间（晚上十时至翌日上午六时）</w:t>
            </w:r>
          </w:p>
        </w:tc>
        <w:tc>
          <w:tcPr>
            <w:tcW w:w="2407"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不大于</w:t>
            </w:r>
            <w:r>
              <w:rPr>
                <w:rFonts w:asciiTheme="minorEastAsia" w:eastAsiaTheme="minorEastAsia" w:hAnsiTheme="minorEastAsia"/>
                <w:sz w:val="21"/>
                <w:szCs w:val="21"/>
                <w:lang w:eastAsia="zh-CN"/>
              </w:rPr>
              <w:t>50</w:t>
            </w:r>
            <w:r>
              <w:rPr>
                <w:rFonts w:asciiTheme="minorEastAsia" w:eastAsiaTheme="minorEastAsia" w:hAnsiTheme="minorEastAsia" w:hint="eastAsia"/>
                <w:sz w:val="21"/>
                <w:szCs w:val="21"/>
                <w:lang w:eastAsia="zh-CN"/>
              </w:rPr>
              <w:t>分贝</w:t>
            </w:r>
          </w:p>
        </w:tc>
      </w:tr>
      <w:tr>
        <w:tblPrEx>
          <w:tblW w:w="0" w:type="auto"/>
          <w:tblInd w:w="1098" w:type="dxa"/>
          <w:tblLook w:val="04A0"/>
        </w:tblPrEx>
        <w:tc>
          <w:tcPr>
            <w:tcW w:w="5524"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工程当地如无特殊规定建议按照国标（</w:t>
            </w:r>
            <w:r>
              <w:rPr>
                <w:rFonts w:asciiTheme="minorEastAsia" w:eastAsiaTheme="minorEastAsia" w:hAnsiTheme="minorEastAsia"/>
                <w:sz w:val="21"/>
                <w:szCs w:val="21"/>
                <w:lang w:eastAsia="zh-CN"/>
              </w:rPr>
              <w:t>GB</w:t>
            </w:r>
            <w:r>
              <w:rPr>
                <w:rFonts w:asciiTheme="minorEastAsia" w:eastAsiaTheme="minorEastAsia" w:hAnsiTheme="minorEastAsia" w:hint="eastAsia"/>
                <w:sz w:val="21"/>
                <w:szCs w:val="21"/>
                <w:lang w:eastAsia="zh-CN"/>
              </w:rPr>
              <w:t>）划分，按照环评报告定义类别选定噪音限制标准。</w:t>
            </w:r>
          </w:p>
        </w:tc>
        <w:tc>
          <w:tcPr>
            <w:tcW w:w="2407" w:type="dxa"/>
          </w:tcPr>
          <w:p w:rsidR="003104A5">
            <w:pPr>
              <w:spacing w:after="120" w:afterLines="50"/>
              <w:jc w:val="both"/>
              <w:rPr>
                <w:rFonts w:asciiTheme="minorEastAsia" w:eastAsiaTheme="minorEastAsia" w:hAnsiTheme="minorEastAsia"/>
                <w:sz w:val="21"/>
                <w:szCs w:val="21"/>
                <w:lang w:eastAsia="zh-CN"/>
              </w:rPr>
            </w:pPr>
          </w:p>
        </w:tc>
      </w:tr>
    </w:tbl>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抗震保护</w:t>
      </w:r>
    </w:p>
    <w:p w:rsidR="003104A5">
      <w:pPr>
        <w:spacing w:before="120" w:beforeLines="50" w:after="120" w:afterLines="50"/>
        <w:ind w:left="1078" w:leftChars="49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承包单位须注意，本发展项目所处的地段（深圳市）为地震区域，故承包单位应根据有关要求及标准对其负责的设备提供适当的抗震保护。</w:t>
      </w:r>
    </w:p>
    <w:p w:rsidR="003104A5">
      <w:pPr>
        <w:pStyle w:val="ReportLevel1"/>
        <w:spacing w:before="240" w:beforeLines="100" w:after="240" w:afterLines="100"/>
      </w:pPr>
      <w:bookmarkStart w:id="43" w:name="_Toc54958244"/>
      <w:r>
        <w:rPr>
          <w:rFonts w:asciiTheme="minorEastAsia" w:eastAsiaTheme="minorEastAsia" w:hAnsiTheme="minorEastAsia" w:hint="eastAsia"/>
          <w:sz w:val="21"/>
          <w:szCs w:val="21"/>
          <w:lang w:val="en-US"/>
        </w:rPr>
        <w:t>供电条件</w:t>
      </w:r>
      <w:bookmarkEnd w:id="43"/>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除本技术规格说明书另有说明外，所有电气设备及安装应按下列的电压操作：</w:t>
      </w:r>
    </w:p>
    <w:tbl>
      <w:tblPr>
        <w:tblStyle w:val="TableNormal"/>
        <w:tblW w:w="0" w:type="auto"/>
        <w:tblInd w:w="1098" w:type="dxa"/>
        <w:tblLook w:val="04A0"/>
      </w:tblPr>
      <w:tblGrid>
        <w:gridCol w:w="1710"/>
        <w:gridCol w:w="4453"/>
      </w:tblGrid>
      <w:tr>
        <w:tblPrEx>
          <w:tblW w:w="0" w:type="auto"/>
          <w:tblInd w:w="1098" w:type="dxa"/>
          <w:tblLook w:val="04A0"/>
        </w:tblPrEx>
        <w:tc>
          <w:tcPr>
            <w:tcW w:w="171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电压：</w:t>
            </w:r>
          </w:p>
        </w:tc>
        <w:tc>
          <w:tcPr>
            <w:tcW w:w="4453" w:type="dxa"/>
          </w:tcPr>
          <w:p w:rsidR="003104A5">
            <w:pPr>
              <w:spacing w:after="120" w:afterLines="50"/>
              <w:jc w:val="both"/>
              <w:rPr>
                <w:rFonts w:asciiTheme="minorEastAsia" w:eastAsiaTheme="minorEastAsia" w:hAnsiTheme="minorEastAsia"/>
                <w:sz w:val="21"/>
                <w:szCs w:val="21"/>
                <w:lang w:eastAsia="zh-CN"/>
              </w:rPr>
            </w:pPr>
          </w:p>
        </w:tc>
      </w:tr>
      <w:tr>
        <w:tblPrEx>
          <w:tblW w:w="0" w:type="auto"/>
          <w:tblInd w:w="1098" w:type="dxa"/>
          <w:tblLook w:val="04A0"/>
        </w:tblPrEx>
        <w:tc>
          <w:tcPr>
            <w:tcW w:w="1710" w:type="dxa"/>
          </w:tcPr>
          <w:p w:rsidR="003104A5">
            <w:pPr>
              <w:spacing w:after="120" w:afterLines="50"/>
              <w:jc w:val="both"/>
              <w:rPr>
                <w:rFonts w:asciiTheme="minorEastAsia" w:eastAsiaTheme="minorEastAsia" w:hAnsiTheme="minorEastAsia"/>
                <w:sz w:val="21"/>
                <w:szCs w:val="21"/>
                <w:lang w:eastAsia="zh-CN"/>
              </w:rPr>
            </w:pPr>
          </w:p>
        </w:tc>
        <w:tc>
          <w:tcPr>
            <w:tcW w:w="445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380</w:t>
            </w:r>
            <w:r>
              <w:rPr>
                <w:rFonts w:asciiTheme="minorEastAsia" w:eastAsiaTheme="minorEastAsia" w:hAnsiTheme="minorEastAsia" w:hint="eastAsia"/>
                <w:sz w:val="21"/>
                <w:szCs w:val="21"/>
                <w:lang w:eastAsia="zh-CN"/>
              </w:rPr>
              <w:t>伏供三相设备</w:t>
            </w:r>
          </w:p>
        </w:tc>
      </w:tr>
      <w:tr>
        <w:tblPrEx>
          <w:tblW w:w="0" w:type="auto"/>
          <w:tblInd w:w="1098" w:type="dxa"/>
          <w:tblLook w:val="04A0"/>
        </w:tblPrEx>
        <w:tc>
          <w:tcPr>
            <w:tcW w:w="1710" w:type="dxa"/>
          </w:tcPr>
          <w:p w:rsidR="003104A5">
            <w:pPr>
              <w:spacing w:after="120" w:afterLines="50"/>
              <w:jc w:val="both"/>
              <w:rPr>
                <w:rFonts w:asciiTheme="minorEastAsia" w:eastAsiaTheme="minorEastAsia" w:hAnsiTheme="minorEastAsia"/>
                <w:sz w:val="21"/>
                <w:szCs w:val="21"/>
                <w:lang w:eastAsia="zh-CN"/>
              </w:rPr>
            </w:pPr>
          </w:p>
        </w:tc>
        <w:tc>
          <w:tcPr>
            <w:tcW w:w="445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220</w:t>
            </w:r>
            <w:r>
              <w:rPr>
                <w:rFonts w:asciiTheme="minorEastAsia" w:eastAsiaTheme="minorEastAsia" w:hAnsiTheme="minorEastAsia" w:hint="eastAsia"/>
                <w:sz w:val="21"/>
                <w:szCs w:val="21"/>
                <w:lang w:eastAsia="zh-CN"/>
              </w:rPr>
              <w:t>伏供单相设备</w:t>
            </w:r>
          </w:p>
        </w:tc>
      </w:tr>
      <w:tr>
        <w:tblPrEx>
          <w:tblW w:w="0" w:type="auto"/>
          <w:tblInd w:w="1098" w:type="dxa"/>
          <w:tblLook w:val="04A0"/>
        </w:tblPrEx>
        <w:tc>
          <w:tcPr>
            <w:tcW w:w="171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频率：</w:t>
            </w:r>
            <w:r>
              <w:rPr>
                <w:rFonts w:asciiTheme="minorEastAsia" w:eastAsiaTheme="minorEastAsia" w:hAnsiTheme="minorEastAsia"/>
                <w:sz w:val="21"/>
                <w:szCs w:val="21"/>
                <w:lang w:eastAsia="zh-CN"/>
              </w:rPr>
              <w:t xml:space="preserve"> </w:t>
            </w:r>
          </w:p>
        </w:tc>
        <w:tc>
          <w:tcPr>
            <w:tcW w:w="445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sz w:val="21"/>
                <w:szCs w:val="21"/>
                <w:lang w:eastAsia="zh-CN"/>
              </w:rPr>
              <w:t>50</w:t>
            </w:r>
            <w:r>
              <w:rPr>
                <w:rFonts w:asciiTheme="minorEastAsia" w:eastAsiaTheme="minorEastAsia" w:hAnsiTheme="minorEastAsia" w:hint="eastAsia"/>
                <w:sz w:val="21"/>
                <w:szCs w:val="21"/>
                <w:lang w:eastAsia="zh-CN"/>
              </w:rPr>
              <w:t>赫兹</w:t>
            </w:r>
          </w:p>
        </w:tc>
      </w:tr>
    </w:tbl>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除上述所说明外，所有电气设备亦须适合下列操作条件：</w:t>
      </w:r>
    </w:p>
    <w:tbl>
      <w:tblPr>
        <w:tblStyle w:val="TableNormal"/>
        <w:tblW w:w="0" w:type="auto"/>
        <w:tblInd w:w="1098" w:type="dxa"/>
        <w:tblLook w:val="04A0"/>
      </w:tblPr>
      <w:tblGrid>
        <w:gridCol w:w="3780"/>
        <w:gridCol w:w="2383"/>
      </w:tblGrid>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电压波动：</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TW"/>
              </w:rPr>
              <w:t>10</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正常数值</w:t>
            </w:r>
          </w:p>
        </w:tc>
      </w:tr>
      <w:tr>
        <w:tblPrEx>
          <w:tblW w:w="0" w:type="auto"/>
          <w:tblInd w:w="1098" w:type="dxa"/>
          <w:tblLook w:val="04A0"/>
        </w:tblPrEx>
        <w:tc>
          <w:tcPr>
            <w:tcW w:w="3780"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频率波动：</w:t>
            </w:r>
          </w:p>
        </w:tc>
        <w:tc>
          <w:tcPr>
            <w:tcW w:w="2383" w:type="dxa"/>
          </w:tcPr>
          <w:p w:rsidR="003104A5">
            <w:pPr>
              <w:spacing w:after="120" w:afterLines="5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w:t>
            </w:r>
            <w:r>
              <w:rPr>
                <w:rFonts w:asciiTheme="minorEastAsia" w:eastAsiaTheme="minorEastAsia" w:hAnsiTheme="minorEastAsia"/>
                <w:sz w:val="21"/>
                <w:szCs w:val="21"/>
                <w:lang w:eastAsia="zh-CN"/>
              </w:rPr>
              <w:t>2%</w:t>
            </w:r>
            <w:r>
              <w:rPr>
                <w:rFonts w:asciiTheme="minorEastAsia" w:eastAsiaTheme="minorEastAsia" w:hAnsiTheme="minorEastAsia" w:hint="eastAsia"/>
                <w:sz w:val="21"/>
                <w:szCs w:val="21"/>
                <w:lang w:eastAsia="zh-CN"/>
              </w:rPr>
              <w:t>正常数值</w:t>
            </w:r>
          </w:p>
        </w:tc>
      </w:tr>
    </w:tbl>
    <w:p w:rsidR="003104A5">
      <w:pPr>
        <w:pStyle w:val="ReportLevel1"/>
        <w:spacing w:before="240" w:beforeLines="100" w:after="240" w:afterLines="100"/>
        <w:rPr>
          <w:rFonts w:asciiTheme="minorEastAsia" w:eastAsiaTheme="minorEastAsia" w:hAnsiTheme="minorEastAsia"/>
          <w:sz w:val="21"/>
          <w:szCs w:val="21"/>
          <w:lang w:val="en-US"/>
        </w:rPr>
      </w:pPr>
      <w:bookmarkStart w:id="44" w:name="_Toc77057507"/>
      <w:bookmarkStart w:id="45" w:name="_Toc73796379"/>
      <w:bookmarkStart w:id="46" w:name="_Toc54958245"/>
      <w:bookmarkStart w:id="47" w:name="_Toc90892968"/>
      <w:bookmarkStart w:id="48" w:name="_Toc73796489"/>
      <w:r>
        <w:rPr>
          <w:rFonts w:asciiTheme="minorEastAsia" w:eastAsiaTheme="minorEastAsia" w:hAnsiTheme="minorEastAsia" w:hint="eastAsia"/>
          <w:sz w:val="21"/>
          <w:szCs w:val="21"/>
          <w:lang w:val="en-US"/>
        </w:rPr>
        <w:t>工地现场条件勘察</w:t>
      </w:r>
      <w:bookmarkEnd w:id="44"/>
      <w:bookmarkEnd w:id="45"/>
      <w:bookmarkEnd w:id="46"/>
      <w:bookmarkEnd w:id="47"/>
      <w:bookmarkEnd w:id="48"/>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为配合有关电梯装置的安装，承包单位需书面确认建筑方面要求预留的设施，包括但不限于各电梯用房的安排、墙体及楼板孔洞预留、设备基础等的大小、数量及位置，承包单位应就招标图纸中土建条件需要添加或修改的工作提出并包括在标价内，否则日后一切所需的土建改动由承包单位负责。</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在收到正式中标通知书及图纸后的二十一天内，承包单位须以书面确认并提供会对建筑结构的形体和强度有影响的有关资料，包括设备进出的吊装孔洞要求，供业主或业主指定的代表审核。</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在实际施工进行前，承包单位须以书面确认有关预留的设施可满足本合约范围内施工的要求。如有需要，承包单位须提供打凿土建的资料予业主或业主指定的代表批准。</w:t>
      </w:r>
    </w:p>
    <w:p w:rsidR="003104A5">
      <w:pPr>
        <w:pStyle w:val="ReportLevel2"/>
        <w:spacing w:before="240" w:beforeLines="100" w:after="240" w:afterLines="100"/>
        <w:jc w:val="both"/>
        <w:rPr>
          <w:rFonts w:asciiTheme="minorEastAsia" w:eastAsiaTheme="minorEastAsia" w:hAnsiTheme="minorEastAsia"/>
          <w:sz w:val="21"/>
          <w:szCs w:val="21"/>
        </w:rPr>
        <w:sectPr>
          <w:headerReference w:type="default" r:id="rId32"/>
          <w:footerReference w:type="default" r:id="rId33"/>
          <w:type w:val="nextPage"/>
          <w:pgSz w:w="11909" w:h="16834"/>
          <w:pgMar w:top="1440" w:right="1247" w:bottom="1440" w:left="1440" w:header="709" w:footer="720" w:gutter="0"/>
          <w:pgNumType w:start="12"/>
          <w:cols w:space="720"/>
          <w:titlePg w:val="0"/>
        </w:sectPr>
      </w:pPr>
      <w:bookmarkStart w:id="50" w:name="_Toc90892969"/>
    </w:p>
    <w:p w:rsidR="003104A5">
      <w:pPr>
        <w:pStyle w:val="ReportLevel1"/>
        <w:spacing w:before="240" w:beforeLines="100" w:after="240" w:afterLines="100"/>
        <w:rPr>
          <w:rFonts w:asciiTheme="minorEastAsia" w:eastAsiaTheme="minorEastAsia" w:hAnsiTheme="minorEastAsia"/>
          <w:sz w:val="21"/>
          <w:szCs w:val="21"/>
          <w:lang w:val="en-US"/>
        </w:rPr>
      </w:pPr>
      <w:bookmarkStart w:id="51" w:name="_Toc54958246"/>
      <w:r>
        <w:rPr>
          <w:rFonts w:asciiTheme="minorEastAsia" w:eastAsiaTheme="minorEastAsia" w:hAnsiTheme="minorEastAsia" w:hint="eastAsia"/>
          <w:sz w:val="21"/>
          <w:szCs w:val="21"/>
          <w:lang w:val="en-US"/>
        </w:rPr>
        <w:t>工作协调</w:t>
      </w:r>
      <w:bookmarkEnd w:id="50"/>
      <w:r>
        <w:rPr>
          <w:rFonts w:asciiTheme="minorEastAsia" w:eastAsiaTheme="minorEastAsia" w:hAnsiTheme="minorEastAsia" w:hint="eastAsia"/>
          <w:sz w:val="21"/>
          <w:szCs w:val="21"/>
          <w:lang w:val="en-US"/>
        </w:rPr>
        <w:t>及配合</w:t>
      </w:r>
      <w:bookmarkEnd w:id="51"/>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在招标图纸及合同规范上之管线及设备布置安排，用意是表示一般布置要求及基本设计要求，实际承包单位需协调所有设备及与其它承包单位协调，做出最合理之安排。</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如因工地环境，承包单位对系统做出部分修改，这些细节须向业主或业主指定的代表申请批准。整个系统之供应及安装等应完全得到业主或业主指定的代表之认可。</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承包单位应向总承包单位取得最新之技术资料、细节、其它承包单位工作的布置图及最新之建筑及结构图纸，经完全协调后，在其施工图上按照实际要求将设备布置恰当。</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承包单位应向总承包单位提供技术资料，细节及其系统设备布置图纸，并与总承包单位及其它承包单位合作和协调，使工程能适当和顺利地完成。</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承包单位应负责所有因其未经或不恰当地与总承包单位和其它承包单位协调及合作而引致之错误，包括将装备拆下及重新安装之费用。</w:t>
      </w:r>
    </w:p>
    <w:p w:rsidR="003104A5">
      <w:pPr>
        <w:pStyle w:val="ReportLevel1"/>
        <w:spacing w:before="240" w:beforeLines="100" w:after="240" w:afterLines="100"/>
        <w:rPr>
          <w:rFonts w:asciiTheme="minorEastAsia" w:eastAsiaTheme="minorEastAsia" w:hAnsiTheme="minorEastAsia"/>
          <w:sz w:val="21"/>
          <w:szCs w:val="21"/>
          <w:lang w:val="en-US"/>
        </w:rPr>
      </w:pPr>
      <w:bookmarkStart w:id="52" w:name="_Toc54958247"/>
      <w:bookmarkStart w:id="53" w:name="_Toc90892970"/>
      <w:r>
        <w:rPr>
          <w:rFonts w:asciiTheme="minorEastAsia" w:eastAsiaTheme="minorEastAsia" w:hAnsiTheme="minorEastAsia" w:hint="eastAsia"/>
          <w:sz w:val="21"/>
          <w:szCs w:val="21"/>
          <w:lang w:val="en-US"/>
        </w:rPr>
        <w:t>定位</w:t>
      </w:r>
      <w:bookmarkEnd w:id="52"/>
      <w:bookmarkEnd w:id="53"/>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负责将其系统所有设备放置在正确和合适的位置、标高、空间和准线上，并提供一切所需之仪器、装备和人员以确保定位之准确性。在施工期内之任何时间内，如发觉其设备所装置的位置、标高、尺寸或准线错误，承包单位应负责修改及承担一切有关费用。</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虽然建筑的定位、墨线及标高等由业主或业主指定的代表负责测定，但并非豁免承包单位之责任，承包单位仍须负责核查所有有关装备定位，并保留一切定位基准记号。若有任何问题、定位、墨线及标高不配合之处，承包单位应通知总承包单位及业主协商解决。</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承包单位应负责工地上其装置位置之测量及核查，并在工地上标示其建筑工作要求。</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承包单位要负责任何因其施工图及工地标示其建筑工作要求之错漏而引致总承包单位需做出额外工作之费用。</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承包单位应确保其系统装备能完全配合和放置在预留的位置上，并有充裕之空间作将来维修及保养之用。</w:t>
      </w:r>
    </w:p>
    <w:p w:rsidR="003104A5">
      <w:pPr>
        <w:pStyle w:val="ReportText"/>
        <w:rPr>
          <w:rFonts w:eastAsia="宋体"/>
          <w:lang w:val="en-US" w:eastAsia="zh-CN"/>
        </w:rPr>
      </w:pPr>
    </w:p>
    <w:p w:rsidR="003104A5">
      <w:pPr>
        <w:rPr>
          <w:rFonts w:asciiTheme="minorEastAsia" w:eastAsiaTheme="minorEastAsia" w:hAnsiTheme="minorEastAsia"/>
          <w:b/>
          <w:caps/>
          <w:sz w:val="21"/>
          <w:szCs w:val="21"/>
          <w:lang w:val="en-US" w:eastAsia="zh-CN"/>
        </w:rPr>
        <w:sectPr>
          <w:headerReference w:type="default" r:id="rId34"/>
          <w:footerReference w:type="default" r:id="rId35"/>
          <w:type w:val="nextPage"/>
          <w:pgSz w:w="11909" w:h="16834"/>
          <w:pgMar w:top="1440" w:right="1247" w:bottom="1440" w:left="1440" w:header="709" w:footer="720" w:gutter="0"/>
          <w:pgNumType w:start="13"/>
          <w:cols w:space="720"/>
          <w:titlePg w:val="0"/>
        </w:sectPr>
      </w:pPr>
      <w:bookmarkStart w:id="55" w:name="_Toc90892971"/>
    </w:p>
    <w:p w:rsidR="003104A5">
      <w:pPr>
        <w:pStyle w:val="ReportLevel1"/>
        <w:spacing w:before="240" w:beforeLines="100" w:after="240" w:afterLines="100"/>
        <w:rPr>
          <w:rFonts w:asciiTheme="minorEastAsia" w:eastAsiaTheme="minorEastAsia" w:hAnsiTheme="minorEastAsia"/>
          <w:sz w:val="21"/>
          <w:szCs w:val="21"/>
          <w:lang w:val="en-US"/>
        </w:rPr>
      </w:pPr>
      <w:bookmarkStart w:id="56" w:name="_Toc54958248"/>
      <w:r>
        <w:rPr>
          <w:rFonts w:asciiTheme="minorEastAsia" w:eastAsiaTheme="minorEastAsia" w:hAnsiTheme="minorEastAsia" w:hint="eastAsia"/>
          <w:sz w:val="21"/>
          <w:szCs w:val="21"/>
          <w:lang w:val="en-US"/>
        </w:rPr>
        <w:t>物料储存及保管</w:t>
      </w:r>
      <w:bookmarkEnd w:id="55"/>
      <w:bookmarkEnd w:id="56"/>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承包单位应充分了解施工现场其物料及其摆放位置。总承包单位、业主或业主指定的代表负责协调设备材料临时储存场地。承包单位负责设备材料的产品保管、保护，一切由于保管保护产生的产品问题由承包单位承担。</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除非得到业主或业主指定的代表和总承包单位之书面指示，所有贮存于施工现场以外的物料、设备，其费用均由承包单位负责。</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贮放于现场之设备及物料均应跟从制造商建议之贮藏方法，并且保证不违反质量保证书所规定之贮藏方法。金属管道不宜摆放于露天，除非业主或业主指定的代表认为管道的摆放方式可以避免由于天气原因发生之侵蚀。</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工程分期付款内之设备及物料，其存放均应便于业主或业主指定的代表和总承包单位的检查。</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在施工现场，对由于不适当存放而引起的设备损坏，承包单位有责任立即更换设备及材料，以跟从施工进度，而费用由承包单位负责。</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在总承包单位未完成其建筑工程前，承包单位应采取充分之措施保护安装好的设备及未安装之设备及物料，免受恶劣天气及其它因素的破坏。</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工作于室内之电气设备及包含电气组件之设备应存放于防潮的空间内。</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工作于室内的设备应存放于防风雨的空间内。</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当设备由几个部份构成时，组件应分开包装并在包装上清楚标明组件名称及制造厂家。</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对于设备之外表面，特别是影响美观之外表面，应特别留意加以保护。</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在运输过程及贮存于施工现场的设备，对设备的传热面应加以特别包装以保护。</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对设备及物料的易于生锈之表面在施工期间应加以保护，直至安装完毕或涂以防锈漆为止。</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在施工现场组装完成之设备，应很好地跟从制造商的指示，加以保护。承包单位应遵从制造商的指示去做，并将结果提交业主或业主指定的代表。</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物料或设备之保护漆</w:t>
      </w:r>
      <w:r>
        <w:rPr>
          <w:rFonts w:asciiTheme="minorEastAsia" w:eastAsiaTheme="minorEastAsia" w:hAnsiTheme="minorEastAsia"/>
          <w:sz w:val="21"/>
          <w:szCs w:val="21"/>
        </w:rPr>
        <w:t>/</w:t>
      </w:r>
      <w:r>
        <w:rPr>
          <w:rFonts w:asciiTheme="minorEastAsia" w:eastAsiaTheme="minorEastAsia" w:hAnsiTheme="minorEastAsia" w:hint="eastAsia"/>
          <w:sz w:val="21"/>
          <w:szCs w:val="21"/>
        </w:rPr>
        <w:t>膜如有损坏，则应彻底清洁所有之锈垢、油污及表面之腐蚀物，并涂以新的保护漆</w:t>
      </w:r>
      <w:r>
        <w:rPr>
          <w:rFonts w:asciiTheme="minorEastAsia" w:eastAsiaTheme="minorEastAsia" w:hAnsiTheme="minorEastAsia"/>
          <w:sz w:val="21"/>
          <w:szCs w:val="21"/>
        </w:rPr>
        <w:t>/</w:t>
      </w:r>
      <w:r>
        <w:rPr>
          <w:rFonts w:asciiTheme="minorEastAsia" w:eastAsiaTheme="minorEastAsia" w:hAnsiTheme="minorEastAsia" w:hint="eastAsia"/>
          <w:sz w:val="21"/>
          <w:szCs w:val="21"/>
        </w:rPr>
        <w:t>膜。</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物料遭侵蚀、破坏或设备之外表面遭破坏，承包单位应负责更换这些物料及设备，费用亦由承包单位负责。</w:t>
      </w:r>
    </w:p>
    <w:p w:rsidR="003104A5">
      <w:pPr>
        <w:pStyle w:val="ReportLevel2"/>
        <w:spacing w:before="240" w:beforeLines="100" w:after="240" w:afterLines="100"/>
        <w:jc w:val="both"/>
        <w:rPr>
          <w:rFonts w:asciiTheme="minorEastAsia" w:eastAsiaTheme="minorEastAsia" w:hAnsiTheme="minorEastAsia"/>
          <w:sz w:val="21"/>
          <w:szCs w:val="21"/>
        </w:rPr>
      </w:pPr>
      <w:r>
        <w:rPr>
          <w:rFonts w:asciiTheme="minorEastAsia" w:eastAsiaTheme="minorEastAsia" w:hAnsiTheme="minorEastAsia" w:hint="eastAsia"/>
          <w:sz w:val="21"/>
          <w:szCs w:val="21"/>
        </w:rPr>
        <w:t>当对物料及设备之油漆方法未加说明时，承包单位对物料和设备之油漆须满足以下要求﹕</w:t>
      </w:r>
    </w:p>
    <w:p w:rsidR="003104A5">
      <w:pPr>
        <w:pStyle w:val="ReportText"/>
        <w:numPr>
          <w:ilvl w:val="1"/>
          <w:numId w:val="60"/>
        </w:numPr>
        <w:tabs>
          <w:tab w:val="clear" w:pos="1440"/>
          <w:tab w:val="left" w:pos="1560"/>
        </w:tabs>
        <w:spacing w:before="120" w:beforeLines="50" w:after="120" w:afterLines="50"/>
        <w:ind w:left="1560" w:hanging="426"/>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所有金属制造部份须有足够抗锈、抗腐能力。</w:t>
      </w:r>
    </w:p>
    <w:p w:rsidR="003104A5">
      <w:pPr>
        <w:pStyle w:val="ReportText"/>
        <w:numPr>
          <w:ilvl w:val="1"/>
          <w:numId w:val="60"/>
        </w:numPr>
        <w:tabs>
          <w:tab w:val="clear" w:pos="1440"/>
          <w:tab w:val="left" w:pos="1560"/>
        </w:tabs>
        <w:spacing w:before="120" w:beforeLines="50" w:after="120" w:afterLines="50"/>
        <w:ind w:left="1560" w:right="-61" w:hanging="426"/>
        <w:rPr>
          <w:rFonts w:asciiTheme="minorEastAsia" w:eastAsiaTheme="minorEastAsia" w:hAnsiTheme="minorEastAsia"/>
          <w:sz w:val="21"/>
          <w:szCs w:val="21"/>
          <w:lang w:val="en-US" w:eastAsia="zh-CN"/>
        </w:rPr>
        <w:sectPr>
          <w:headerReference w:type="default" r:id="rId36"/>
          <w:footerReference w:type="default" r:id="rId37"/>
          <w:type w:val="nextPage"/>
          <w:pgSz w:w="11909" w:h="16834"/>
          <w:pgMar w:top="1440" w:right="1247" w:bottom="1440" w:left="1440" w:header="709" w:footer="720" w:gutter="0"/>
          <w:pgNumType w:start="14"/>
          <w:cols w:space="720"/>
          <w:titlePg w:val="0"/>
        </w:sectPr>
      </w:pPr>
      <w:r>
        <w:rPr>
          <w:rFonts w:asciiTheme="minorEastAsia" w:eastAsiaTheme="minorEastAsia" w:hAnsiTheme="minorEastAsia" w:hint="eastAsia"/>
          <w:sz w:val="21"/>
          <w:szCs w:val="21"/>
          <w:lang w:val="en-US" w:eastAsia="zh-CN"/>
        </w:rPr>
        <w:t>所有框架、支架、吊架等同低碳钢制品，首先要彻底清洁去除所有之锈斑、油污等，再涂一层防锈膜然后以金属漆过底，跟着刷两遍调和漆，以符合</w:t>
      </w:r>
      <w:r>
        <w:rPr>
          <w:rFonts w:asciiTheme="minorEastAsia" w:eastAsiaTheme="minorEastAsia" w:hAnsiTheme="minorEastAsia"/>
          <w:sz w:val="21"/>
          <w:szCs w:val="21"/>
          <w:lang w:val="en-US" w:eastAsia="zh-CN"/>
        </w:rPr>
        <w:t>BS381C</w:t>
      </w:r>
      <w:r>
        <w:rPr>
          <w:rFonts w:asciiTheme="minorEastAsia" w:eastAsiaTheme="minorEastAsia" w:hAnsiTheme="minorEastAsia" w:hint="eastAsia"/>
          <w:sz w:val="21"/>
          <w:szCs w:val="21"/>
          <w:lang w:val="en-US" w:eastAsia="zh-CN"/>
        </w:rPr>
        <w:t>之要求，颜色由业主或业主指定的代表确定。</w:t>
      </w:r>
    </w:p>
    <w:p w:rsidR="003104A5">
      <w:pPr>
        <w:pStyle w:val="ReportText"/>
        <w:numPr>
          <w:ilvl w:val="1"/>
          <w:numId w:val="17"/>
        </w:numPr>
        <w:tabs>
          <w:tab w:val="clear" w:pos="1440"/>
          <w:tab w:val="left" w:pos="1560"/>
        </w:tabs>
        <w:spacing w:before="120" w:beforeLines="50" w:after="120" w:afterLines="50"/>
        <w:ind w:left="1560" w:right="-61" w:hanging="426"/>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电镀之部件应选用镀铬或镀磷</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选其中较适宜者</w:t>
      </w:r>
      <w:r>
        <w:rPr>
          <w:rFonts w:asciiTheme="minorEastAsia" w:eastAsiaTheme="minorEastAsia" w:hAnsiTheme="minorEastAsia"/>
          <w:sz w:val="21"/>
          <w:szCs w:val="21"/>
          <w:lang w:val="en-US" w:eastAsia="zh-CN"/>
        </w:rPr>
        <w:t>)</w:t>
      </w:r>
      <w:r>
        <w:rPr>
          <w:rFonts w:asciiTheme="minorEastAsia" w:eastAsiaTheme="minorEastAsia" w:hAnsiTheme="minorEastAsia" w:hint="eastAsia"/>
          <w:sz w:val="21"/>
          <w:szCs w:val="21"/>
          <w:lang w:val="en-US" w:eastAsia="zh-CN"/>
        </w:rPr>
        <w:t>，不允许镀锌或镀镉。</w:t>
      </w:r>
    </w:p>
    <w:p w:rsidR="003104A5">
      <w:pPr>
        <w:pStyle w:val="ReportLevel2"/>
        <w:spacing w:before="240" w:beforeLines="100" w:after="240" w:afterLines="100"/>
        <w:jc w:val="both"/>
        <w:rPr>
          <w:rFonts w:asciiTheme="minorEastAsia" w:eastAsiaTheme="minorEastAsia" w:hAnsiTheme="minorEastAsia"/>
          <w:sz w:val="21"/>
          <w:szCs w:val="21"/>
          <w:lang w:val="en-US"/>
        </w:rPr>
      </w:pPr>
      <w:r>
        <w:rPr>
          <w:rFonts w:asciiTheme="minorEastAsia" w:eastAsiaTheme="minorEastAsia" w:hAnsiTheme="minorEastAsia" w:hint="eastAsia"/>
          <w:sz w:val="21"/>
          <w:szCs w:val="21"/>
          <w:lang w:val="en-US"/>
        </w:rPr>
        <w:t>设备出厂后，设备表面之损坏应跟从如下方法尽快修补好﹕</w:t>
      </w:r>
    </w:p>
    <w:p w:rsidR="003104A5">
      <w:pPr>
        <w:pStyle w:val="ReportText"/>
        <w:numPr>
          <w:ilvl w:val="0"/>
          <w:numId w:val="18"/>
        </w:numPr>
        <w:tabs>
          <w:tab w:val="clear" w:pos="1440"/>
        </w:tabs>
        <w:spacing w:before="120" w:beforeLines="50" w:after="120" w:afterLines="50"/>
        <w:ind w:left="1560" w:hanging="48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金属表面之破坏处，应先清洗破损处至底层金属，并用含锌油漆打底或用业主或业主指定的代表认可之油漆。</w:t>
      </w:r>
    </w:p>
    <w:p w:rsidR="003104A5">
      <w:pPr>
        <w:pStyle w:val="ReportText"/>
        <w:numPr>
          <w:ilvl w:val="0"/>
          <w:numId w:val="18"/>
        </w:numPr>
        <w:tabs>
          <w:tab w:val="clear" w:pos="1440"/>
        </w:tabs>
        <w:spacing w:before="120" w:beforeLines="50" w:after="120" w:afterLines="50"/>
        <w:ind w:left="1560" w:hanging="480"/>
        <w:rPr>
          <w:rFonts w:asciiTheme="minorEastAsia" w:eastAsiaTheme="minorEastAsia" w:hAnsiTheme="minorEastAsia"/>
          <w:sz w:val="21"/>
          <w:szCs w:val="21"/>
          <w:lang w:val="en-US" w:eastAsia="zh-CN"/>
        </w:rPr>
      </w:pPr>
      <w:r>
        <w:rPr>
          <w:rFonts w:asciiTheme="minorEastAsia" w:eastAsiaTheme="minorEastAsia" w:hAnsiTheme="minorEastAsia" w:hint="eastAsia"/>
          <w:sz w:val="21"/>
          <w:szCs w:val="21"/>
          <w:lang w:val="en-US" w:eastAsia="zh-CN"/>
        </w:rPr>
        <w:t>设备表面破损处，应清洗破损处至底层金属，并用设备之油漆程序及油漆加以修补。</w:t>
      </w:r>
    </w:p>
    <w:p w:rsidR="003104A5">
      <w:pPr>
        <w:pStyle w:val="ReportLevel2"/>
        <w:spacing w:before="240" w:beforeLines="100" w:after="240" w:afterLines="100"/>
        <w:jc w:val="both"/>
        <w:rPr>
          <w:rFonts w:asciiTheme="minorEastAsia" w:eastAsiaTheme="minorEastAsia" w:hAnsiTheme="minorEastAsia"/>
          <w:sz w:val="21"/>
          <w:szCs w:val="21"/>
          <w:lang w:val="en-US"/>
        </w:rPr>
      </w:pPr>
      <w:r>
        <w:rPr>
          <w:rFonts w:asciiTheme="minorEastAsia" w:eastAsiaTheme="minorEastAsia" w:hAnsiTheme="minorEastAsia" w:hint="eastAsia"/>
          <w:sz w:val="21"/>
          <w:szCs w:val="21"/>
          <w:lang w:val="en-US"/>
        </w:rPr>
        <w:t>承包单位应时刻保持其安装工料至合理清洁之程度，并且应尽快清除施工现场之不必要废料。</w:t>
      </w:r>
    </w:p>
    <w:p w:rsidR="003104A5">
      <w:pPr>
        <w:pStyle w:val="ReportLevel2"/>
        <w:spacing w:before="240" w:beforeLines="100" w:after="240" w:afterLines="100"/>
        <w:jc w:val="both"/>
        <w:rPr>
          <w:rFonts w:asciiTheme="minorEastAsia" w:eastAsiaTheme="minorEastAsia" w:hAnsiTheme="minorEastAsia"/>
          <w:sz w:val="21"/>
          <w:szCs w:val="21"/>
          <w:lang w:val="en-US"/>
        </w:rPr>
      </w:pPr>
      <w:r>
        <w:rPr>
          <w:rFonts w:asciiTheme="minorEastAsia" w:eastAsiaTheme="minorEastAsia" w:hAnsiTheme="minorEastAsia" w:hint="eastAsia"/>
          <w:sz w:val="21"/>
          <w:szCs w:val="21"/>
          <w:lang w:val="en-US"/>
        </w:rPr>
        <w:t>施工结束时，承包单位应清除一切临时的遮盖、外壳、并应清除所有污迹、标记等，达至业主或业主指定的代表认可交接之程序。</w:t>
      </w:r>
    </w:p>
    <w:p w:rsidR="003104A5">
      <w:pPr>
        <w:rPr>
          <w:rFonts w:asciiTheme="minorEastAsia" w:eastAsiaTheme="minorEastAsia" w:hAnsiTheme="minorEastAsia"/>
          <w:b/>
          <w:caps/>
          <w:sz w:val="21"/>
          <w:szCs w:val="21"/>
          <w:lang w:val="en-US" w:eastAsia="zh-CN"/>
        </w:rPr>
        <w:sectPr>
          <w:headerReference w:type="default" r:id="rId38"/>
          <w:footerReference w:type="default" r:id="rId39"/>
          <w:type w:val="nextPage"/>
          <w:pgSz w:w="11909" w:h="16834"/>
          <w:pgMar w:top="1440" w:right="1247" w:bottom="1440" w:left="1440" w:header="709" w:footer="720" w:gutter="0"/>
          <w:pgNumType w:start="15"/>
          <w:cols w:space="720"/>
          <w:titlePg w:val="0"/>
        </w:sectPr>
      </w:pPr>
      <w:bookmarkStart w:id="59" w:name="_Toc90892972"/>
      <w:bookmarkStart w:id="60" w:name="_Toc73796490"/>
      <w:bookmarkStart w:id="61" w:name="_Toc73796380"/>
    </w:p>
    <w:p w:rsidR="003104A5">
      <w:pPr>
        <w:pStyle w:val="ReportLevel1"/>
        <w:spacing w:before="240" w:beforeLines="100" w:after="240" w:afterLines="100"/>
        <w:rPr>
          <w:rFonts w:asciiTheme="minorEastAsia" w:eastAsiaTheme="minorEastAsia" w:hAnsiTheme="minorEastAsia"/>
          <w:sz w:val="21"/>
          <w:szCs w:val="21"/>
          <w:lang w:val="en-US"/>
        </w:rPr>
      </w:pPr>
      <w:bookmarkStart w:id="62" w:name="_Toc54958249"/>
      <w:r>
        <w:rPr>
          <w:rFonts w:asciiTheme="minorEastAsia" w:eastAsiaTheme="minorEastAsia" w:hAnsiTheme="minorEastAsia" w:hint="eastAsia"/>
          <w:sz w:val="21"/>
          <w:szCs w:val="21"/>
          <w:lang w:val="en-US"/>
        </w:rPr>
        <w:t>图纸</w:t>
      </w:r>
      <w:bookmarkEnd w:id="59"/>
      <w:bookmarkEnd w:id="60"/>
      <w:bookmarkEnd w:id="61"/>
      <w:bookmarkEnd w:id="62"/>
    </w:p>
    <w:p w:rsidR="003104A5">
      <w:pPr>
        <w:pStyle w:val="ReportLevel2"/>
        <w:spacing w:before="240" w:beforeLines="100" w:after="240" w:afterLines="100"/>
        <w:jc w:val="both"/>
        <w:rPr>
          <w:rFonts w:asciiTheme="minorEastAsia" w:eastAsiaTheme="minorEastAsia" w:hAnsiTheme="minorEastAsia"/>
          <w:b/>
          <w:bCs/>
          <w:sz w:val="21"/>
          <w:szCs w:val="21"/>
          <w:lang w:val="en-US"/>
        </w:rPr>
      </w:pPr>
      <w:r>
        <w:rPr>
          <w:rFonts w:asciiTheme="minorEastAsia" w:eastAsiaTheme="minorEastAsia" w:hAnsiTheme="minorEastAsia" w:hint="eastAsia"/>
          <w:b/>
          <w:bCs/>
          <w:sz w:val="21"/>
          <w:szCs w:val="21"/>
          <w:lang w:val="en-US"/>
        </w:rPr>
        <w:t>招标图纸</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招标时连同招标文件所发的有关图纸，其作用只供承包单位于招标时作为一般指引以及作为中标后制作设备和施工图的依据，承包单位需负起电梯及自动扶梯装置的深化设计、施工图制作、供货、安装、调试、验收以及申请并获得批文等的责任。如因承包单位所编制的施工图与招标图有所偏差而导致额外费用，所有责任须由承包单位承担。</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图纸所示为基本的设计原理，并同时提供一个已考虑各设备装配相互关系的可行的设备安置方案，作为承包单位在进行深化设计及施工图制作时的参照和依据。</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承包单位须对有关系统设备展开详尽的设计工作，包括编制所需的施工图以及设计计算、详尽的注释和说明等，并需满足有关规范要求。</w:t>
      </w:r>
    </w:p>
    <w:p w:rsidR="003104A5">
      <w:pPr>
        <w:pStyle w:val="ReportLevel2"/>
        <w:spacing w:before="240" w:beforeLines="100" w:after="240" w:afterLines="100"/>
        <w:jc w:val="both"/>
        <w:rPr>
          <w:rFonts w:asciiTheme="minorEastAsia" w:eastAsiaTheme="minorEastAsia" w:hAnsiTheme="minorEastAsia"/>
          <w:b/>
          <w:bCs/>
          <w:sz w:val="21"/>
          <w:szCs w:val="21"/>
          <w:lang w:val="en-US"/>
        </w:rPr>
      </w:pPr>
      <w:r>
        <w:rPr>
          <w:rFonts w:asciiTheme="minorEastAsia" w:eastAsiaTheme="minorEastAsia" w:hAnsiTheme="minorEastAsia" w:hint="eastAsia"/>
          <w:b/>
          <w:bCs/>
          <w:sz w:val="21"/>
          <w:szCs w:val="21"/>
          <w:lang w:val="en-US"/>
        </w:rPr>
        <w:t>承包单位的深化设计和图纸送审</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概述</w:t>
      </w:r>
    </w:p>
    <w:p w:rsidR="003104A5">
      <w:pPr>
        <w:spacing w:before="120" w:beforeLines="50" w:after="120" w:afterLines="50"/>
        <w:ind w:left="1078" w:leftChars="490"/>
        <w:jc w:val="both"/>
        <w:rPr>
          <w:rFonts w:asciiTheme="minorEastAsia" w:eastAsiaTheme="minorEastAsia" w:hAnsiTheme="minorEastAsia"/>
          <w:sz w:val="21"/>
          <w:szCs w:val="21"/>
          <w:lang w:eastAsia="zh-TW"/>
        </w:rPr>
      </w:pPr>
      <w:r>
        <w:rPr>
          <w:rFonts w:asciiTheme="minorEastAsia" w:eastAsiaTheme="minorEastAsia" w:hAnsiTheme="minorEastAsia" w:hint="eastAsia"/>
          <w:sz w:val="21"/>
          <w:szCs w:val="21"/>
          <w:lang w:eastAsia="zh-CN"/>
        </w:rPr>
        <w:t>在收到正式中标通知书，承包单位须立即编制深化设计以及图纸编绘和送审的计划表，于两周内提交业主或业主指定的代表和总包单位审核。承包单位须在整个工程的每个阶段按工作进度呈交有关的资料以作审核。同时确保所有呈交的资料包括一切计算数据、建议方案、所需的文件及资料等均能按时按序及按规格要求送审以便获得批核施工。由于批核上述送审材料需要时间，承包单位须预留足够时间供批核及作修改重审。如承包单位未能按照所定计划和工程进度提交所需资料而导致工期拖延，一切损失及责任须由承包单位负责。</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标准的遵从</w:t>
      </w:r>
    </w:p>
    <w:p w:rsidR="003104A5">
      <w:pPr>
        <w:spacing w:before="120" w:beforeLines="50" w:after="120" w:afterLines="50"/>
        <w:ind w:left="1078" w:leftChars="490"/>
        <w:jc w:val="both"/>
        <w:rPr>
          <w:rFonts w:asciiTheme="minorEastAsia" w:eastAsiaTheme="minorEastAsia" w:hAnsiTheme="minorEastAsia"/>
          <w:sz w:val="21"/>
          <w:szCs w:val="21"/>
          <w:lang w:eastAsia="zh-TW"/>
        </w:rPr>
      </w:pPr>
      <w:r>
        <w:rPr>
          <w:rFonts w:asciiTheme="minorEastAsia" w:eastAsiaTheme="minorEastAsia" w:hAnsiTheme="minorEastAsia" w:hint="eastAsia"/>
          <w:sz w:val="21"/>
          <w:szCs w:val="21"/>
          <w:lang w:eastAsia="zh-CN"/>
        </w:rPr>
        <w:t>承包单位必须呈交与本合同范围有关的资料包括所有材料、装置和设备的完整资料如产品技术资料说明书、装配指引、详图和证明文件等以供审核。若有关设备或材料注明须符合国家有关规范或标准，或其他认可组织</w:t>
      </w:r>
      <w:r>
        <w:rPr>
          <w:rFonts w:asciiTheme="minorEastAsia" w:eastAsiaTheme="minorEastAsia" w:hAnsiTheme="minorEastAsia"/>
          <w:sz w:val="21"/>
          <w:szCs w:val="21"/>
          <w:lang w:eastAsia="zh-CN"/>
        </w:rPr>
        <w:t>/</w:t>
      </w:r>
      <w:r>
        <w:rPr>
          <w:rFonts w:asciiTheme="minorEastAsia" w:eastAsiaTheme="minorEastAsia" w:hAnsiTheme="minorEastAsia" w:hint="eastAsia"/>
          <w:sz w:val="21"/>
          <w:szCs w:val="21"/>
          <w:lang w:eastAsia="zh-CN"/>
        </w:rPr>
        <w:t>机构如国际标准、英国标准（</w:t>
      </w:r>
      <w:r>
        <w:rPr>
          <w:rFonts w:asciiTheme="minorEastAsia" w:eastAsiaTheme="minorEastAsia" w:hAnsiTheme="minorEastAsia"/>
          <w:sz w:val="21"/>
          <w:szCs w:val="21"/>
          <w:lang w:eastAsia="zh-CN"/>
        </w:rPr>
        <w:t>BS</w:t>
      </w:r>
      <w:r>
        <w:rPr>
          <w:rFonts w:asciiTheme="minorEastAsia" w:eastAsiaTheme="minorEastAsia" w:hAnsiTheme="minorEastAsia" w:hint="eastAsia"/>
          <w:sz w:val="21"/>
          <w:szCs w:val="21"/>
          <w:lang w:eastAsia="zh-CN"/>
        </w:rPr>
        <w:t>）、美国国家标准协会（</w:t>
      </w:r>
      <w:r>
        <w:rPr>
          <w:rFonts w:asciiTheme="minorEastAsia" w:eastAsiaTheme="minorEastAsia" w:hAnsiTheme="minorEastAsia"/>
          <w:sz w:val="21"/>
          <w:szCs w:val="21"/>
          <w:lang w:eastAsia="zh-CN"/>
        </w:rPr>
        <w:t>ANSI</w:t>
      </w:r>
      <w:r>
        <w:rPr>
          <w:rFonts w:asciiTheme="minorEastAsia" w:eastAsiaTheme="minorEastAsia" w:hAnsiTheme="minorEastAsia" w:hint="eastAsia"/>
          <w:sz w:val="21"/>
          <w:szCs w:val="21"/>
          <w:lang w:eastAsia="zh-CN"/>
        </w:rPr>
        <w:t>）、美国保险商研究所（</w:t>
      </w:r>
      <w:r>
        <w:rPr>
          <w:rFonts w:asciiTheme="minorEastAsia" w:eastAsiaTheme="minorEastAsia" w:hAnsiTheme="minorEastAsia"/>
          <w:sz w:val="21"/>
          <w:szCs w:val="21"/>
          <w:lang w:eastAsia="zh-CN"/>
        </w:rPr>
        <w:t>UL</w:t>
      </w:r>
      <w:r>
        <w:rPr>
          <w:rFonts w:asciiTheme="minorEastAsia" w:eastAsiaTheme="minorEastAsia" w:hAnsiTheme="minorEastAsia" w:hint="eastAsia"/>
          <w:sz w:val="21"/>
          <w:szCs w:val="21"/>
          <w:lang w:eastAsia="zh-CN"/>
        </w:rPr>
        <w:t>）和英国工程技术学会（</w:t>
      </w:r>
      <w:r>
        <w:rPr>
          <w:rFonts w:asciiTheme="minorEastAsia" w:eastAsiaTheme="minorEastAsia" w:hAnsiTheme="minorEastAsia"/>
          <w:sz w:val="21"/>
          <w:szCs w:val="21"/>
          <w:lang w:eastAsia="zh-CN"/>
        </w:rPr>
        <w:t>IET</w:t>
      </w:r>
      <w:r>
        <w:rPr>
          <w:rFonts w:asciiTheme="minorEastAsia" w:eastAsiaTheme="minorEastAsia" w:hAnsiTheme="minorEastAsia" w:hint="eastAsia"/>
          <w:sz w:val="21"/>
          <w:szCs w:val="21"/>
          <w:lang w:eastAsia="zh-CN"/>
        </w:rPr>
        <w:t>）等所制定的标准时，在呈审时须同时附上有关符合该标准的证明文件作存案。而有关证明文件及试验报告，必须由相应认可的检定机构签发，其内容须详细列明有关测试文件，证明经审定符合所需的标准要求。有关数据和资料均须采用公制（</w:t>
      </w:r>
      <w:r>
        <w:rPr>
          <w:rFonts w:asciiTheme="minorEastAsia" w:eastAsiaTheme="minorEastAsia" w:hAnsiTheme="minorEastAsia"/>
          <w:sz w:val="21"/>
          <w:szCs w:val="21"/>
          <w:lang w:eastAsia="zh-CN"/>
        </w:rPr>
        <w:t>S.I.</w:t>
      </w:r>
      <w:r>
        <w:rPr>
          <w:rFonts w:asciiTheme="minorEastAsia" w:eastAsiaTheme="minorEastAsia" w:hAnsiTheme="minorEastAsia" w:hint="eastAsia"/>
          <w:sz w:val="21"/>
          <w:szCs w:val="21"/>
          <w:lang w:eastAsia="zh-CN"/>
        </w:rPr>
        <w:t>）单位。</w:t>
      </w:r>
    </w:p>
    <w:p w:rsidR="003104A5">
      <w:pPr>
        <w:pStyle w:val="ReportLevel3"/>
        <w:spacing w:before="120" w:beforeLines="50" w:after="120" w:afterLines="50"/>
        <w:rPr>
          <w:rFonts w:asciiTheme="minorEastAsia" w:eastAsiaTheme="minorEastAsia" w:hAnsiTheme="minorEastAsia"/>
          <w:sz w:val="21"/>
          <w:szCs w:val="21"/>
        </w:rPr>
      </w:pPr>
      <w:r>
        <w:rPr>
          <w:rFonts w:asciiTheme="minorEastAsia" w:eastAsiaTheme="minorEastAsia" w:hAnsiTheme="minorEastAsia" w:hint="eastAsia"/>
          <w:sz w:val="21"/>
          <w:szCs w:val="21"/>
        </w:rPr>
        <w:t>设计和施工图纸</w:t>
      </w:r>
    </w:p>
    <w:p w:rsidR="003104A5">
      <w:pPr>
        <w:numPr>
          <w:ilvl w:val="0"/>
          <w:numId w:val="6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承包单位必须在中标三星期内提交电梯及自动扶梯装置的设计及建议，供业主或业主指定的代表、设计院和有关部门审批。承包单位须确保设计及图纸包括全部计算结果、建议、文件及有关资料能在规定时间内提交审批并得到批准才可进行工作。由于图纸、计算以及文件等资料中的错误，承包单位须预留修改的时间。如因承包单位未能按工程进度提交设计予业主或业主指定的代表批准而导致工程延误，一切责任由承包单位承担。</w:t>
      </w:r>
    </w:p>
    <w:p w:rsidR="003104A5">
      <w:pPr>
        <w:numPr>
          <w:ilvl w:val="0"/>
          <w:numId w:val="61"/>
        </w:numPr>
        <w:tabs>
          <w:tab w:val="left" w:pos="1620"/>
          <w:tab w:val="clear" w:pos="2370"/>
        </w:tabs>
        <w:spacing w:before="120" w:beforeLines="50" w:after="120" w:afterLines="50"/>
        <w:ind w:left="1620" w:hanging="54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有关图纸须符合电梯装置安装的范围和基本安排，须包括但不限于：</w:t>
      </w:r>
    </w:p>
    <w:p w:rsidR="003104A5">
      <w:pPr>
        <w:numPr>
          <w:ilvl w:val="1"/>
          <w:numId w:val="61"/>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包括平面、立面和剖面图。所有土建工作要求包括反作用力、开孔位置及尺寸、套筒、管道、沟槽、地基及固定细节等。与土建工作配合的要求须预留充足时间，使工作能有效的进行。</w:t>
      </w:r>
    </w:p>
    <w:p w:rsidR="003104A5">
      <w:pPr>
        <w:numPr>
          <w:ilvl w:val="1"/>
          <w:numId w:val="61"/>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r>
        <w:rPr>
          <w:rFonts w:asciiTheme="minorEastAsia" w:eastAsiaTheme="minorEastAsia" w:hAnsiTheme="minorEastAsia" w:hint="eastAsia"/>
          <w:sz w:val="21"/>
          <w:szCs w:val="21"/>
          <w:lang w:eastAsia="zh-CN"/>
        </w:rPr>
        <w:t>主要建议的设备及仪器，证明所选择的设备有足够的额定值、尺寸、表现、表面处理、方便维修和更换及安装方法。</w:t>
      </w:r>
      <w:r>
        <w:rPr>
          <w:rFonts w:asciiTheme="minorEastAsia" w:eastAsiaTheme="minorEastAsia" w:hAnsiTheme="minorEastAsia"/>
          <w:sz w:val="21"/>
          <w:szCs w:val="21"/>
          <w:lang w:eastAsia="zh-CN"/>
        </w:rPr>
        <w:br/>
      </w:r>
      <w:r>
        <w:rPr>
          <w:rFonts w:asciiTheme="minorEastAsia" w:eastAsiaTheme="minorEastAsia" w:hAnsiTheme="minorEastAsia"/>
          <w:sz w:val="21"/>
          <w:szCs w:val="21"/>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https://d.book118.com/438015110002006043</w:t>
        </w:r>
      </w:hyperlink>
    </w:p>
    <w:p w:rsidR="003104A5">
      <w:pPr>
        <w:numPr>
          <w:ilvl w:val="1"/>
          <w:numId w:val="61"/>
        </w:numPr>
        <w:tabs>
          <w:tab w:val="clear" w:pos="2010"/>
          <w:tab w:val="left" w:pos="2160"/>
        </w:tabs>
        <w:spacing w:before="120" w:beforeLines="50" w:after="120" w:afterLines="50"/>
        <w:ind w:left="2160" w:hanging="510"/>
        <w:jc w:val="both"/>
        <w:rPr>
          <w:rFonts w:asciiTheme="minorEastAsia" w:eastAsiaTheme="minorEastAsia" w:hAnsiTheme="minorEastAsia"/>
          <w:sz w:val="21"/>
          <w:szCs w:val="21"/>
          <w:lang w:eastAsia="zh-CN"/>
        </w:rPr>
      </w:pPr>
    </w:p>
    <w:sectPr>
      <w:headerReference w:type="default" r:id="rId41"/>
      <w:footerReference w:type="default" r:id="rId42"/>
      <w:type w:val="nextPage"/>
      <w:pgSz w:w="11909" w:h="16834"/>
      <w:pgMar w:top="1440" w:right="1247" w:bottom="1440" w:left="1440" w:header="709" w:footer="720" w:gutter="0"/>
      <w:pgNumType w:start="16"/>
      <w:cols w:space="72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roman"/>
    <w:pitch w:val="default"/>
    <w:sig w:usb0="00000000"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PMingLiU">
    <w:altName w:val="Arial Unicode MS"/>
    <w:panose1 w:val="02010601000101010101"/>
    <w:charset w:val="88"/>
    <w:family w:val="roman"/>
    <w:pitch w:val="default"/>
    <w:sig w:usb0="00000000" w:usb1="00000000" w:usb2="00000016" w:usb3="00000000" w:csb0="00100001" w:csb1="00000000"/>
  </w:font>
  <w:font w:name="Tahoma">
    <w:panose1 w:val="020B0604030504040204"/>
    <w:charset w:val="00"/>
    <w:family w:val="swiss"/>
    <w:pitch w:val="variable"/>
    <w:sig w:usb0="E1002EFF" w:usb1="C000605B" w:usb2="00000029" w:usb3="00000000" w:csb0="000101FF" w:csb1="00000000"/>
  </w:font>
  <w:font w:name="金梅簡中明">
    <w:altName w:val="MingLiU-ExtB"/>
    <w:charset w:val="88"/>
    <w:family w:val="modern"/>
    <w:pitch w:val="default"/>
    <w:sig w:usb0="00000000" w:usb1="00000000" w:usb2="00000010" w:usb3="00000000" w:csb0="00100000" w:csb1="00000000"/>
  </w:font>
  <w:font w:name="Microsoft YaHei U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39</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2" w:name="QuickMark"/>
    <w:bookmarkEnd w:id="2"/>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12" w:name="QuickMark_0"/>
    <w:bookmarkEnd w:id="12"/>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19" w:name="QuickMark_1"/>
    <w:bookmarkEnd w:id="19"/>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3</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21" w:name="QuickMark_2"/>
    <w:bookmarkEnd w:id="21"/>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4</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26" w:name="QuickMark_3"/>
    <w:bookmarkEnd w:id="26"/>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5</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28" w:name="QuickMark_4"/>
    <w:bookmarkEnd w:id="28"/>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29" w:name="QuickMark_5"/>
    <w:bookmarkEnd w:id="29"/>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7</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30" w:name="QuickMark_6"/>
    <w:bookmarkEnd w:id="30"/>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8</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34" w:name="QuickMark_7"/>
    <w:bookmarkEnd w:id="34"/>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9</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35" w:name="QuickMark_8"/>
    <w:bookmarkEnd w:id="35"/>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10</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36" w:name="QuickMark_9"/>
    <w:bookmarkEnd w:id="36"/>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11</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42" w:name="QuickMark_10"/>
    <w:bookmarkEnd w:id="42"/>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12</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49" w:name="QuickMark_11"/>
    <w:bookmarkEnd w:id="49"/>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13</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54" w:name="QuickMark_12"/>
    <w:bookmarkEnd w:id="54"/>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14</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57" w:name="QuickMark_13"/>
    <w:bookmarkEnd w:id="57"/>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15</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58" w:name="QuickMark_14"/>
    <w:bookmarkEnd w:id="58"/>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Footer"/>
      <w:tabs>
        <w:tab w:val="clear" w:pos="4153"/>
        <w:tab w:val="clear" w:pos="8306"/>
        <w:tab w:val="right" w:pos="9090"/>
      </w:tabs>
      <w:rPr>
        <w:rFonts w:ascii="PMingLiU" w:hAnsi="PMingLiU"/>
        <w:sz w:val="18"/>
        <w:u w:val="single"/>
        <w:lang w:eastAsia="zh-TW"/>
      </w:rPr>
    </w:pPr>
    <w:r>
      <w:rPr>
        <w:rFonts w:ascii="PMingLiU" w:hAnsi="PMingLiU"/>
        <w:sz w:val="18"/>
        <w:u w:val="single"/>
        <w:lang w:eastAsia="zh-CN"/>
      </w:rPr>
      <w:tab/>
    </w:r>
  </w:p>
  <w:p w:rsidR="003104A5">
    <w:pPr>
      <w:pStyle w:val="Footer"/>
      <w:tabs>
        <w:tab w:val="clear" w:pos="4153"/>
        <w:tab w:val="center" w:pos="4536"/>
        <w:tab w:val="clear" w:pos="8306"/>
        <w:tab w:val="right" w:pos="9090"/>
      </w:tabs>
      <w:rPr>
        <w:rStyle w:val="PageNumber"/>
        <w:rFonts w:eastAsia="宋体"/>
        <w:sz w:val="18"/>
        <w:lang w:eastAsia="zh-CN"/>
      </w:rPr>
    </w:pPr>
    <w:r>
      <w:rPr>
        <w:rStyle w:val="PageNumber"/>
        <w:rFonts w:eastAsia="宋体" w:hint="eastAsia"/>
        <w:sz w:val="18"/>
        <w:lang w:eastAsia="zh-CN"/>
      </w:rPr>
      <w:t>电梯及自动扶梯装置</w:t>
    </w:r>
    <w:r>
      <w:rPr>
        <w:rFonts w:eastAsia="宋体"/>
        <w:sz w:val="18"/>
        <w:lang w:eastAsia="zh-CN"/>
      </w:rPr>
      <w:tab/>
    </w:r>
    <w:r>
      <w:rPr>
        <w:rFonts w:eastAsia="宋体"/>
        <w:sz w:val="18"/>
        <w:lang w:eastAsia="zh-CN"/>
      </w:rPr>
      <w:tab/>
    </w:r>
    <w:r>
      <w:rPr>
        <w:rFonts w:eastAsia="宋体" w:hint="eastAsia"/>
        <w:sz w:val="18"/>
        <w:lang w:eastAsia="zh-CN"/>
      </w:rPr>
      <w:t>第</w:t>
    </w:r>
    <w:r>
      <w:rPr>
        <w:rStyle w:val="PageNumber"/>
        <w:rFonts w:eastAsia="宋体"/>
        <w:sz w:val="18"/>
      </w:rPr>
      <w:fldChar w:fldCharType="begin"/>
    </w:r>
    <w:r>
      <w:rPr>
        <w:rStyle w:val="PageNumber"/>
        <w:rFonts w:eastAsia="宋体"/>
        <w:sz w:val="18"/>
        <w:lang w:eastAsia="zh-CN"/>
      </w:rPr>
      <w:instrText xml:space="preserve"> PAGE </w:instrText>
    </w:r>
    <w:r>
      <w:rPr>
        <w:rStyle w:val="PageNumber"/>
        <w:rFonts w:eastAsia="宋体"/>
        <w:sz w:val="18"/>
      </w:rPr>
      <w:fldChar w:fldCharType="separate"/>
    </w:r>
    <w:r>
      <w:rPr>
        <w:rStyle w:val="PageNumber"/>
        <w:rFonts w:eastAsia="宋体"/>
        <w:sz w:val="18"/>
        <w:lang w:eastAsia="zh-CN"/>
      </w:rPr>
      <w:t>16</w:t>
    </w:r>
    <w:r>
      <w:rPr>
        <w:rStyle w:val="PageNumber"/>
        <w:rFonts w:eastAsia="宋体"/>
        <w:sz w:val="18"/>
      </w:rPr>
      <w:fldChar w:fldCharType="end"/>
    </w:r>
    <w:r>
      <w:rPr>
        <w:rStyle w:val="PageNumber"/>
        <w:rFonts w:eastAsia="宋体" w:hint="eastAsia"/>
        <w:sz w:val="18"/>
        <w:lang w:eastAsia="zh-CN"/>
      </w:rPr>
      <w:t>页</w:t>
    </w:r>
  </w:p>
  <w:p w:rsidR="003104A5">
    <w:pPr>
      <w:pStyle w:val="Footer"/>
      <w:tabs>
        <w:tab w:val="clear" w:pos="4153"/>
        <w:tab w:val="center" w:pos="4536"/>
        <w:tab w:val="clear" w:pos="8306"/>
        <w:tab w:val="right" w:pos="9356"/>
      </w:tabs>
      <w:rPr>
        <w:rFonts w:eastAsia="宋体"/>
        <w:sz w:val="18"/>
        <w:lang w:eastAsia="zh-CN"/>
      </w:rPr>
    </w:pPr>
    <w:r>
      <w:rPr>
        <w:rStyle w:val="PageNumber"/>
        <w:rFonts w:eastAsia="宋体" w:hint="eastAsia"/>
        <w:sz w:val="18"/>
        <w:lang w:eastAsia="zh-CN"/>
      </w:rPr>
      <w:t>技术规格说明书（第一部分）</w:t>
    </w:r>
  </w:p>
  <w:p w:rsidR="003104A5">
    <w:pPr>
      <w:pStyle w:val="Footer"/>
      <w:widowControl w:val="0"/>
      <w:tabs>
        <w:tab w:val="decimal" w:pos="-4253"/>
        <w:tab w:val="clear" w:pos="4153"/>
        <w:tab w:val="clear" w:pos="8306"/>
      </w:tabs>
      <w:rPr>
        <w:rFonts w:ascii="PMingLiU" w:hAnsi="PMingLiU"/>
        <w:sz w:val="18"/>
        <w:lang w:eastAsia="zh-CN"/>
      </w:rPr>
    </w:pPr>
    <w:bookmarkStart w:id="63" w:name="QuickMark_15"/>
    <w:bookmarkEnd w:id="63"/>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104A5">
    <w:pPr>
      <w:pStyle w:val="Header"/>
      <w:pBdr>
        <w:bottom w:val="single" w:sz="4" w:space="1" w:color="auto"/>
      </w:pBdr>
      <w:tabs>
        <w:tab w:val="clear" w:pos="4153"/>
        <w:tab w:val="clear" w:pos="8306"/>
        <w:tab w:val="right" w:pos="9356"/>
      </w:tabs>
      <w:rPr>
        <w:rFonts w:eastAsiaTheme="minorEastAsia"/>
        <w:sz w:val="18"/>
        <w:lang w:eastAsia="zh-CN"/>
      </w:rPr>
    </w:pPr>
    <w:r>
      <w:rPr>
        <w:rFonts w:eastAsia="宋体" w:hint="eastAsia"/>
        <w:sz w:val="18"/>
        <w:lang w:eastAsia="zh-CN"/>
      </w:rPr>
      <w:t>*</w:t>
    </w:r>
    <w:r>
      <w:rPr>
        <w:rFonts w:eastAsia="宋体"/>
        <w:sz w:val="18"/>
        <w:lang w:eastAsia="zh-CN"/>
      </w:rPr>
      <w:t>****</w:t>
    </w:r>
    <w:r>
      <w:rPr>
        <w:rFonts w:eastAsia="宋体" w:hint="eastAsia"/>
        <w:sz w:val="18"/>
        <w:lang w:eastAsia="zh-CN"/>
      </w:rPr>
      <w:t>大厦</w:t>
    </w:r>
  </w:p>
  <w:p w:rsidR="003104A5">
    <w:pPr>
      <w:pStyle w:val="Header"/>
      <w:rPr>
        <w:rFonts w:eastAsia="宋体"/>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1">
    <w:nsid w:val="0053208E"/>
    <w:multiLevelType w:val="multilevel"/>
    <w:tmpl w:val="0053208E"/>
    <w:lvl w:ilvl="0">
      <w:start w:val="1"/>
      <w:numFmt w:val="decimal"/>
      <w:lvlText w:val="%1."/>
      <w:lvlJc w:val="left"/>
      <w:pPr>
        <w:tabs>
          <w:tab w:val="left" w:pos="794"/>
        </w:tabs>
        <w:ind w:left="794" w:hanging="794"/>
      </w:pPr>
      <w:rPr>
        <w:rFonts w:ascii="黑体" w:eastAsia="黑体" w:hAnsi="宋体" w:hint="eastAsia"/>
        <w:b/>
        <w:i w:val="0"/>
        <w:caps w:val="0"/>
        <w:strike w:val="0"/>
        <w:dstrike w:val="0"/>
        <w:snapToGrid w:val="0"/>
        <w:vanish w:val="0"/>
        <w:color w:val="auto"/>
        <w:spacing w:val="0"/>
        <w:w w:val="100"/>
        <w:kern w:val="0"/>
        <w:position w:val="0"/>
        <w:sz w:val="36"/>
        <w:szCs w:val="36"/>
        <w:vertAlign w:val="baseline"/>
        <w14:shadow w14:blurRad="0" w14:dist="0" w14:dir="0" w14:sx="0" w14:sy="0" w14:kx="0" w14:ky="0" w14:algn="none">
          <w14:srgbClr w14:val="000000"/>
        </w14:shadow>
      </w:rPr>
    </w:lvl>
    <w:lvl w:ilvl="1">
      <w:start w:val="1"/>
      <w:numFmt w:val="decimal"/>
      <w:pStyle w:val="11"/>
      <w:lvlText w:val="%1.%2."/>
      <w:lvlJc w:val="left"/>
      <w:pPr>
        <w:tabs>
          <w:tab w:val="left" w:pos="1220"/>
        </w:tabs>
        <w:ind w:left="1220" w:hanging="794"/>
      </w:pPr>
      <w:rPr>
        <w:rFonts w:ascii="宋体" w:eastAsia="宋体" w:hAnsi="宋体" w:hint="eastAsia"/>
        <w:b/>
        <w:i w:val="0"/>
        <w:caps w:val="0"/>
        <w:strike w:val="0"/>
        <w:dstrike w:val="0"/>
        <w:snapToGrid w:val="0"/>
        <w:vanish w:val="0"/>
        <w:color w:val="auto"/>
        <w:spacing w:val="0"/>
        <w:w w:val="100"/>
        <w:kern w:val="0"/>
        <w:position w:val="0"/>
        <w:sz w:val="24"/>
        <w:szCs w:val="24"/>
        <w:vertAlign w:val="baseline"/>
        <w14:shadow w14:blurRad="0" w14:dist="0" w14:dir="0" w14:sx="0" w14:sy="0" w14:kx="0" w14:ky="0" w14:algn="none">
          <w14:srgbClr w14:val="000000"/>
        </w14:shadow>
      </w:rPr>
    </w:lvl>
    <w:lvl w:ilvl="2">
      <w:start w:val="1"/>
      <w:numFmt w:val="decimal"/>
      <w:pStyle w:val="2"/>
      <w:isLgl/>
      <w:lvlText w:val="%1.%2.%3."/>
      <w:lvlJc w:val="left"/>
      <w:pPr>
        <w:tabs>
          <w:tab w:val="left" w:pos="794"/>
        </w:tabs>
        <w:ind w:left="794" w:hanging="794"/>
      </w:pPr>
      <w:rPr>
        <w:rFonts w:ascii="宋体" w:eastAsia="宋体" w:hint="eastAsia"/>
        <w:b w:val="0"/>
        <w:i w:val="0"/>
        <w:caps w:val="0"/>
        <w:strike w:val="0"/>
        <w:dstrike w:val="0"/>
        <w:snapToGrid w:val="0"/>
        <w:vanish w:val="0"/>
        <w:color w:val="000000"/>
        <w:spacing w:val="0"/>
        <w:w w:val="100"/>
        <w:kern w:val="0"/>
        <w:position w:val="0"/>
        <w:sz w:val="21"/>
        <w:szCs w:val="21"/>
        <w:vertAlign w:val="baseline"/>
        <w14:shadow w14:blurRad="0" w14:dist="0" w14:dir="0" w14:sx="0" w14:sy="0" w14:kx="0" w14:ky="0" w14:algn="none">
          <w14:srgbClr w14:val="000000"/>
        </w14:shadow>
      </w:rPr>
    </w:lvl>
    <w:lvl w:ilvl="3">
      <w:start w:val="1"/>
      <w:numFmt w:val="decimal"/>
      <w:lvlText w:val="（%4）"/>
      <w:lvlJc w:val="left"/>
      <w:pPr>
        <w:tabs>
          <w:tab w:val="left" w:pos="794"/>
        </w:tabs>
        <w:ind w:left="794" w:hanging="681"/>
      </w:pPr>
      <w:rPr>
        <w:rFonts w:ascii="宋体" w:eastAsia="宋体" w:hint="eastAsia"/>
        <w:b w:val="0"/>
        <w:i w:val="0"/>
        <w:caps w:val="0"/>
        <w:strike w:val="0"/>
        <w:dstrike w:val="0"/>
        <w:snapToGrid w:val="0"/>
        <w:vanish w:val="0"/>
        <w:spacing w:val="0"/>
        <w:w w:val="100"/>
        <w:kern w:val="0"/>
        <w:position w:val="0"/>
        <w:sz w:val="21"/>
        <w:vertAlign w:val="baseline"/>
        <w:lang w:val="en-US"/>
        <w14:shadow w14:blurRad="0" w14:dist="0" w14:dir="0" w14:sx="0" w14:sy="0" w14:kx="0" w14:ky="0" w14:algn="none">
          <w14:srgbClr w14:val="000000"/>
        </w14:shadow>
      </w:rPr>
    </w:lvl>
    <w:lvl w:ilvl="4">
      <w:start w:val="1"/>
      <w:numFmt w:val="lowerLetter"/>
      <w:lvlText w:val="%5."/>
      <w:lvlJc w:val="left"/>
      <w:pPr>
        <w:tabs>
          <w:tab w:val="left" w:pos="794"/>
        </w:tabs>
        <w:ind w:left="794" w:hanging="454"/>
      </w:pPr>
      <w:rPr>
        <w:rFonts w:ascii="宋体" w:eastAsia="宋体" w:hint="eastAsia"/>
        <w:b w:val="0"/>
        <w:i w:val="0"/>
        <w:caps w:val="0"/>
        <w:strike w:val="0"/>
        <w:dstrike w:val="0"/>
        <w:snapToGrid w:val="0"/>
        <w:vanish w:val="0"/>
        <w:color w:val="000000"/>
        <w:spacing w:val="0"/>
        <w:w w:val="100"/>
        <w:kern w:val="0"/>
        <w:position w:val="0"/>
        <w:sz w:val="21"/>
        <w:vertAlign w:val="baseline"/>
        <w14:shadow w14:blurRad="0" w14:dist="0" w14:dir="0" w14:sx="0" w14:sy="0" w14:kx="0" w14:ky="0" w14:algn="none">
          <w14:srgbClr w14:val="000000"/>
        </w14:shadow>
      </w:rPr>
    </w:lvl>
    <w:lvl w:ilvl="5">
      <w:start w:val="1"/>
      <w:numFmt w:val="bullet"/>
      <w:lvlText w:val="◆"/>
      <w:lvlJc w:val="left"/>
      <w:pPr>
        <w:tabs>
          <w:tab w:val="left" w:pos="794"/>
        </w:tabs>
        <w:ind w:left="794" w:hanging="454"/>
      </w:pPr>
      <w:rPr>
        <w:rFonts w:ascii="宋体" w:eastAsia="宋体" w:hAnsi="宋体" w:hint="eastAsia"/>
        <w:b w:val="0"/>
        <w:i w:val="0"/>
        <w:caps w:val="0"/>
        <w:strike w:val="0"/>
        <w:dstrike w:val="0"/>
        <w:snapToGrid w:val="0"/>
        <w:vanish w:val="0"/>
        <w:color w:val="auto"/>
        <w:spacing w:val="0"/>
        <w:w w:val="100"/>
        <w:kern w:val="0"/>
        <w:position w:val="0"/>
        <w:sz w:val="21"/>
        <w:vertAlign w:val="baseline"/>
        <w14:shadow w14:blurRad="0" w14:dist="0" w14:dir="0" w14:sx="0" w14:sy="0" w14:kx="0" w14:ky="0" w14:algn="none">
          <w14:srgbClr w14:val="000000"/>
        </w14:shadow>
      </w:rPr>
    </w:lvl>
    <w:lvl w:ilvl="6">
      <w:start w:val="1"/>
      <w:numFmt w:val="none"/>
      <w:lvlJc w:val="left"/>
      <w:pPr>
        <w:tabs>
          <w:tab w:val="left" w:pos="794"/>
        </w:tabs>
        <w:ind w:left="794" w:hanging="794"/>
      </w:pPr>
      <w:rPr>
        <w:rFonts w:hint="eastAsia"/>
      </w:rPr>
    </w:lvl>
    <w:lvl w:ilvl="7">
      <w:start w:val="1"/>
      <w:numFmt w:val="none"/>
      <w:lvlJc w:val="left"/>
      <w:pPr>
        <w:tabs>
          <w:tab w:val="left" w:pos="794"/>
        </w:tabs>
        <w:ind w:left="794" w:hanging="794"/>
      </w:pPr>
      <w:rPr>
        <w:rFonts w:hint="eastAsia"/>
      </w:rPr>
    </w:lvl>
    <w:lvl w:ilvl="8">
      <w:start w:val="1"/>
      <w:numFmt w:val="none"/>
      <w:lvlJc w:val="left"/>
      <w:pPr>
        <w:tabs>
          <w:tab w:val="left" w:pos="794"/>
        </w:tabs>
        <w:ind w:left="794" w:hanging="794"/>
      </w:pPr>
      <w:rPr>
        <w:rFonts w:hint="eastAsia"/>
      </w:rPr>
    </w:lvl>
  </w:abstractNum>
  <w:abstractNum w:abstractNumId="2">
    <w:nsid w:val="0527638E"/>
    <w:multiLevelType w:val="multilevel"/>
    <w:tmpl w:val="0527638E"/>
    <w:lvl w:ilvl="0">
      <w:start w:val="1"/>
      <w:numFmt w:val="decimal"/>
      <w:lvlText w:val="%1)"/>
      <w:lvlJc w:val="left"/>
      <w:pPr>
        <w:tabs>
          <w:tab w:val="left" w:pos="2370"/>
        </w:tabs>
        <w:ind w:left="2370" w:hanging="720"/>
      </w:pPr>
      <w:rPr>
        <w:rFonts w:ascii="Times New Roman" w:eastAsia="宋体" w:hAnsi="Times New Roman" w:hint="default"/>
        <w:color w:val="000000"/>
        <w:sz w:val="24"/>
      </w:rPr>
    </w:lvl>
    <w:lvl w:ilvl="1">
      <w:start w:val="1"/>
      <w:numFmt w:val="lowerLetter"/>
      <w:lvlText w:val="%2."/>
      <w:lvlJc w:val="left"/>
      <w:pPr>
        <w:tabs>
          <w:tab w:val="left" w:pos="2010"/>
        </w:tabs>
        <w:ind w:left="2010" w:hanging="360"/>
      </w:pPr>
    </w:lvl>
    <w:lvl w:ilvl="2">
      <w:start w:val="1"/>
      <w:numFmt w:val="lowerRoman"/>
      <w:lvlText w:val="%3."/>
      <w:lvlJc w:val="right"/>
      <w:pPr>
        <w:tabs>
          <w:tab w:val="left" w:pos="2730"/>
        </w:tabs>
        <w:ind w:left="2730" w:hanging="180"/>
      </w:pPr>
    </w:lvl>
    <w:lvl w:ilvl="3">
      <w:start w:val="1"/>
      <w:numFmt w:val="decimal"/>
      <w:lvlText w:val="%4."/>
      <w:lvlJc w:val="left"/>
      <w:pPr>
        <w:tabs>
          <w:tab w:val="left" w:pos="3450"/>
        </w:tabs>
        <w:ind w:left="3450" w:hanging="360"/>
      </w:p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3">
    <w:nsid w:val="0D49457D"/>
    <w:multiLevelType w:val="multilevel"/>
    <w:tmpl w:val="49D361E9"/>
    <w:lvl w:ilvl="0">
      <w:start w:val="1"/>
      <w:numFmt w:val="decimal"/>
      <w:lvlText w:val="%1)"/>
      <w:lvlJc w:val="left"/>
      <w:pPr>
        <w:tabs>
          <w:tab w:val="left" w:pos="1440"/>
        </w:tabs>
        <w:ind w:left="1440" w:hanging="720"/>
      </w:pPr>
      <w:rPr>
        <w:rFonts w:ascii="Times New Roman" w:hAnsi="Times New Roman" w:hint="default"/>
        <w:sz w:val="24"/>
      </w:rPr>
    </w:lvl>
    <w:lvl w:ilvl="1">
      <w:start w:val="1"/>
      <w:numFmt w:val="decimal"/>
      <w:lvlText w:val="%2)"/>
      <w:lvlJc w:val="left"/>
      <w:pPr>
        <w:tabs>
          <w:tab w:val="left" w:pos="1440"/>
        </w:tabs>
        <w:ind w:left="1212" w:hanging="132"/>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
    <w:nsid w:val="0D564E93"/>
    <w:multiLevelType w:val="multilevel"/>
    <w:tmpl w:val="0D564E93"/>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
    <w:nsid w:val="113004A2"/>
    <w:multiLevelType w:val="multilevel"/>
    <w:tmpl w:val="113004A2"/>
    <w:lvl w:ilvl="0">
      <w:start w:val="1"/>
      <w:numFmt w:val="decimal"/>
      <w:lvlText w:val="%1)"/>
      <w:lvlJc w:val="left"/>
      <w:pPr>
        <w:tabs>
          <w:tab w:val="left" w:pos="1080"/>
        </w:tabs>
        <w:ind w:left="1080" w:hanging="360"/>
      </w:pPr>
      <w:rPr>
        <w:rFonts w:ascii="Times New Roman" w:hAnsi="Times New Roman" w:hint="default"/>
        <w:b w:val="0"/>
        <w:i w:val="0"/>
        <w:sz w:val="24"/>
      </w:rPr>
    </w:lvl>
    <w:lvl w:ilvl="1">
      <w:start w:val="1"/>
      <w:numFmt w:val="decimal"/>
      <w:lvlText w:val="%2)"/>
      <w:lvlJc w:val="left"/>
      <w:pPr>
        <w:tabs>
          <w:tab w:val="left" w:pos="0"/>
        </w:tabs>
        <w:ind w:left="0" w:hanging="360"/>
      </w:pPr>
    </w:lvl>
    <w:lvl w:ilvl="2">
      <w:start w:val="1"/>
      <w:numFmt w:val="lowerRoman"/>
      <w:lvlText w:val="%3."/>
      <w:lvlJc w:val="right"/>
      <w:pPr>
        <w:tabs>
          <w:tab w:val="left" w:pos="720"/>
        </w:tabs>
        <w:ind w:left="720" w:hanging="180"/>
      </w:pPr>
    </w:lvl>
    <w:lvl w:ilvl="3">
      <w:start w:val="1"/>
      <w:numFmt w:val="decimal"/>
      <w:lvlText w:val="%4."/>
      <w:lvlJc w:val="left"/>
      <w:pPr>
        <w:tabs>
          <w:tab w:val="left" w:pos="1440"/>
        </w:tabs>
        <w:ind w:left="1440" w:hanging="360"/>
      </w:pPr>
    </w:lvl>
    <w:lvl w:ilvl="4">
      <w:start w:val="1"/>
      <w:numFmt w:val="lowerLetter"/>
      <w:lvlText w:val="%5."/>
      <w:lvlJc w:val="left"/>
      <w:pPr>
        <w:tabs>
          <w:tab w:val="left" w:pos="2160"/>
        </w:tabs>
        <w:ind w:left="2160" w:hanging="360"/>
      </w:pPr>
    </w:lvl>
    <w:lvl w:ilvl="5">
      <w:start w:val="1"/>
      <w:numFmt w:val="lowerRoman"/>
      <w:lvlText w:val="%6."/>
      <w:lvlJc w:val="right"/>
      <w:pPr>
        <w:tabs>
          <w:tab w:val="left" w:pos="2880"/>
        </w:tabs>
        <w:ind w:left="2880" w:hanging="180"/>
      </w:pPr>
    </w:lvl>
    <w:lvl w:ilvl="6">
      <w:start w:val="1"/>
      <w:numFmt w:val="decimal"/>
      <w:lvlText w:val="%7."/>
      <w:lvlJc w:val="left"/>
      <w:pPr>
        <w:tabs>
          <w:tab w:val="left" w:pos="3600"/>
        </w:tabs>
        <w:ind w:left="3600" w:hanging="360"/>
      </w:pPr>
    </w:lvl>
    <w:lvl w:ilvl="7">
      <w:start w:val="1"/>
      <w:numFmt w:val="lowerLetter"/>
      <w:lvlText w:val="%8."/>
      <w:lvlJc w:val="left"/>
      <w:pPr>
        <w:tabs>
          <w:tab w:val="left" w:pos="4320"/>
        </w:tabs>
        <w:ind w:left="4320" w:hanging="360"/>
      </w:pPr>
    </w:lvl>
    <w:lvl w:ilvl="8">
      <w:start w:val="1"/>
      <w:numFmt w:val="lowerRoman"/>
      <w:lvlText w:val="%9."/>
      <w:lvlJc w:val="right"/>
      <w:pPr>
        <w:tabs>
          <w:tab w:val="left" w:pos="5040"/>
        </w:tabs>
        <w:ind w:left="5040" w:hanging="180"/>
      </w:pPr>
    </w:lvl>
  </w:abstractNum>
  <w:abstractNum w:abstractNumId="6">
    <w:nsid w:val="12E6231C"/>
    <w:multiLevelType w:val="multilevel"/>
    <w:tmpl w:val="12E6231C"/>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7">
    <w:nsid w:val="147448E9"/>
    <w:multiLevelType w:val="multilevel"/>
    <w:tmpl w:val="147448E9"/>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8">
    <w:nsid w:val="14CB626F"/>
    <w:multiLevelType w:val="multilevel"/>
    <w:tmpl w:val="14CB626F"/>
    <w:lvl w:ilvl="0">
      <w:start w:val="1"/>
      <w:numFmt w:val="lowerLetter"/>
      <w:lvlText w:val="%1)"/>
      <w:lvlJc w:val="left"/>
      <w:pPr>
        <w:tabs>
          <w:tab w:val="left" w:pos="2640"/>
        </w:tabs>
        <w:ind w:left="2640" w:hanging="360"/>
      </w:pPr>
      <w:rPr>
        <w:rFonts w:hint="default"/>
      </w:rPr>
    </w:lvl>
    <w:lvl w:ilvl="1">
      <w:start w:val="1"/>
      <w:numFmt w:val="lowerLetter"/>
      <w:lvlText w:val="%2)"/>
      <w:lvlJc w:val="left"/>
      <w:pPr>
        <w:tabs>
          <w:tab w:val="left" w:pos="2640"/>
        </w:tabs>
        <w:ind w:left="2640" w:hanging="360"/>
      </w:pPr>
      <w:rPr>
        <w:rFonts w:hint="default"/>
      </w:rPr>
    </w:lvl>
    <w:lvl w:ilvl="2">
      <w:start w:val="1"/>
      <w:numFmt w:val="lowerRoman"/>
      <w:lvlText w:val="%3."/>
      <w:lvlJc w:val="right"/>
      <w:pPr>
        <w:tabs>
          <w:tab w:val="left" w:pos="3360"/>
        </w:tabs>
        <w:ind w:left="3360" w:hanging="180"/>
      </w:pPr>
    </w:lvl>
    <w:lvl w:ilvl="3">
      <w:start w:val="1"/>
      <w:numFmt w:val="decimal"/>
      <w:lvlText w:val="%4."/>
      <w:lvlJc w:val="left"/>
      <w:pPr>
        <w:tabs>
          <w:tab w:val="left" w:pos="4080"/>
        </w:tabs>
        <w:ind w:left="4080" w:hanging="360"/>
      </w:pPr>
    </w:lvl>
    <w:lvl w:ilvl="4">
      <w:start w:val="1"/>
      <w:numFmt w:val="lowerLetter"/>
      <w:lvlText w:val="%5."/>
      <w:lvlJc w:val="left"/>
      <w:pPr>
        <w:tabs>
          <w:tab w:val="left" w:pos="4800"/>
        </w:tabs>
        <w:ind w:left="4800" w:hanging="360"/>
      </w:pPr>
    </w:lvl>
    <w:lvl w:ilvl="5">
      <w:start w:val="1"/>
      <w:numFmt w:val="lowerRoman"/>
      <w:lvlText w:val="%6."/>
      <w:lvlJc w:val="right"/>
      <w:pPr>
        <w:tabs>
          <w:tab w:val="left" w:pos="5520"/>
        </w:tabs>
        <w:ind w:left="5520" w:hanging="180"/>
      </w:pPr>
    </w:lvl>
    <w:lvl w:ilvl="6">
      <w:start w:val="1"/>
      <w:numFmt w:val="decimal"/>
      <w:lvlText w:val="%7."/>
      <w:lvlJc w:val="left"/>
      <w:pPr>
        <w:tabs>
          <w:tab w:val="left" w:pos="6240"/>
        </w:tabs>
        <w:ind w:left="6240" w:hanging="360"/>
      </w:pPr>
    </w:lvl>
    <w:lvl w:ilvl="7">
      <w:start w:val="1"/>
      <w:numFmt w:val="lowerLetter"/>
      <w:lvlText w:val="%8."/>
      <w:lvlJc w:val="left"/>
      <w:pPr>
        <w:tabs>
          <w:tab w:val="left" w:pos="6960"/>
        </w:tabs>
        <w:ind w:left="6960" w:hanging="360"/>
      </w:pPr>
    </w:lvl>
    <w:lvl w:ilvl="8">
      <w:start w:val="1"/>
      <w:numFmt w:val="lowerRoman"/>
      <w:lvlText w:val="%9."/>
      <w:lvlJc w:val="right"/>
      <w:pPr>
        <w:tabs>
          <w:tab w:val="left" w:pos="7680"/>
        </w:tabs>
        <w:ind w:left="7680" w:hanging="180"/>
      </w:pPr>
    </w:lvl>
  </w:abstractNum>
  <w:abstractNum w:abstractNumId="9">
    <w:nsid w:val="179F5D39"/>
    <w:multiLevelType w:val="multilevel"/>
    <w:tmpl w:val="179F5D39"/>
    <w:lvl w:ilvl="0">
      <w:start w:val="1"/>
      <w:numFmt w:val="decimal"/>
      <w:pStyle w:val="ReportLevel1"/>
      <w:lvlText w:val="%1."/>
      <w:lvlJc w:val="left"/>
      <w:pPr>
        <w:tabs>
          <w:tab w:val="left" w:pos="1077"/>
        </w:tabs>
        <w:ind w:left="1077" w:hanging="1077"/>
      </w:pPr>
      <w:rPr>
        <w:rFonts w:ascii="Times New Roman Bold" w:hAnsi="Times New Roman Bold" w:hint="default"/>
        <w:b/>
        <w:i w:val="0"/>
        <w:sz w:val="24"/>
      </w:rPr>
    </w:lvl>
    <w:lvl w:ilvl="1">
      <w:start w:val="1"/>
      <w:numFmt w:val="decimal"/>
      <w:pStyle w:val="ReportLevel2"/>
      <w:lvlText w:val="%1.%2"/>
      <w:lvlJc w:val="left"/>
      <w:pPr>
        <w:tabs>
          <w:tab w:val="left" w:pos="1077"/>
        </w:tabs>
        <w:ind w:left="1077" w:hanging="1077"/>
      </w:pPr>
      <w:rPr>
        <w:rFonts w:ascii="Times New Roman" w:hAnsi="Times New Roman" w:hint="default"/>
        <w:b w:val="0"/>
        <w:i w:val="0"/>
        <w:sz w:val="21"/>
        <w:szCs w:val="21"/>
      </w:rPr>
    </w:lvl>
    <w:lvl w:ilvl="2">
      <w:start w:val="1"/>
      <w:numFmt w:val="decimal"/>
      <w:pStyle w:val="ReportLevel3"/>
      <w:lvlText w:val="%1.%2.%3"/>
      <w:lvlJc w:val="left"/>
      <w:pPr>
        <w:tabs>
          <w:tab w:val="left" w:pos="1080"/>
        </w:tabs>
        <w:ind w:left="1080" w:hanging="1080"/>
      </w:pPr>
      <w:rPr>
        <w:rFonts w:ascii="Times New Roman" w:hAnsi="Times New Roman" w:hint="default"/>
        <w:b w:val="0"/>
        <w:i w:val="0"/>
        <w:sz w:val="21"/>
        <w:szCs w:val="21"/>
      </w:rPr>
    </w:lvl>
    <w:lvl w:ilvl="3">
      <w:start w:val="1"/>
      <w:numFmt w:val="decimal"/>
      <w:pStyle w:val="ReportLevel4"/>
      <w:lvlText w:val="%1.%2.%3.%4"/>
      <w:lvlJc w:val="left"/>
      <w:pPr>
        <w:tabs>
          <w:tab w:val="left" w:pos="1077"/>
        </w:tabs>
        <w:ind w:left="1080" w:firstLine="31689"/>
      </w:pPr>
      <w:rPr>
        <w:rFonts w:ascii="Arial" w:hAnsi="Arial" w:hint="default"/>
        <w:b/>
        <w:i w:val="0"/>
        <w:sz w:val="20"/>
      </w:rPr>
    </w:lvl>
    <w:lvl w:ilvl="4">
      <w:start w:val="1"/>
      <w:numFmt w:val="decimal"/>
      <w:lvlText w:val="%1.%2.%3.%4.%5."/>
      <w:lvlJc w:val="left"/>
      <w:pPr>
        <w:tabs>
          <w:tab w:val="left" w:pos="2232"/>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10">
    <w:nsid w:val="17CE709A"/>
    <w:multiLevelType w:val="multilevel"/>
    <w:tmpl w:val="17CE709A"/>
    <w:lvl w:ilvl="0">
      <w:start w:val="1"/>
      <w:numFmt w:val="decimal"/>
      <w:lvlText w:val="%1)"/>
      <w:lvlJc w:val="left"/>
      <w:pPr>
        <w:tabs>
          <w:tab w:val="left" w:pos="1440"/>
        </w:tabs>
        <w:ind w:left="1440" w:hanging="36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1">
    <w:nsid w:val="21306FFC"/>
    <w:multiLevelType w:val="multilevel"/>
    <w:tmpl w:val="21306FFC"/>
    <w:lvl w:ilvl="0">
      <w:start w:val="1"/>
      <w:numFmt w:val="lowerLetter"/>
      <w:lvlText w:val="%1)"/>
      <w:lvlJc w:val="left"/>
      <w:pPr>
        <w:tabs>
          <w:tab w:val="left" w:pos="1922"/>
        </w:tabs>
        <w:ind w:left="1562" w:firstLine="0"/>
      </w:pPr>
      <w:rPr>
        <w:rFonts w:hint="default"/>
        <w:sz w:val="24"/>
      </w:rPr>
    </w:lvl>
    <w:lvl w:ilvl="1">
      <w:start w:val="1"/>
      <w:numFmt w:val="decimal"/>
      <w:lvlText w:val="%2)"/>
      <w:lvlJc w:val="left"/>
      <w:pPr>
        <w:tabs>
          <w:tab w:val="left" w:pos="1922"/>
        </w:tabs>
        <w:ind w:left="1922" w:hanging="360"/>
      </w:pPr>
      <w:rPr>
        <w:rFonts w:hint="eastAsia"/>
      </w:rPr>
    </w:lvl>
    <w:lvl w:ilvl="2">
      <w:start w:val="1"/>
      <w:numFmt w:val="lowerRoman"/>
      <w:lvlText w:val="%3."/>
      <w:lvlJc w:val="right"/>
      <w:pPr>
        <w:tabs>
          <w:tab w:val="left" w:pos="2642"/>
        </w:tabs>
        <w:ind w:left="2642" w:hanging="180"/>
      </w:pPr>
    </w:lvl>
    <w:lvl w:ilvl="3">
      <w:start w:val="1"/>
      <w:numFmt w:val="decimal"/>
      <w:lvlText w:val="%4."/>
      <w:lvlJc w:val="left"/>
      <w:pPr>
        <w:tabs>
          <w:tab w:val="left" w:pos="3362"/>
        </w:tabs>
        <w:ind w:left="3362" w:hanging="360"/>
      </w:pPr>
    </w:lvl>
    <w:lvl w:ilvl="4">
      <w:start w:val="1"/>
      <w:numFmt w:val="lowerLetter"/>
      <w:lvlText w:val="%5."/>
      <w:lvlJc w:val="left"/>
      <w:pPr>
        <w:tabs>
          <w:tab w:val="left" w:pos="4082"/>
        </w:tabs>
        <w:ind w:left="4082" w:hanging="360"/>
      </w:pPr>
    </w:lvl>
    <w:lvl w:ilvl="5">
      <w:start w:val="1"/>
      <w:numFmt w:val="lowerRoman"/>
      <w:lvlText w:val="%6."/>
      <w:lvlJc w:val="right"/>
      <w:pPr>
        <w:tabs>
          <w:tab w:val="left" w:pos="4802"/>
        </w:tabs>
        <w:ind w:left="4802" w:hanging="180"/>
      </w:pPr>
    </w:lvl>
    <w:lvl w:ilvl="6">
      <w:start w:val="1"/>
      <w:numFmt w:val="decimal"/>
      <w:lvlText w:val="%7."/>
      <w:lvlJc w:val="left"/>
      <w:pPr>
        <w:tabs>
          <w:tab w:val="left" w:pos="5522"/>
        </w:tabs>
        <w:ind w:left="5522" w:hanging="360"/>
      </w:pPr>
    </w:lvl>
    <w:lvl w:ilvl="7">
      <w:start w:val="1"/>
      <w:numFmt w:val="lowerLetter"/>
      <w:lvlText w:val="%8."/>
      <w:lvlJc w:val="left"/>
      <w:pPr>
        <w:tabs>
          <w:tab w:val="left" w:pos="6242"/>
        </w:tabs>
        <w:ind w:left="6242" w:hanging="360"/>
      </w:pPr>
    </w:lvl>
    <w:lvl w:ilvl="8">
      <w:start w:val="1"/>
      <w:numFmt w:val="lowerRoman"/>
      <w:lvlText w:val="%9."/>
      <w:lvlJc w:val="right"/>
      <w:pPr>
        <w:tabs>
          <w:tab w:val="left" w:pos="6962"/>
        </w:tabs>
        <w:ind w:left="6962" w:hanging="180"/>
      </w:pPr>
    </w:lvl>
  </w:abstractNum>
  <w:abstractNum w:abstractNumId="12">
    <w:nsid w:val="227D4DFA"/>
    <w:multiLevelType w:val="multilevel"/>
    <w:tmpl w:val="227D4DFA"/>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3">
    <w:nsid w:val="258218AE"/>
    <w:multiLevelType w:val="multilevel"/>
    <w:tmpl w:val="258218AE"/>
    <w:lvl w:ilvl="0">
      <w:start w:val="1"/>
      <w:numFmt w:val="lowerLetter"/>
      <w:lvlText w:val="%1)"/>
      <w:lvlJc w:val="left"/>
      <w:pPr>
        <w:tabs>
          <w:tab w:val="left" w:pos="2292"/>
        </w:tabs>
        <w:ind w:left="2292" w:hanging="720"/>
      </w:pPr>
      <w:rPr>
        <w:rFonts w:hint="eastAsi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nsid w:val="26FE11F2"/>
    <w:multiLevelType w:val="multilevel"/>
    <w:tmpl w:val="26FE11F2"/>
    <w:lvl w:ilvl="0">
      <w:start w:val="1"/>
      <w:numFmt w:val="decimal"/>
      <w:lvlText w:val="%1)"/>
      <w:lvlJc w:val="left"/>
      <w:pPr>
        <w:tabs>
          <w:tab w:val="left" w:pos="1440"/>
        </w:tabs>
        <w:ind w:left="1440" w:hanging="720"/>
      </w:pPr>
      <w:rPr>
        <w:rFonts w:ascii="Times New Roman" w:hAnsi="Times New Roman" w:hint="default"/>
        <w:sz w:val="24"/>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15">
    <w:nsid w:val="2AD0360E"/>
    <w:multiLevelType w:val="multilevel"/>
    <w:tmpl w:val="2AD0360E"/>
    <w:lvl w:ilvl="0">
      <w:start w:val="1"/>
      <w:numFmt w:val="lowerLetter"/>
      <w:lvlText w:val="%1)"/>
      <w:lvlJc w:val="left"/>
      <w:pPr>
        <w:tabs>
          <w:tab w:val="left" w:pos="1922"/>
        </w:tabs>
        <w:ind w:left="1922" w:hanging="360"/>
      </w:pPr>
      <w:rPr>
        <w:rFonts w:hint="default"/>
      </w:rPr>
    </w:lvl>
    <w:lvl w:ilvl="1">
      <w:start w:val="1"/>
      <w:numFmt w:val="lowerLetter"/>
      <w:lvlText w:val="%2."/>
      <w:lvlJc w:val="left"/>
      <w:pPr>
        <w:tabs>
          <w:tab w:val="left" w:pos="1922"/>
        </w:tabs>
        <w:ind w:left="1922" w:hanging="360"/>
      </w:pPr>
    </w:lvl>
    <w:lvl w:ilvl="2">
      <w:start w:val="1"/>
      <w:numFmt w:val="lowerLetter"/>
      <w:lvlText w:val="%3)"/>
      <w:lvlJc w:val="left"/>
      <w:pPr>
        <w:tabs>
          <w:tab w:val="left" w:pos="2822"/>
        </w:tabs>
        <w:ind w:left="2462" w:firstLine="0"/>
      </w:pPr>
      <w:rPr>
        <w:rFonts w:hint="default"/>
        <w:sz w:val="24"/>
      </w:rPr>
    </w:lvl>
    <w:lvl w:ilvl="3">
      <w:start w:val="1"/>
      <w:numFmt w:val="decimal"/>
      <w:lvlText w:val="%4."/>
      <w:lvlJc w:val="left"/>
      <w:pPr>
        <w:tabs>
          <w:tab w:val="left" w:pos="3362"/>
        </w:tabs>
        <w:ind w:left="3362" w:hanging="360"/>
      </w:pPr>
    </w:lvl>
    <w:lvl w:ilvl="4">
      <w:start w:val="1"/>
      <w:numFmt w:val="lowerLetter"/>
      <w:lvlText w:val="%5."/>
      <w:lvlJc w:val="left"/>
      <w:pPr>
        <w:tabs>
          <w:tab w:val="left" w:pos="4082"/>
        </w:tabs>
        <w:ind w:left="4082" w:hanging="360"/>
      </w:pPr>
    </w:lvl>
    <w:lvl w:ilvl="5">
      <w:start w:val="1"/>
      <w:numFmt w:val="lowerRoman"/>
      <w:lvlText w:val="%6."/>
      <w:lvlJc w:val="right"/>
      <w:pPr>
        <w:tabs>
          <w:tab w:val="left" w:pos="4802"/>
        </w:tabs>
        <w:ind w:left="4802" w:hanging="180"/>
      </w:pPr>
    </w:lvl>
    <w:lvl w:ilvl="6">
      <w:start w:val="1"/>
      <w:numFmt w:val="decimal"/>
      <w:lvlText w:val="%7."/>
      <w:lvlJc w:val="left"/>
      <w:pPr>
        <w:tabs>
          <w:tab w:val="left" w:pos="5522"/>
        </w:tabs>
        <w:ind w:left="5522" w:hanging="360"/>
      </w:pPr>
    </w:lvl>
    <w:lvl w:ilvl="7">
      <w:start w:val="1"/>
      <w:numFmt w:val="lowerLetter"/>
      <w:lvlText w:val="%8."/>
      <w:lvlJc w:val="left"/>
      <w:pPr>
        <w:tabs>
          <w:tab w:val="left" w:pos="6242"/>
        </w:tabs>
        <w:ind w:left="6242" w:hanging="360"/>
      </w:pPr>
    </w:lvl>
    <w:lvl w:ilvl="8">
      <w:start w:val="1"/>
      <w:numFmt w:val="lowerRoman"/>
      <w:lvlText w:val="%9."/>
      <w:lvlJc w:val="right"/>
      <w:pPr>
        <w:tabs>
          <w:tab w:val="left" w:pos="6962"/>
        </w:tabs>
        <w:ind w:left="6962" w:hanging="180"/>
      </w:pPr>
    </w:lvl>
  </w:abstractNum>
  <w:abstractNum w:abstractNumId="16">
    <w:nsid w:val="2B7A373D"/>
    <w:multiLevelType w:val="multilevel"/>
    <w:tmpl w:val="49230996"/>
    <w:lvl w:ilvl="0">
      <w:start w:val="1"/>
      <w:numFmt w:val="decimal"/>
      <w:lvlText w:val="%1)"/>
      <w:lvlJc w:val="left"/>
      <w:pPr>
        <w:tabs>
          <w:tab w:val="left" w:pos="1436"/>
        </w:tabs>
        <w:ind w:left="1436" w:hanging="720"/>
      </w:pPr>
      <w:rPr>
        <w:rFonts w:hint="eastAsia"/>
      </w:rPr>
    </w:lvl>
    <w:lvl w:ilvl="1">
      <w:start w:val="1"/>
      <w:numFmt w:val="ideographTraditional"/>
      <w:lvlText w:val="%2、"/>
      <w:lvlJc w:val="left"/>
      <w:pPr>
        <w:tabs>
          <w:tab w:val="left" w:pos="1676"/>
        </w:tabs>
        <w:ind w:left="1676" w:hanging="480"/>
      </w:pPr>
    </w:lvl>
    <w:lvl w:ilvl="2">
      <w:start w:val="1"/>
      <w:numFmt w:val="lowerRoman"/>
      <w:lvlText w:val="%3."/>
      <w:lvlJc w:val="right"/>
      <w:pPr>
        <w:tabs>
          <w:tab w:val="left" w:pos="2156"/>
        </w:tabs>
        <w:ind w:left="2156" w:hanging="480"/>
      </w:pPr>
    </w:lvl>
    <w:lvl w:ilvl="3">
      <w:start w:val="1"/>
      <w:numFmt w:val="decimal"/>
      <w:lvlText w:val="%4."/>
      <w:lvlJc w:val="left"/>
      <w:pPr>
        <w:tabs>
          <w:tab w:val="left" w:pos="2636"/>
        </w:tabs>
        <w:ind w:left="2636" w:hanging="480"/>
      </w:pPr>
    </w:lvl>
    <w:lvl w:ilvl="4">
      <w:start w:val="1"/>
      <w:numFmt w:val="ideographTraditional"/>
      <w:lvlText w:val="%5、"/>
      <w:lvlJc w:val="left"/>
      <w:pPr>
        <w:tabs>
          <w:tab w:val="left" w:pos="3116"/>
        </w:tabs>
        <w:ind w:left="3116" w:hanging="480"/>
      </w:pPr>
    </w:lvl>
    <w:lvl w:ilvl="5">
      <w:start w:val="1"/>
      <w:numFmt w:val="lowerRoman"/>
      <w:lvlText w:val="%6."/>
      <w:lvlJc w:val="right"/>
      <w:pPr>
        <w:tabs>
          <w:tab w:val="left" w:pos="3596"/>
        </w:tabs>
        <w:ind w:left="3596" w:hanging="480"/>
      </w:pPr>
    </w:lvl>
    <w:lvl w:ilvl="6">
      <w:start w:val="1"/>
      <w:numFmt w:val="decimal"/>
      <w:lvlText w:val="%7."/>
      <w:lvlJc w:val="left"/>
      <w:pPr>
        <w:tabs>
          <w:tab w:val="left" w:pos="4076"/>
        </w:tabs>
        <w:ind w:left="4076" w:hanging="480"/>
      </w:pPr>
    </w:lvl>
    <w:lvl w:ilvl="7">
      <w:start w:val="1"/>
      <w:numFmt w:val="ideographTraditional"/>
      <w:lvlText w:val="%8、"/>
      <w:lvlJc w:val="left"/>
      <w:pPr>
        <w:tabs>
          <w:tab w:val="left" w:pos="4556"/>
        </w:tabs>
        <w:ind w:left="4556" w:hanging="480"/>
      </w:pPr>
    </w:lvl>
    <w:lvl w:ilvl="8">
      <w:start w:val="1"/>
      <w:numFmt w:val="lowerRoman"/>
      <w:lvlText w:val="%9."/>
      <w:lvlJc w:val="right"/>
      <w:pPr>
        <w:tabs>
          <w:tab w:val="left" w:pos="5036"/>
        </w:tabs>
        <w:ind w:left="5036" w:hanging="480"/>
      </w:pPr>
    </w:lvl>
  </w:abstractNum>
  <w:abstractNum w:abstractNumId="17">
    <w:nsid w:val="2CC708A7"/>
    <w:multiLevelType w:val="multilevel"/>
    <w:tmpl w:val="2CC708A7"/>
    <w:lvl w:ilvl="0">
      <w:start w:val="1"/>
      <w:numFmt w:val="decimal"/>
      <w:lvlText w:val="%1)"/>
      <w:lvlJc w:val="left"/>
      <w:pPr>
        <w:ind w:left="1136" w:hanging="420"/>
      </w:pPr>
    </w:lvl>
    <w:lvl w:ilvl="1">
      <w:start w:val="1"/>
      <w:numFmt w:val="lowerLetter"/>
      <w:lvlText w:val="%2)"/>
      <w:lvlJc w:val="left"/>
      <w:pPr>
        <w:ind w:left="1556" w:hanging="420"/>
      </w:pPr>
    </w:lvl>
    <w:lvl w:ilvl="2">
      <w:start w:val="1"/>
      <w:numFmt w:val="lowerRoman"/>
      <w:lvlText w:val="%3."/>
      <w:lvlJc w:val="right"/>
      <w:pPr>
        <w:ind w:left="1976" w:hanging="420"/>
      </w:pPr>
    </w:lvl>
    <w:lvl w:ilvl="3">
      <w:start w:val="1"/>
      <w:numFmt w:val="decimal"/>
      <w:lvlText w:val="%4)"/>
      <w:lvlJc w:val="left"/>
      <w:pPr>
        <w:ind w:left="2396" w:hanging="420"/>
      </w:pPr>
    </w:lvl>
    <w:lvl w:ilvl="4">
      <w:start w:val="1"/>
      <w:numFmt w:val="lowerLetter"/>
      <w:lvlText w:val="%5)"/>
      <w:lvlJc w:val="left"/>
      <w:pPr>
        <w:ind w:left="2816" w:hanging="420"/>
      </w:pPr>
    </w:lvl>
    <w:lvl w:ilvl="5">
      <w:start w:val="1"/>
      <w:numFmt w:val="lowerRoman"/>
      <w:lvlText w:val="%6."/>
      <w:lvlJc w:val="right"/>
      <w:pPr>
        <w:ind w:left="3236" w:hanging="420"/>
      </w:pPr>
    </w:lvl>
    <w:lvl w:ilvl="6">
      <w:start w:val="1"/>
      <w:numFmt w:val="decimal"/>
      <w:lvlText w:val="%7."/>
      <w:lvlJc w:val="left"/>
      <w:pPr>
        <w:ind w:left="3656" w:hanging="420"/>
      </w:pPr>
    </w:lvl>
    <w:lvl w:ilvl="7">
      <w:start w:val="1"/>
      <w:numFmt w:val="lowerLetter"/>
      <w:lvlText w:val="%8)"/>
      <w:lvlJc w:val="left"/>
      <w:pPr>
        <w:ind w:left="4076" w:hanging="420"/>
      </w:pPr>
    </w:lvl>
    <w:lvl w:ilvl="8">
      <w:start w:val="1"/>
      <w:numFmt w:val="lowerRoman"/>
      <w:lvlText w:val="%9."/>
      <w:lvlJc w:val="right"/>
      <w:pPr>
        <w:ind w:left="4496" w:hanging="420"/>
      </w:pPr>
    </w:lvl>
  </w:abstractNum>
  <w:abstractNum w:abstractNumId="18">
    <w:nsid w:val="2DDC141A"/>
    <w:multiLevelType w:val="multilevel"/>
    <w:tmpl w:val="2DDC141A"/>
    <w:lvl w:ilvl="0">
      <w:start w:val="1"/>
      <w:numFmt w:val="decimal"/>
      <w:lvlText w:val="%1)"/>
      <w:lvlJc w:val="left"/>
      <w:pPr>
        <w:tabs>
          <w:tab w:val="left" w:pos="1440"/>
        </w:tabs>
        <w:ind w:left="144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2E023423"/>
    <w:multiLevelType w:val="multilevel"/>
    <w:tmpl w:val="2E02342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20">
    <w:nsid w:val="30E634CB"/>
    <w:multiLevelType w:val="multilevel"/>
    <w:tmpl w:val="30E634CB"/>
    <w:lvl w:ilvl="0">
      <w:start w:val="1"/>
      <w:numFmt w:val="decimal"/>
      <w:lvlText w:val="%1)"/>
      <w:lvlJc w:val="left"/>
      <w:pPr>
        <w:tabs>
          <w:tab w:val="left" w:pos="4176"/>
        </w:tabs>
        <w:ind w:left="4104" w:hanging="288"/>
      </w:pPr>
      <w:rPr>
        <w:rFonts w:hint="eastAsia"/>
      </w:rPr>
    </w:lvl>
    <w:lvl w:ilvl="1">
      <w:start w:val="1"/>
      <w:numFmt w:val="lowerLetter"/>
      <w:lvlText w:val="%2."/>
      <w:lvlJc w:val="left"/>
      <w:pPr>
        <w:tabs>
          <w:tab w:val="left" w:pos="1800"/>
        </w:tabs>
        <w:ind w:left="1800" w:hanging="360"/>
      </w:pPr>
    </w:lvl>
    <w:lvl w:ilvl="2">
      <w:start w:val="1"/>
      <w:numFmt w:val="lowerRoman"/>
      <w:lvlText w:val="%3."/>
      <w:lvlJc w:val="right"/>
      <w:pPr>
        <w:tabs>
          <w:tab w:val="left" w:pos="2520"/>
        </w:tabs>
        <w:ind w:left="2520" w:hanging="180"/>
      </w:pPr>
    </w:lvl>
    <w:lvl w:ilvl="3">
      <w:start w:val="1"/>
      <w:numFmt w:val="decimal"/>
      <w:lvlText w:val="%4."/>
      <w:lvlJc w:val="left"/>
      <w:pPr>
        <w:tabs>
          <w:tab w:val="left" w:pos="3240"/>
        </w:tabs>
        <w:ind w:left="3240" w:hanging="360"/>
      </w:pPr>
    </w:lvl>
    <w:lvl w:ilvl="4">
      <w:start w:val="1"/>
      <w:numFmt w:val="lowerLetter"/>
      <w:lvlText w:val="%5."/>
      <w:lvlJc w:val="left"/>
      <w:pPr>
        <w:tabs>
          <w:tab w:val="left" w:pos="3960"/>
        </w:tabs>
        <w:ind w:left="3960" w:hanging="360"/>
      </w:pPr>
    </w:lvl>
    <w:lvl w:ilvl="5">
      <w:start w:val="1"/>
      <w:numFmt w:val="lowerRoman"/>
      <w:lvlText w:val="%6."/>
      <w:lvlJc w:val="right"/>
      <w:pPr>
        <w:tabs>
          <w:tab w:val="left" w:pos="4680"/>
        </w:tabs>
        <w:ind w:left="4680" w:hanging="180"/>
      </w:pPr>
    </w:lvl>
    <w:lvl w:ilvl="6">
      <w:start w:val="1"/>
      <w:numFmt w:val="decimal"/>
      <w:lvlText w:val="%7."/>
      <w:lvlJc w:val="left"/>
      <w:pPr>
        <w:tabs>
          <w:tab w:val="left" w:pos="5400"/>
        </w:tabs>
        <w:ind w:left="5400" w:hanging="360"/>
      </w:pPr>
    </w:lvl>
    <w:lvl w:ilvl="7">
      <w:start w:val="1"/>
      <w:numFmt w:val="lowerLetter"/>
      <w:lvlText w:val="%8."/>
      <w:lvlJc w:val="left"/>
      <w:pPr>
        <w:tabs>
          <w:tab w:val="left" w:pos="6120"/>
        </w:tabs>
        <w:ind w:left="6120" w:hanging="360"/>
      </w:pPr>
    </w:lvl>
    <w:lvl w:ilvl="8">
      <w:start w:val="1"/>
      <w:numFmt w:val="lowerRoman"/>
      <w:lvlText w:val="%9."/>
      <w:lvlJc w:val="right"/>
      <w:pPr>
        <w:tabs>
          <w:tab w:val="left" w:pos="6840"/>
        </w:tabs>
        <w:ind w:left="6840" w:hanging="180"/>
      </w:pPr>
    </w:lvl>
  </w:abstractNum>
  <w:abstractNum w:abstractNumId="21">
    <w:nsid w:val="317A593E"/>
    <w:multiLevelType w:val="multilevel"/>
    <w:tmpl w:val="317A593E"/>
    <w:lvl w:ilvl="0">
      <w:start w:val="1"/>
      <w:numFmt w:val="decimal"/>
      <w:lvlText w:val="%1)"/>
      <w:lvlJc w:val="left"/>
      <w:pPr>
        <w:ind w:left="1500" w:hanging="420"/>
      </w:pPr>
    </w:lvl>
    <w:lvl w:ilvl="1">
      <w:start w:val="1"/>
      <w:numFmt w:val="decimal"/>
      <w:lvlText w:val="%2)"/>
      <w:lvlJc w:val="left"/>
      <w:pPr>
        <w:ind w:left="1920" w:hanging="420"/>
      </w:pPr>
    </w:lvl>
    <w:lvl w:ilvl="2">
      <w:start w:val="1"/>
      <w:numFmt w:val="lowerRoman"/>
      <w:lvlText w:val="%3."/>
      <w:lvlJc w:val="right"/>
      <w:pPr>
        <w:ind w:left="2340" w:hanging="420"/>
      </w:pPr>
    </w:lvl>
    <w:lvl w:ilvl="3">
      <w:start w:val="1"/>
      <w:numFmt w:val="decimal"/>
      <w:lvlText w:val="%4."/>
      <w:lvlJc w:val="left"/>
      <w:pPr>
        <w:ind w:left="2760" w:hanging="420"/>
      </w:pPr>
    </w:lvl>
    <w:lvl w:ilvl="4">
      <w:start w:val="1"/>
      <w:numFmt w:val="lowerLetter"/>
      <w:lvlText w:val="%5)"/>
      <w:lvlJc w:val="left"/>
      <w:pPr>
        <w:ind w:left="3180" w:hanging="420"/>
      </w:pPr>
    </w:lvl>
    <w:lvl w:ilvl="5">
      <w:start w:val="1"/>
      <w:numFmt w:val="lowerRoman"/>
      <w:lvlText w:val="%6."/>
      <w:lvlJc w:val="right"/>
      <w:pPr>
        <w:ind w:left="3600" w:hanging="420"/>
      </w:pPr>
    </w:lvl>
    <w:lvl w:ilvl="6">
      <w:start w:val="1"/>
      <w:numFmt w:val="decimal"/>
      <w:lvlText w:val="%7."/>
      <w:lvlJc w:val="left"/>
      <w:pPr>
        <w:ind w:left="4020" w:hanging="420"/>
      </w:pPr>
    </w:lvl>
    <w:lvl w:ilvl="7">
      <w:start w:val="1"/>
      <w:numFmt w:val="lowerLetter"/>
      <w:lvlText w:val="%8)"/>
      <w:lvlJc w:val="left"/>
      <w:pPr>
        <w:ind w:left="4440" w:hanging="420"/>
      </w:pPr>
    </w:lvl>
    <w:lvl w:ilvl="8">
      <w:start w:val="1"/>
      <w:numFmt w:val="lowerRoman"/>
      <w:lvlText w:val="%9."/>
      <w:lvlJc w:val="right"/>
      <w:pPr>
        <w:ind w:left="4860" w:hanging="420"/>
      </w:pPr>
    </w:lvl>
  </w:abstractNum>
  <w:abstractNum w:abstractNumId="22">
    <w:nsid w:val="32260B5F"/>
    <w:multiLevelType w:val="multilevel"/>
    <w:tmpl w:val="32260B5F"/>
    <w:lvl w:ilvl="0">
      <w:start w:val="1"/>
      <w:numFmt w:val="lowerLetter"/>
      <w:lvlText w:val="%1)"/>
      <w:lvlJc w:val="left"/>
      <w:pPr>
        <w:tabs>
          <w:tab w:val="left" w:pos="1800"/>
        </w:tabs>
        <w:ind w:left="1800" w:hanging="360"/>
      </w:pPr>
      <w:rPr>
        <w:rFonts w:ascii="Times New Roman"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23">
    <w:nsid w:val="344D3727"/>
    <w:multiLevelType w:val="singleLevel"/>
    <w:tmpl w:val="344D3727"/>
    <w:lvl w:ilvl="0">
      <w:start w:val="1"/>
      <w:numFmt w:val="decimal"/>
      <w:pStyle w:val="ReportReference"/>
      <w:lvlText w:val="[%1]"/>
      <w:lvlJc w:val="left"/>
      <w:pPr>
        <w:tabs>
          <w:tab w:val="left" w:pos="2736"/>
        </w:tabs>
        <w:ind w:left="576" w:firstLine="1440"/>
      </w:pPr>
    </w:lvl>
  </w:abstractNum>
  <w:abstractNum w:abstractNumId="24">
    <w:nsid w:val="34573988"/>
    <w:multiLevelType w:val="multilevel"/>
    <w:tmpl w:val="34573988"/>
    <w:lvl w:ilvl="0">
      <w:start w:val="1"/>
      <w:numFmt w:val="decimal"/>
      <w:lvlText w:val="%1)"/>
      <w:lvlJc w:val="left"/>
      <w:pPr>
        <w:tabs>
          <w:tab w:val="left" w:pos="2370"/>
        </w:tabs>
        <w:ind w:left="2370" w:hanging="720"/>
      </w:pPr>
      <w:rPr>
        <w:rFonts w:ascii="Times New Roman" w:eastAsia="宋体" w:hAnsi="Times New Roman" w:hint="default"/>
        <w:sz w:val="21"/>
        <w:szCs w:val="21"/>
      </w:rPr>
    </w:lvl>
    <w:lvl w:ilvl="1">
      <w:start w:val="1"/>
      <w:numFmt w:val="lowerLetter"/>
      <w:lvlText w:val="%2."/>
      <w:lvlJc w:val="left"/>
      <w:pPr>
        <w:tabs>
          <w:tab w:val="left" w:pos="2010"/>
        </w:tabs>
        <w:ind w:left="2010" w:hanging="360"/>
      </w:pPr>
    </w:lvl>
    <w:lvl w:ilvl="2">
      <w:start w:val="1"/>
      <w:numFmt w:val="lowerRoman"/>
      <w:lvlText w:val="%3."/>
      <w:lvlJc w:val="right"/>
      <w:pPr>
        <w:tabs>
          <w:tab w:val="left" w:pos="2730"/>
        </w:tabs>
        <w:ind w:left="2730" w:hanging="180"/>
      </w:pPr>
    </w:lvl>
    <w:lvl w:ilvl="3">
      <w:start w:val="1"/>
      <w:numFmt w:val="decimal"/>
      <w:lvlText w:val="%4."/>
      <w:lvlJc w:val="left"/>
      <w:pPr>
        <w:tabs>
          <w:tab w:val="left" w:pos="3450"/>
        </w:tabs>
        <w:ind w:left="3450" w:hanging="360"/>
      </w:p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25">
    <w:nsid w:val="36CB92AD"/>
    <w:multiLevelType w:val="multilevel"/>
    <w:tmpl w:val="3A80779C"/>
    <w:lvl w:ilvl="0">
      <w:start w:val="1"/>
      <w:numFmt w:val="decimal"/>
      <w:lvlText w:val="%1)"/>
      <w:lvlJc w:val="left"/>
      <w:pPr>
        <w:tabs>
          <w:tab w:val="left" w:pos="2370"/>
        </w:tabs>
        <w:ind w:left="2370" w:hanging="720"/>
      </w:pPr>
      <w:rPr>
        <w:rFonts w:ascii="Times New Roman" w:eastAsia="宋体" w:hAnsi="Times New Roman" w:hint="default"/>
        <w:sz w:val="21"/>
        <w:szCs w:val="21"/>
      </w:rPr>
    </w:lvl>
    <w:lvl w:ilvl="1">
      <w:start w:val="1"/>
      <w:numFmt w:val="lowerLetter"/>
      <w:lvlText w:val="%2)"/>
      <w:lvlJc w:val="left"/>
      <w:pPr>
        <w:tabs>
          <w:tab w:val="left" w:pos="2010"/>
        </w:tabs>
        <w:ind w:left="1650" w:firstLine="0"/>
      </w:pPr>
      <w:rPr>
        <w:rFonts w:hint="default"/>
        <w:sz w:val="24"/>
      </w:rPr>
    </w:lvl>
    <w:lvl w:ilvl="2">
      <w:start w:val="1"/>
      <w:numFmt w:val="lowerLetter"/>
      <w:lvlText w:val="%3."/>
      <w:lvlJc w:val="left"/>
      <w:pPr>
        <w:tabs>
          <w:tab w:val="left" w:pos="2910"/>
        </w:tabs>
        <w:ind w:left="2910" w:hanging="360"/>
      </w:pPr>
      <w:rPr>
        <w:rFonts w:hint="eastAsia"/>
      </w:rPr>
    </w:lvl>
    <w:lvl w:ilvl="3">
      <w:start w:val="1"/>
      <w:numFmt w:val="lowerLetter"/>
      <w:lvlText w:val="(%4)"/>
      <w:lvlJc w:val="left"/>
      <w:pPr>
        <w:tabs>
          <w:tab w:val="left" w:pos="3450"/>
        </w:tabs>
        <w:ind w:left="3450" w:hanging="360"/>
      </w:pPr>
      <w:rPr>
        <w:rFonts w:hint="eastAsia"/>
      </w:r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26">
    <w:nsid w:val="3A80779C"/>
    <w:multiLevelType w:val="multilevel"/>
    <w:tmpl w:val="3A80779C"/>
    <w:lvl w:ilvl="0">
      <w:start w:val="1"/>
      <w:numFmt w:val="decimal"/>
      <w:lvlText w:val="%1)"/>
      <w:lvlJc w:val="left"/>
      <w:pPr>
        <w:tabs>
          <w:tab w:val="left" w:pos="2370"/>
        </w:tabs>
        <w:ind w:left="2370" w:hanging="720"/>
      </w:pPr>
      <w:rPr>
        <w:rFonts w:ascii="Times New Roman" w:eastAsia="宋体" w:hAnsi="Times New Roman" w:hint="default"/>
        <w:sz w:val="21"/>
        <w:szCs w:val="21"/>
      </w:rPr>
    </w:lvl>
    <w:lvl w:ilvl="1">
      <w:start w:val="1"/>
      <w:numFmt w:val="lowerLetter"/>
      <w:lvlText w:val="%2)"/>
      <w:lvlJc w:val="left"/>
      <w:pPr>
        <w:tabs>
          <w:tab w:val="left" w:pos="2010"/>
        </w:tabs>
        <w:ind w:left="1650" w:firstLine="0"/>
      </w:pPr>
      <w:rPr>
        <w:rFonts w:hint="default"/>
        <w:sz w:val="24"/>
      </w:rPr>
    </w:lvl>
    <w:lvl w:ilvl="2">
      <w:start w:val="1"/>
      <w:numFmt w:val="lowerLetter"/>
      <w:lvlText w:val="%3."/>
      <w:lvlJc w:val="left"/>
      <w:pPr>
        <w:tabs>
          <w:tab w:val="left" w:pos="2910"/>
        </w:tabs>
        <w:ind w:left="2910" w:hanging="360"/>
      </w:pPr>
      <w:rPr>
        <w:rFonts w:hint="eastAsia"/>
      </w:rPr>
    </w:lvl>
    <w:lvl w:ilvl="3">
      <w:start w:val="1"/>
      <w:numFmt w:val="lowerLetter"/>
      <w:lvlText w:val="(%4)"/>
      <w:lvlJc w:val="left"/>
      <w:pPr>
        <w:tabs>
          <w:tab w:val="left" w:pos="3450"/>
        </w:tabs>
        <w:ind w:left="3450" w:hanging="360"/>
      </w:pPr>
      <w:rPr>
        <w:rFonts w:hint="eastAsia"/>
      </w:r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27">
    <w:nsid w:val="3BDA6033"/>
    <w:multiLevelType w:val="multilevel"/>
    <w:tmpl w:val="3BDA6033"/>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28">
    <w:nsid w:val="428F2E2A"/>
    <w:multiLevelType w:val="multilevel"/>
    <w:tmpl w:val="428F2E2A"/>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29">
    <w:nsid w:val="44570F41"/>
    <w:multiLevelType w:val="multilevel"/>
    <w:tmpl w:val="44570F41"/>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0">
    <w:nsid w:val="44C03708"/>
    <w:multiLevelType w:val="multilevel"/>
    <w:tmpl w:val="44C03708"/>
    <w:lvl w:ilvl="0">
      <w:start w:val="1"/>
      <w:numFmt w:val="lowerLetter"/>
      <w:lvlText w:val="%1)"/>
      <w:lvlJc w:val="left"/>
      <w:pPr>
        <w:tabs>
          <w:tab w:val="left" w:pos="1800"/>
        </w:tabs>
        <w:ind w:left="1800" w:hanging="360"/>
      </w:pPr>
      <w:rPr>
        <w:rFonts w:ascii="Times New Roman"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31">
    <w:nsid w:val="47F677A9"/>
    <w:multiLevelType w:val="multilevel"/>
    <w:tmpl w:val="47F677A9"/>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32">
    <w:nsid w:val="49230996"/>
    <w:multiLevelType w:val="multilevel"/>
    <w:tmpl w:val="49230996"/>
    <w:lvl w:ilvl="0">
      <w:start w:val="1"/>
      <w:numFmt w:val="decimal"/>
      <w:lvlText w:val="%1)"/>
      <w:lvlJc w:val="left"/>
      <w:pPr>
        <w:tabs>
          <w:tab w:val="left" w:pos="1436"/>
        </w:tabs>
        <w:ind w:left="1436" w:hanging="720"/>
      </w:pPr>
      <w:rPr>
        <w:rFonts w:hint="eastAsia"/>
      </w:rPr>
    </w:lvl>
    <w:lvl w:ilvl="1">
      <w:start w:val="1"/>
      <w:numFmt w:val="ideographTraditional"/>
      <w:lvlText w:val="%2、"/>
      <w:lvlJc w:val="left"/>
      <w:pPr>
        <w:tabs>
          <w:tab w:val="left" w:pos="1676"/>
        </w:tabs>
        <w:ind w:left="1676" w:hanging="480"/>
      </w:pPr>
    </w:lvl>
    <w:lvl w:ilvl="2">
      <w:start w:val="1"/>
      <w:numFmt w:val="lowerRoman"/>
      <w:lvlText w:val="%3."/>
      <w:lvlJc w:val="right"/>
      <w:pPr>
        <w:tabs>
          <w:tab w:val="left" w:pos="2156"/>
        </w:tabs>
        <w:ind w:left="2156" w:hanging="480"/>
      </w:pPr>
    </w:lvl>
    <w:lvl w:ilvl="3">
      <w:start w:val="1"/>
      <w:numFmt w:val="decimal"/>
      <w:lvlText w:val="%4."/>
      <w:lvlJc w:val="left"/>
      <w:pPr>
        <w:tabs>
          <w:tab w:val="left" w:pos="2636"/>
        </w:tabs>
        <w:ind w:left="2636" w:hanging="480"/>
      </w:pPr>
    </w:lvl>
    <w:lvl w:ilvl="4">
      <w:start w:val="1"/>
      <w:numFmt w:val="ideographTraditional"/>
      <w:lvlText w:val="%5、"/>
      <w:lvlJc w:val="left"/>
      <w:pPr>
        <w:tabs>
          <w:tab w:val="left" w:pos="3116"/>
        </w:tabs>
        <w:ind w:left="3116" w:hanging="480"/>
      </w:pPr>
    </w:lvl>
    <w:lvl w:ilvl="5">
      <w:start w:val="1"/>
      <w:numFmt w:val="lowerRoman"/>
      <w:lvlText w:val="%6."/>
      <w:lvlJc w:val="right"/>
      <w:pPr>
        <w:tabs>
          <w:tab w:val="left" w:pos="3596"/>
        </w:tabs>
        <w:ind w:left="3596" w:hanging="480"/>
      </w:pPr>
    </w:lvl>
    <w:lvl w:ilvl="6">
      <w:start w:val="1"/>
      <w:numFmt w:val="decimal"/>
      <w:lvlText w:val="%7."/>
      <w:lvlJc w:val="left"/>
      <w:pPr>
        <w:tabs>
          <w:tab w:val="left" w:pos="4076"/>
        </w:tabs>
        <w:ind w:left="4076" w:hanging="480"/>
      </w:pPr>
    </w:lvl>
    <w:lvl w:ilvl="7">
      <w:start w:val="1"/>
      <w:numFmt w:val="ideographTraditional"/>
      <w:lvlText w:val="%8、"/>
      <w:lvlJc w:val="left"/>
      <w:pPr>
        <w:tabs>
          <w:tab w:val="left" w:pos="4556"/>
        </w:tabs>
        <w:ind w:left="4556" w:hanging="480"/>
      </w:pPr>
    </w:lvl>
    <w:lvl w:ilvl="8">
      <w:start w:val="1"/>
      <w:numFmt w:val="lowerRoman"/>
      <w:lvlText w:val="%9."/>
      <w:lvlJc w:val="right"/>
      <w:pPr>
        <w:tabs>
          <w:tab w:val="left" w:pos="5036"/>
        </w:tabs>
        <w:ind w:left="5036" w:hanging="480"/>
      </w:pPr>
    </w:lvl>
  </w:abstractNum>
  <w:abstractNum w:abstractNumId="33">
    <w:nsid w:val="49D361E9"/>
    <w:multiLevelType w:val="multilevel"/>
    <w:tmpl w:val="49D361E9"/>
    <w:lvl w:ilvl="0">
      <w:start w:val="1"/>
      <w:numFmt w:val="decimal"/>
      <w:lvlText w:val="%1)"/>
      <w:lvlJc w:val="left"/>
      <w:pPr>
        <w:tabs>
          <w:tab w:val="left" w:pos="1440"/>
        </w:tabs>
        <w:ind w:left="1440" w:hanging="720"/>
      </w:pPr>
      <w:rPr>
        <w:rFonts w:ascii="Times New Roman" w:hAnsi="Times New Roman" w:hint="default"/>
        <w:sz w:val="24"/>
      </w:rPr>
    </w:lvl>
    <w:lvl w:ilvl="1">
      <w:start w:val="1"/>
      <w:numFmt w:val="decimal"/>
      <w:lvlText w:val="%2)"/>
      <w:lvlJc w:val="left"/>
      <w:pPr>
        <w:tabs>
          <w:tab w:val="left" w:pos="1440"/>
        </w:tabs>
        <w:ind w:left="1212" w:hanging="132"/>
      </w:pPr>
      <w:rPr>
        <w:rFonts w:hint="default"/>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4">
    <w:nsid w:val="4A3E627E"/>
    <w:multiLevelType w:val="singleLevel"/>
    <w:tmpl w:val="4A3E627E"/>
    <w:lvl w:ilvl="0">
      <w:start w:val="1"/>
      <w:numFmt w:val="bullet"/>
      <w:pStyle w:val="List"/>
      <w:lvlText w:val=""/>
      <w:lvlJc w:val="left"/>
      <w:pPr>
        <w:tabs>
          <w:tab w:val="left" w:pos="1440"/>
        </w:tabs>
        <w:ind w:left="1440" w:hanging="360"/>
      </w:pPr>
      <w:rPr>
        <w:rFonts w:ascii="Symbol" w:hAnsi="Symbol" w:hint="default"/>
      </w:rPr>
    </w:lvl>
  </w:abstractNum>
  <w:abstractNum w:abstractNumId="35">
    <w:nsid w:val="4B4441F7"/>
    <w:multiLevelType w:val="singleLevel"/>
    <w:tmpl w:val="4B4441F7"/>
    <w:lvl w:ilvl="0">
      <w:start w:val="1"/>
      <w:numFmt w:val="bullet"/>
      <w:pStyle w:val="ReportList1"/>
      <w:lvlText w:val=""/>
      <w:lvlJc w:val="left"/>
      <w:pPr>
        <w:tabs>
          <w:tab w:val="left" w:pos="1440"/>
        </w:tabs>
        <w:ind w:left="1440" w:hanging="360"/>
      </w:pPr>
      <w:rPr>
        <w:rFonts w:ascii="Symbol" w:hAnsi="Symbol" w:hint="default"/>
      </w:rPr>
    </w:lvl>
  </w:abstractNum>
  <w:abstractNum w:abstractNumId="36">
    <w:nsid w:val="4D045632"/>
    <w:multiLevelType w:val="multilevel"/>
    <w:tmpl w:val="4D045632"/>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37">
    <w:nsid w:val="4D217513"/>
    <w:multiLevelType w:val="multilevel"/>
    <w:tmpl w:val="147448E9"/>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520"/>
        </w:tabs>
        <w:ind w:left="2520" w:hanging="360"/>
      </w:pPr>
    </w:lvl>
    <w:lvl w:ilvl="2">
      <w:start w:val="1"/>
      <w:numFmt w:val="lowerRoman"/>
      <w:lvlText w:val="%3."/>
      <w:lvlJc w:val="right"/>
      <w:pPr>
        <w:tabs>
          <w:tab w:val="left" w:pos="3240"/>
        </w:tabs>
        <w:ind w:left="3240" w:hanging="180"/>
      </w:pPr>
    </w:lvl>
    <w:lvl w:ilvl="3">
      <w:start w:val="1"/>
      <w:numFmt w:val="decimal"/>
      <w:lvlText w:val="%4."/>
      <w:lvlJc w:val="left"/>
      <w:pPr>
        <w:tabs>
          <w:tab w:val="left" w:pos="3960"/>
        </w:tabs>
        <w:ind w:left="3960" w:hanging="360"/>
      </w:pPr>
    </w:lvl>
    <w:lvl w:ilvl="4">
      <w:start w:val="1"/>
      <w:numFmt w:val="lowerLetter"/>
      <w:lvlText w:val="%5."/>
      <w:lvlJc w:val="left"/>
      <w:pPr>
        <w:tabs>
          <w:tab w:val="left" w:pos="4680"/>
        </w:tabs>
        <w:ind w:left="4680" w:hanging="360"/>
      </w:pPr>
    </w:lvl>
    <w:lvl w:ilvl="5">
      <w:start w:val="1"/>
      <w:numFmt w:val="lowerRoman"/>
      <w:lvlText w:val="%6."/>
      <w:lvlJc w:val="right"/>
      <w:pPr>
        <w:tabs>
          <w:tab w:val="left" w:pos="5400"/>
        </w:tabs>
        <w:ind w:left="5400" w:hanging="180"/>
      </w:pPr>
    </w:lvl>
    <w:lvl w:ilvl="6">
      <w:start w:val="1"/>
      <w:numFmt w:val="decimal"/>
      <w:lvlText w:val="%7."/>
      <w:lvlJc w:val="left"/>
      <w:pPr>
        <w:tabs>
          <w:tab w:val="left" w:pos="6120"/>
        </w:tabs>
        <w:ind w:left="6120" w:hanging="360"/>
      </w:pPr>
    </w:lvl>
    <w:lvl w:ilvl="7">
      <w:start w:val="1"/>
      <w:numFmt w:val="lowerLetter"/>
      <w:lvlText w:val="%8."/>
      <w:lvlJc w:val="left"/>
      <w:pPr>
        <w:tabs>
          <w:tab w:val="left" w:pos="6840"/>
        </w:tabs>
        <w:ind w:left="6840" w:hanging="360"/>
      </w:pPr>
    </w:lvl>
    <w:lvl w:ilvl="8">
      <w:start w:val="1"/>
      <w:numFmt w:val="lowerRoman"/>
      <w:lvlText w:val="%9."/>
      <w:lvlJc w:val="right"/>
      <w:pPr>
        <w:tabs>
          <w:tab w:val="left" w:pos="7560"/>
        </w:tabs>
        <w:ind w:left="7560" w:hanging="180"/>
      </w:pPr>
    </w:lvl>
  </w:abstractNum>
  <w:abstractNum w:abstractNumId="38">
    <w:nsid w:val="523E4BCF"/>
    <w:multiLevelType w:val="multilevel"/>
    <w:tmpl w:val="523E4BCF"/>
    <w:lvl w:ilvl="0">
      <w:start w:val="1"/>
      <w:numFmt w:val="decimal"/>
      <w:lvlText w:val="%1)"/>
      <w:lvlJc w:val="left"/>
      <w:pPr>
        <w:tabs>
          <w:tab w:val="left" w:pos="1440"/>
        </w:tabs>
        <w:ind w:left="1440" w:hanging="720"/>
      </w:pPr>
      <w:rPr>
        <w:rFonts w:ascii="Times New Roman" w:hAnsi="Times New Roman" w:hint="default"/>
        <w:sz w:val="24"/>
      </w:rPr>
    </w:lvl>
    <w:lvl w:ilvl="1">
      <w:start w:val="1"/>
      <w:numFmt w:val="lowerLetter"/>
      <w:lvlText w:val="%2)"/>
      <w:lvlJc w:val="left"/>
      <w:pPr>
        <w:tabs>
          <w:tab w:val="left" w:pos="1440"/>
        </w:tabs>
        <w:ind w:left="1080" w:firstLine="0"/>
      </w:pPr>
      <w:rPr>
        <w:rFonts w:hint="default"/>
        <w:sz w:val="24"/>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39">
    <w:nsid w:val="534CA34C"/>
    <w:multiLevelType w:val="multilevel"/>
    <w:tmpl w:val="26FE11F2"/>
    <w:lvl w:ilvl="0">
      <w:start w:val="1"/>
      <w:numFmt w:val="decimal"/>
      <w:lvlText w:val="%1)"/>
      <w:lvlJc w:val="left"/>
      <w:pPr>
        <w:tabs>
          <w:tab w:val="left" w:pos="1440"/>
        </w:tabs>
        <w:ind w:left="1440" w:hanging="720"/>
      </w:pPr>
      <w:rPr>
        <w:rFonts w:ascii="Times New Roman" w:hAnsi="Times New Roman" w:hint="default"/>
        <w:sz w:val="24"/>
      </w:rPr>
    </w:lvl>
    <w:lvl w:ilvl="1">
      <w:start w:val="1"/>
      <w:numFmt w:val="decimal"/>
      <w:lvlText w:val="%2)"/>
      <w:lvlJc w:val="left"/>
      <w:pPr>
        <w:tabs>
          <w:tab w:val="left" w:pos="1440"/>
        </w:tabs>
        <w:ind w:left="1440" w:hanging="360"/>
      </w:pPr>
      <w:rPr>
        <w:rFonts w:hint="eastAsia"/>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0">
    <w:nsid w:val="54F44E9E"/>
    <w:multiLevelType w:val="multilevel"/>
    <w:tmpl w:val="54F44E9E"/>
    <w:lvl w:ilvl="0">
      <w:start w:val="1"/>
      <w:numFmt w:val="decimal"/>
      <w:pStyle w:val="Heading1"/>
      <w:lvlText w:val="%1.0"/>
      <w:lvlJc w:val="left"/>
      <w:pPr>
        <w:tabs>
          <w:tab w:val="left" w:pos="720"/>
        </w:tabs>
        <w:ind w:left="720" w:hanging="720"/>
      </w:pPr>
      <w:rPr>
        <w:rFonts w:ascii="Times New Roman" w:hAnsi="Times New Roman" w:hint="default"/>
        <w:b/>
        <w:i w:val="0"/>
        <w:caps w:val="0"/>
        <w:sz w:val="24"/>
      </w:rPr>
    </w:lvl>
    <w:lvl w:ilvl="1">
      <w:start w:val="1"/>
      <w:numFmt w:val="decimal"/>
      <w:lvlText w:val="%1.%2"/>
      <w:lvlJc w:val="left"/>
      <w:pPr>
        <w:tabs>
          <w:tab w:val="left" w:pos="720"/>
        </w:tabs>
        <w:ind w:left="720" w:hanging="720"/>
      </w:pPr>
      <w:rPr>
        <w:rFonts w:ascii="Times New Roman" w:hAnsi="Times New Roman" w:hint="default"/>
        <w:b/>
        <w:i w:val="0"/>
        <w:caps w:val="0"/>
        <w:sz w:val="24"/>
      </w:rPr>
    </w:lvl>
    <w:lvl w:ilvl="2">
      <w:start w:val="1"/>
      <w:numFmt w:val="decimal"/>
      <w:lvlText w:val="%1.%2.%3"/>
      <w:lvlJc w:val="left"/>
      <w:pPr>
        <w:tabs>
          <w:tab w:val="left" w:pos="720"/>
        </w:tabs>
        <w:ind w:left="720" w:hanging="720"/>
      </w:pPr>
      <w:rPr>
        <w:rFonts w:ascii="Times New Roman" w:hAnsi="Times New Roman" w:hint="default"/>
        <w:b/>
        <w:i w:val="0"/>
        <w:caps w:val="0"/>
        <w:sz w:val="24"/>
      </w:rPr>
    </w:lvl>
    <w:lvl w:ilvl="3">
      <w:start w:val="1"/>
      <w:numFmt w:val="decimal"/>
      <w:lvlText w:val="%1.%2.%3.%4"/>
      <w:lvlJc w:val="left"/>
      <w:pPr>
        <w:tabs>
          <w:tab w:val="left" w:pos="1440"/>
        </w:tabs>
        <w:ind w:left="1440" w:hanging="1440"/>
      </w:pPr>
      <w:rPr>
        <w:rFonts w:ascii="Arial" w:hAnsi="Arial" w:hint="default"/>
        <w:b/>
        <w:i w:val="0"/>
        <w:caps w:val="0"/>
        <w:sz w:val="20"/>
      </w:rPr>
    </w:lvl>
    <w:lvl w:ilvl="4">
      <w:start w:val="1"/>
      <w:numFmt w:val="decimal"/>
      <w:lvlText w:val="%1.%2.%3.%4.%5."/>
      <w:lvlJc w:val="left"/>
      <w:pPr>
        <w:tabs>
          <w:tab w:val="left" w:pos="2520"/>
        </w:tabs>
        <w:ind w:left="2232" w:hanging="792"/>
      </w:pPr>
      <w:rPr>
        <w:rFonts w:hint="default"/>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41">
    <w:nsid w:val="56AB27FF"/>
    <w:multiLevelType w:val="multilevel"/>
    <w:tmpl w:val="56AB27FF"/>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2">
    <w:nsid w:val="572F5EBB"/>
    <w:multiLevelType w:val="multilevel"/>
    <w:tmpl w:val="572F5EBB"/>
    <w:lvl w:ilvl="0">
      <w:start w:val="1"/>
      <w:numFmt w:val="decimal"/>
      <w:lvlText w:val="%1)"/>
      <w:lvlJc w:val="left"/>
      <w:pPr>
        <w:tabs>
          <w:tab w:val="left" w:pos="2370"/>
        </w:tabs>
        <w:ind w:left="2370" w:hanging="2370"/>
      </w:pPr>
      <w:rPr>
        <w:rFonts w:ascii="Times New Roman" w:eastAsia="宋体" w:hAnsi="Times New Roman" w:hint="default"/>
        <w:sz w:val="24"/>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3">
    <w:nsid w:val="58D24B50"/>
    <w:multiLevelType w:val="multilevel"/>
    <w:tmpl w:val="58D24B50"/>
    <w:lvl w:ilvl="0">
      <w:start w:val="1"/>
      <w:numFmt w:val="decimal"/>
      <w:lvlText w:val="%1)"/>
      <w:lvlJc w:val="left"/>
      <w:pPr>
        <w:tabs>
          <w:tab w:val="left" w:pos="2370"/>
        </w:tabs>
        <w:ind w:left="2370" w:hanging="720"/>
      </w:pPr>
      <w:rPr>
        <w:rFonts w:ascii="Times New Roman" w:eastAsia="宋体" w:hAnsi="Times New Roman" w:hint="default"/>
        <w:sz w:val="21"/>
        <w:szCs w:val="21"/>
      </w:rPr>
    </w:lvl>
    <w:lvl w:ilvl="1">
      <w:start w:val="1"/>
      <w:numFmt w:val="lowerLetter"/>
      <w:lvlText w:val="%2."/>
      <w:lvlJc w:val="left"/>
      <w:pPr>
        <w:tabs>
          <w:tab w:val="left" w:pos="2010"/>
        </w:tabs>
        <w:ind w:left="2010" w:hanging="360"/>
      </w:pPr>
    </w:lvl>
    <w:lvl w:ilvl="2">
      <w:start w:val="1"/>
      <w:numFmt w:val="lowerRoman"/>
      <w:lvlText w:val="%3."/>
      <w:lvlJc w:val="right"/>
      <w:pPr>
        <w:tabs>
          <w:tab w:val="left" w:pos="2730"/>
        </w:tabs>
        <w:ind w:left="2730" w:hanging="180"/>
      </w:pPr>
    </w:lvl>
    <w:lvl w:ilvl="3">
      <w:start w:val="1"/>
      <w:numFmt w:val="decimal"/>
      <w:lvlText w:val="%4."/>
      <w:lvlJc w:val="left"/>
      <w:pPr>
        <w:tabs>
          <w:tab w:val="left" w:pos="3450"/>
        </w:tabs>
        <w:ind w:left="3450" w:hanging="360"/>
      </w:p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44">
    <w:nsid w:val="5E164F00"/>
    <w:multiLevelType w:val="multilevel"/>
    <w:tmpl w:val="5E164F00"/>
    <w:lvl w:ilvl="0">
      <w:start w:val="1"/>
      <w:numFmt w:val="decimal"/>
      <w:lvlText w:val="%1)"/>
      <w:lvlJc w:val="left"/>
      <w:pPr>
        <w:tabs>
          <w:tab w:val="left" w:pos="720"/>
        </w:tabs>
        <w:ind w:left="720" w:hanging="720"/>
      </w:pPr>
      <w:rPr>
        <w:rFonts w:hint="eastAsia"/>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45">
    <w:nsid w:val="6076626C"/>
    <w:multiLevelType w:val="multilevel"/>
    <w:tmpl w:val="6076626C"/>
    <w:lvl w:ilvl="0">
      <w:start w:val="1"/>
      <w:numFmt w:val="decimal"/>
      <w:lvlText w:val="%1)"/>
      <w:lvlJc w:val="left"/>
      <w:pPr>
        <w:tabs>
          <w:tab w:val="left" w:pos="1440"/>
        </w:tabs>
        <w:ind w:left="1440" w:hanging="360"/>
      </w:pPr>
      <w:rPr>
        <w:rFonts w:hint="eastAsia"/>
      </w:rPr>
    </w:lvl>
    <w:lvl w:ilvl="1">
      <w:start w:val="1"/>
      <w:numFmt w:val="decimal"/>
      <w:lvlText w:val="%2)"/>
      <w:lvlJc w:val="left"/>
      <w:pPr>
        <w:tabs>
          <w:tab w:val="left" w:pos="1920"/>
        </w:tabs>
        <w:ind w:left="1920" w:hanging="360"/>
      </w:pPr>
      <w:rPr>
        <w:rFonts w:hint="eastAsia"/>
      </w:rPr>
    </w:lvl>
    <w:lvl w:ilvl="2">
      <w:start w:val="1"/>
      <w:numFmt w:val="lowerRoman"/>
      <w:lvlText w:val="%3."/>
      <w:lvlJc w:val="right"/>
      <w:pPr>
        <w:tabs>
          <w:tab w:val="left" w:pos="2520"/>
        </w:tabs>
        <w:ind w:left="2520" w:hanging="480"/>
      </w:pPr>
    </w:lvl>
    <w:lvl w:ilvl="3">
      <w:start w:val="1"/>
      <w:numFmt w:val="decimal"/>
      <w:lvlText w:val="%4."/>
      <w:lvlJc w:val="left"/>
      <w:pPr>
        <w:tabs>
          <w:tab w:val="left" w:pos="3000"/>
        </w:tabs>
        <w:ind w:left="3000" w:hanging="480"/>
      </w:pPr>
    </w:lvl>
    <w:lvl w:ilvl="4">
      <w:start w:val="1"/>
      <w:numFmt w:val="ideographTraditional"/>
      <w:lvlText w:val="%5、"/>
      <w:lvlJc w:val="left"/>
      <w:pPr>
        <w:tabs>
          <w:tab w:val="left" w:pos="3480"/>
        </w:tabs>
        <w:ind w:left="3480" w:hanging="480"/>
      </w:pPr>
    </w:lvl>
    <w:lvl w:ilvl="5">
      <w:start w:val="1"/>
      <w:numFmt w:val="lowerRoman"/>
      <w:lvlText w:val="%6."/>
      <w:lvlJc w:val="right"/>
      <w:pPr>
        <w:tabs>
          <w:tab w:val="left" w:pos="3960"/>
        </w:tabs>
        <w:ind w:left="3960" w:hanging="480"/>
      </w:pPr>
    </w:lvl>
    <w:lvl w:ilvl="6">
      <w:start w:val="1"/>
      <w:numFmt w:val="decimal"/>
      <w:lvlText w:val="%7."/>
      <w:lvlJc w:val="left"/>
      <w:pPr>
        <w:tabs>
          <w:tab w:val="left" w:pos="4440"/>
        </w:tabs>
        <w:ind w:left="4440" w:hanging="480"/>
      </w:pPr>
    </w:lvl>
    <w:lvl w:ilvl="7">
      <w:start w:val="1"/>
      <w:numFmt w:val="ideographTraditional"/>
      <w:lvlText w:val="%8、"/>
      <w:lvlJc w:val="left"/>
      <w:pPr>
        <w:tabs>
          <w:tab w:val="left" w:pos="4920"/>
        </w:tabs>
        <w:ind w:left="4920" w:hanging="480"/>
      </w:pPr>
    </w:lvl>
    <w:lvl w:ilvl="8">
      <w:start w:val="1"/>
      <w:numFmt w:val="lowerRoman"/>
      <w:lvlText w:val="%9."/>
      <w:lvlJc w:val="right"/>
      <w:pPr>
        <w:tabs>
          <w:tab w:val="left" w:pos="5400"/>
        </w:tabs>
        <w:ind w:left="5400" w:hanging="480"/>
      </w:pPr>
    </w:lvl>
  </w:abstractNum>
  <w:abstractNum w:abstractNumId="46">
    <w:nsid w:val="644E404A"/>
    <w:multiLevelType w:val="multilevel"/>
    <w:tmpl w:val="644E404A"/>
    <w:lvl w:ilvl="0">
      <w:start w:val="1"/>
      <w:numFmt w:val="decimal"/>
      <w:lvlText w:val="%1)"/>
      <w:lvlJc w:val="left"/>
      <w:pPr>
        <w:tabs>
          <w:tab w:val="left" w:pos="2370"/>
        </w:tabs>
        <w:ind w:left="2370" w:hanging="720"/>
      </w:pPr>
      <w:rPr>
        <w:rFonts w:ascii="Times New Roman" w:eastAsia="宋体" w:hAnsi="Times New Roman" w:hint="default"/>
        <w:sz w:val="24"/>
      </w:rPr>
    </w:lvl>
    <w:lvl w:ilvl="1">
      <w:start w:val="1"/>
      <w:numFmt w:val="lowerLetter"/>
      <w:lvlText w:val="%2)"/>
      <w:lvlJc w:val="left"/>
      <w:pPr>
        <w:tabs>
          <w:tab w:val="left" w:pos="2010"/>
        </w:tabs>
        <w:ind w:left="2010" w:hanging="360"/>
      </w:pPr>
      <w:rPr>
        <w:rFonts w:hint="default"/>
      </w:rPr>
    </w:lvl>
    <w:lvl w:ilvl="2">
      <w:start w:val="1"/>
      <w:numFmt w:val="decimal"/>
      <w:lvlText w:val="%3."/>
      <w:lvlJc w:val="left"/>
      <w:pPr>
        <w:tabs>
          <w:tab w:val="left" w:pos="2910"/>
        </w:tabs>
        <w:ind w:left="2910" w:hanging="360"/>
      </w:pPr>
      <w:rPr>
        <w:rFonts w:hint="default"/>
      </w:rPr>
    </w:lvl>
    <w:lvl w:ilvl="3">
      <w:start w:val="1"/>
      <w:numFmt w:val="decimal"/>
      <w:lvlText w:val="%4."/>
      <w:lvlJc w:val="left"/>
      <w:pPr>
        <w:tabs>
          <w:tab w:val="left" w:pos="3450"/>
        </w:tabs>
        <w:ind w:left="3450" w:hanging="360"/>
      </w:pPr>
    </w:lvl>
    <w:lvl w:ilvl="4">
      <w:start w:val="1"/>
      <w:numFmt w:val="lowerLetter"/>
      <w:lvlText w:val="%5."/>
      <w:lvlJc w:val="left"/>
      <w:pPr>
        <w:tabs>
          <w:tab w:val="left" w:pos="4170"/>
        </w:tabs>
        <w:ind w:left="4170" w:hanging="360"/>
      </w:pPr>
    </w:lvl>
    <w:lvl w:ilvl="5">
      <w:start w:val="1"/>
      <w:numFmt w:val="lowerRoman"/>
      <w:lvlText w:val="%6."/>
      <w:lvlJc w:val="right"/>
      <w:pPr>
        <w:tabs>
          <w:tab w:val="left" w:pos="4890"/>
        </w:tabs>
        <w:ind w:left="4890" w:hanging="180"/>
      </w:pPr>
    </w:lvl>
    <w:lvl w:ilvl="6">
      <w:start w:val="1"/>
      <w:numFmt w:val="decimal"/>
      <w:lvlText w:val="%7."/>
      <w:lvlJc w:val="left"/>
      <w:pPr>
        <w:tabs>
          <w:tab w:val="left" w:pos="5610"/>
        </w:tabs>
        <w:ind w:left="5610" w:hanging="360"/>
      </w:pPr>
    </w:lvl>
    <w:lvl w:ilvl="7">
      <w:start w:val="1"/>
      <w:numFmt w:val="lowerLetter"/>
      <w:lvlText w:val="%8."/>
      <w:lvlJc w:val="left"/>
      <w:pPr>
        <w:tabs>
          <w:tab w:val="left" w:pos="6330"/>
        </w:tabs>
        <w:ind w:left="6330" w:hanging="360"/>
      </w:pPr>
    </w:lvl>
    <w:lvl w:ilvl="8">
      <w:start w:val="1"/>
      <w:numFmt w:val="lowerRoman"/>
      <w:lvlText w:val="%9."/>
      <w:lvlJc w:val="right"/>
      <w:pPr>
        <w:tabs>
          <w:tab w:val="left" w:pos="7050"/>
        </w:tabs>
        <w:ind w:left="7050" w:hanging="180"/>
      </w:pPr>
    </w:lvl>
  </w:abstractNum>
  <w:abstractNum w:abstractNumId="47">
    <w:nsid w:val="662A1FA5"/>
    <w:multiLevelType w:val="multilevel"/>
    <w:tmpl w:val="662A1FA5"/>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48">
    <w:nsid w:val="69384FDC"/>
    <w:multiLevelType w:val="multilevel"/>
    <w:tmpl w:val="69384FDC"/>
    <w:lvl w:ilvl="0">
      <w:start w:val="1"/>
      <w:numFmt w:val="decimal"/>
      <w:lvlText w:val="%1)"/>
      <w:lvlJc w:val="left"/>
      <w:pPr>
        <w:tabs>
          <w:tab w:val="left" w:pos="1440"/>
        </w:tabs>
        <w:ind w:left="1440" w:hanging="360"/>
      </w:pPr>
      <w:rPr>
        <w:rFonts w:hint="eastAsia"/>
      </w:rPr>
    </w:lvl>
    <w:lvl w:ilvl="1">
      <w:start w:val="1"/>
      <w:numFmt w:val="lowerLetter"/>
      <w:lvlText w:val="%2)"/>
      <w:lvlJc w:val="left"/>
      <w:pPr>
        <w:tabs>
          <w:tab w:val="left" w:pos="1920"/>
        </w:tabs>
        <w:ind w:left="1920" w:hanging="360"/>
      </w:pPr>
      <w:rPr>
        <w:rFonts w:hint="eastAsia"/>
      </w:rPr>
    </w:lvl>
    <w:lvl w:ilvl="2">
      <w:start w:val="1"/>
      <w:numFmt w:val="lowerRoman"/>
      <w:lvlText w:val="%3."/>
      <w:lvlJc w:val="right"/>
      <w:pPr>
        <w:tabs>
          <w:tab w:val="left" w:pos="2520"/>
        </w:tabs>
        <w:ind w:left="2520" w:hanging="480"/>
      </w:pPr>
    </w:lvl>
    <w:lvl w:ilvl="3">
      <w:start w:val="1"/>
      <w:numFmt w:val="decimal"/>
      <w:lvlText w:val="%4."/>
      <w:lvlJc w:val="left"/>
      <w:pPr>
        <w:tabs>
          <w:tab w:val="left" w:pos="3000"/>
        </w:tabs>
        <w:ind w:left="3000" w:hanging="480"/>
      </w:pPr>
    </w:lvl>
    <w:lvl w:ilvl="4">
      <w:start w:val="1"/>
      <w:numFmt w:val="ideographTraditional"/>
      <w:lvlText w:val="%5、"/>
      <w:lvlJc w:val="left"/>
      <w:pPr>
        <w:tabs>
          <w:tab w:val="left" w:pos="3480"/>
        </w:tabs>
        <w:ind w:left="3480" w:hanging="480"/>
      </w:pPr>
    </w:lvl>
    <w:lvl w:ilvl="5">
      <w:start w:val="1"/>
      <w:numFmt w:val="lowerRoman"/>
      <w:lvlText w:val="%6."/>
      <w:lvlJc w:val="right"/>
      <w:pPr>
        <w:tabs>
          <w:tab w:val="left" w:pos="3960"/>
        </w:tabs>
        <w:ind w:left="3960" w:hanging="480"/>
      </w:pPr>
    </w:lvl>
    <w:lvl w:ilvl="6">
      <w:start w:val="1"/>
      <w:numFmt w:val="decimal"/>
      <w:lvlText w:val="%7."/>
      <w:lvlJc w:val="left"/>
      <w:pPr>
        <w:tabs>
          <w:tab w:val="left" w:pos="4440"/>
        </w:tabs>
        <w:ind w:left="4440" w:hanging="480"/>
      </w:pPr>
    </w:lvl>
    <w:lvl w:ilvl="7">
      <w:start w:val="1"/>
      <w:numFmt w:val="ideographTraditional"/>
      <w:lvlText w:val="%8、"/>
      <w:lvlJc w:val="left"/>
      <w:pPr>
        <w:tabs>
          <w:tab w:val="left" w:pos="4920"/>
        </w:tabs>
        <w:ind w:left="4920" w:hanging="480"/>
      </w:pPr>
    </w:lvl>
    <w:lvl w:ilvl="8">
      <w:start w:val="1"/>
      <w:numFmt w:val="lowerRoman"/>
      <w:lvlText w:val="%9."/>
      <w:lvlJc w:val="right"/>
      <w:pPr>
        <w:tabs>
          <w:tab w:val="left" w:pos="5400"/>
        </w:tabs>
        <w:ind w:left="5400" w:hanging="480"/>
      </w:pPr>
    </w:lvl>
  </w:abstractNum>
  <w:abstractNum w:abstractNumId="49">
    <w:nsid w:val="6A3F3344"/>
    <w:multiLevelType w:val="multilevel"/>
    <w:tmpl w:val="6A3F3344"/>
    <w:lvl w:ilvl="0">
      <w:start w:val="1"/>
      <w:numFmt w:val="decimal"/>
      <w:lvlText w:val="%1)"/>
      <w:lvlJc w:val="left"/>
      <w:pPr>
        <w:tabs>
          <w:tab w:val="left" w:pos="720"/>
        </w:tabs>
        <w:ind w:left="720" w:hanging="720"/>
      </w:pPr>
      <w:rPr>
        <w:rFonts w:hint="default"/>
      </w:rPr>
    </w:lvl>
    <w:lvl w:ilvl="1">
      <w:start w:val="1"/>
      <w:numFmt w:val="lowerLetter"/>
      <w:lvlText w:val="%2."/>
      <w:lvlJc w:val="left"/>
      <w:pPr>
        <w:tabs>
          <w:tab w:val="left" w:pos="1440"/>
        </w:tabs>
        <w:ind w:left="1440" w:hanging="360"/>
      </w:p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0">
    <w:nsid w:val="6A6201D1"/>
    <w:multiLevelType w:val="multilevel"/>
    <w:tmpl w:val="6A6201D1"/>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340"/>
        </w:tabs>
        <w:ind w:left="2340" w:hanging="540"/>
      </w:pPr>
      <w:rPr>
        <w:rFonts w:hint="eastAsia"/>
      </w:r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1">
    <w:nsid w:val="6BD941E2"/>
    <w:multiLevelType w:val="multilevel"/>
    <w:tmpl w:val="6BD941E2"/>
    <w:lvl w:ilvl="0">
      <w:start w:val="1"/>
      <w:numFmt w:val="decimal"/>
      <w:lvlText w:val="%1)"/>
      <w:lvlJc w:val="left"/>
      <w:pPr>
        <w:tabs>
          <w:tab w:val="left" w:pos="2337"/>
        </w:tabs>
        <w:ind w:left="2337" w:hanging="1245"/>
      </w:pPr>
      <w:rPr>
        <w:rFonts w:hint="eastAsia"/>
      </w:rPr>
    </w:lvl>
    <w:lvl w:ilvl="1">
      <w:start w:val="1"/>
      <w:numFmt w:val="decimal"/>
      <w:lvlText w:val="%2)"/>
      <w:lvlJc w:val="left"/>
      <w:pPr>
        <w:tabs>
          <w:tab w:val="left" w:pos="2292"/>
        </w:tabs>
        <w:ind w:left="2292" w:hanging="720"/>
      </w:pPr>
      <w:rPr>
        <w:rFonts w:hint="eastAsia"/>
      </w:rPr>
    </w:lvl>
    <w:lvl w:ilvl="2">
      <w:start w:val="3"/>
      <w:numFmt w:val="bullet"/>
      <w:lvlText w:val="-"/>
      <w:lvlJc w:val="left"/>
      <w:pPr>
        <w:tabs>
          <w:tab w:val="left" w:pos="2412"/>
        </w:tabs>
        <w:ind w:left="2268" w:hanging="216"/>
      </w:pPr>
      <w:rPr>
        <w:rFonts w:hint="default"/>
        <w:b w:val="0"/>
        <w:i w:val="0"/>
        <w:sz w:val="24"/>
      </w:rPr>
    </w:lvl>
    <w:lvl w:ilvl="3">
      <w:start w:val="1"/>
      <w:numFmt w:val="decimal"/>
      <w:lvlText w:val="%4."/>
      <w:lvlJc w:val="left"/>
      <w:pPr>
        <w:tabs>
          <w:tab w:val="left" w:pos="3012"/>
        </w:tabs>
        <w:ind w:left="3012" w:hanging="480"/>
      </w:pPr>
    </w:lvl>
    <w:lvl w:ilvl="4">
      <w:start w:val="1"/>
      <w:numFmt w:val="ideographTraditional"/>
      <w:lvlText w:val="%5、"/>
      <w:lvlJc w:val="left"/>
      <w:pPr>
        <w:tabs>
          <w:tab w:val="left" w:pos="3492"/>
        </w:tabs>
        <w:ind w:left="3492" w:hanging="480"/>
      </w:pPr>
    </w:lvl>
    <w:lvl w:ilvl="5">
      <w:start w:val="1"/>
      <w:numFmt w:val="lowerRoman"/>
      <w:lvlText w:val="%6."/>
      <w:lvlJc w:val="right"/>
      <w:pPr>
        <w:tabs>
          <w:tab w:val="left" w:pos="3972"/>
        </w:tabs>
        <w:ind w:left="3972" w:hanging="480"/>
      </w:pPr>
    </w:lvl>
    <w:lvl w:ilvl="6">
      <w:start w:val="1"/>
      <w:numFmt w:val="decimal"/>
      <w:lvlText w:val="%7."/>
      <w:lvlJc w:val="left"/>
      <w:pPr>
        <w:tabs>
          <w:tab w:val="left" w:pos="4452"/>
        </w:tabs>
        <w:ind w:left="4452" w:hanging="480"/>
      </w:pPr>
    </w:lvl>
    <w:lvl w:ilvl="7">
      <w:start w:val="1"/>
      <w:numFmt w:val="ideographTraditional"/>
      <w:lvlText w:val="%8、"/>
      <w:lvlJc w:val="left"/>
      <w:pPr>
        <w:tabs>
          <w:tab w:val="left" w:pos="4932"/>
        </w:tabs>
        <w:ind w:left="4932" w:hanging="480"/>
      </w:pPr>
    </w:lvl>
    <w:lvl w:ilvl="8">
      <w:start w:val="1"/>
      <w:numFmt w:val="lowerRoman"/>
      <w:lvlText w:val="%9."/>
      <w:lvlJc w:val="right"/>
      <w:pPr>
        <w:tabs>
          <w:tab w:val="left" w:pos="5412"/>
        </w:tabs>
        <w:ind w:left="5412" w:hanging="480"/>
      </w:pPr>
    </w:lvl>
  </w:abstractNum>
  <w:abstractNum w:abstractNumId="52">
    <w:nsid w:val="6C3D1CAE"/>
    <w:multiLevelType w:val="multilevel"/>
    <w:tmpl w:val="6C3D1CAE"/>
    <w:lvl w:ilvl="0">
      <w:start w:val="1"/>
      <w:numFmt w:val="decimal"/>
      <w:lvlText w:val="%1)"/>
      <w:lvlJc w:val="left"/>
      <w:pPr>
        <w:tabs>
          <w:tab w:val="left" w:pos="1440"/>
        </w:tabs>
        <w:ind w:left="1212" w:hanging="132"/>
      </w:pPr>
      <w:rPr>
        <w:rFonts w:hint="default"/>
      </w:rPr>
    </w:lvl>
    <w:lvl w:ilvl="1">
      <w:start w:val="1"/>
      <w:numFmt w:val="decimal"/>
      <w:lvlText w:val="%2)"/>
      <w:lvlJc w:val="left"/>
      <w:pPr>
        <w:tabs>
          <w:tab w:val="left" w:pos="1800"/>
        </w:tabs>
        <w:ind w:left="1800" w:hanging="720"/>
      </w:pPr>
      <w:rPr>
        <w:rFonts w:ascii="Times New Roman" w:eastAsia="宋体" w:hAnsi="Times New Roman" w:hint="default"/>
        <w:sz w:val="21"/>
        <w:szCs w:val="21"/>
      </w:rPr>
    </w:lvl>
    <w:lvl w:ilvl="2">
      <w:start w:val="1"/>
      <w:numFmt w:val="lowerRoman"/>
      <w:lvlText w:val="%3."/>
      <w:lvlJc w:val="right"/>
      <w:pPr>
        <w:tabs>
          <w:tab w:val="left" w:pos="2160"/>
        </w:tabs>
        <w:ind w:left="2160" w:hanging="180"/>
      </w:pPr>
    </w:lvl>
    <w:lvl w:ilvl="3">
      <w:start w:val="1"/>
      <w:numFmt w:val="decimal"/>
      <w:lvlText w:val="%4."/>
      <w:lvlJc w:val="left"/>
      <w:pPr>
        <w:tabs>
          <w:tab w:val="left" w:pos="2880"/>
        </w:tabs>
        <w:ind w:left="2880" w:hanging="360"/>
      </w:pPr>
    </w:lvl>
    <w:lvl w:ilvl="4">
      <w:start w:val="1"/>
      <w:numFmt w:val="lowerLetter"/>
      <w:lvlText w:val="%5."/>
      <w:lvlJc w:val="left"/>
      <w:pPr>
        <w:tabs>
          <w:tab w:val="left" w:pos="3600"/>
        </w:tabs>
        <w:ind w:left="3600" w:hanging="360"/>
      </w:pPr>
    </w:lvl>
    <w:lvl w:ilvl="5">
      <w:start w:val="1"/>
      <w:numFmt w:val="lowerRoman"/>
      <w:lvlText w:val="%6."/>
      <w:lvlJc w:val="right"/>
      <w:pPr>
        <w:tabs>
          <w:tab w:val="left" w:pos="4320"/>
        </w:tabs>
        <w:ind w:left="4320" w:hanging="180"/>
      </w:pPr>
    </w:lvl>
    <w:lvl w:ilvl="6">
      <w:start w:val="1"/>
      <w:numFmt w:val="decimal"/>
      <w:lvlText w:val="%7."/>
      <w:lvlJc w:val="left"/>
      <w:pPr>
        <w:tabs>
          <w:tab w:val="left" w:pos="5040"/>
        </w:tabs>
        <w:ind w:left="5040" w:hanging="360"/>
      </w:pPr>
    </w:lvl>
    <w:lvl w:ilvl="7">
      <w:start w:val="1"/>
      <w:numFmt w:val="lowerLetter"/>
      <w:lvlText w:val="%8."/>
      <w:lvlJc w:val="left"/>
      <w:pPr>
        <w:tabs>
          <w:tab w:val="left" w:pos="5760"/>
        </w:tabs>
        <w:ind w:left="5760" w:hanging="360"/>
      </w:pPr>
    </w:lvl>
    <w:lvl w:ilvl="8">
      <w:start w:val="1"/>
      <w:numFmt w:val="lowerRoman"/>
      <w:lvlText w:val="%9."/>
      <w:lvlJc w:val="right"/>
      <w:pPr>
        <w:tabs>
          <w:tab w:val="left" w:pos="6480"/>
        </w:tabs>
        <w:ind w:left="6480" w:hanging="180"/>
      </w:pPr>
    </w:lvl>
  </w:abstractNum>
  <w:abstractNum w:abstractNumId="53">
    <w:nsid w:val="712018A1"/>
    <w:multiLevelType w:val="multilevel"/>
    <w:tmpl w:val="712018A1"/>
    <w:lvl w:ilvl="0">
      <w:start w:val="1"/>
      <w:numFmt w:val="upperLetter"/>
      <w:pStyle w:val="AppendixLetter"/>
      <w:lvlText w:val="%1"/>
      <w:lvlJc w:val="left"/>
      <w:pPr>
        <w:tabs>
          <w:tab w:val="left" w:pos="1080"/>
        </w:tabs>
        <w:ind w:left="1080" w:hanging="1080"/>
      </w:pPr>
      <w:rPr>
        <w:rFonts w:ascii="Arial" w:hAnsi="Arial" w:hint="default"/>
        <w:b w:val="0"/>
        <w:i w:val="0"/>
        <w:caps/>
        <w:vanish w:val="0"/>
        <w:sz w:val="26"/>
      </w:rPr>
    </w:lvl>
    <w:lvl w:ilvl="1">
      <w:start w:val="1"/>
      <w:numFmt w:val="decimal"/>
      <w:pStyle w:val="AppendixLevel1"/>
      <w:lvlText w:val="%1%2."/>
      <w:lvlJc w:val="left"/>
      <w:pPr>
        <w:tabs>
          <w:tab w:val="left" w:pos="1080"/>
        </w:tabs>
        <w:ind w:left="1080" w:hanging="1080"/>
      </w:pPr>
      <w:rPr>
        <w:rFonts w:ascii="Arial" w:hAnsi="Arial" w:hint="default"/>
        <w:b/>
        <w:i w:val="0"/>
        <w:caps/>
        <w:sz w:val="24"/>
      </w:rPr>
    </w:lvl>
    <w:lvl w:ilvl="2">
      <w:start w:val="1"/>
      <w:numFmt w:val="decimal"/>
      <w:pStyle w:val="AppendixLevel2"/>
      <w:lvlText w:val="%1%2.%3"/>
      <w:lvlJc w:val="left"/>
      <w:pPr>
        <w:tabs>
          <w:tab w:val="left" w:pos="1080"/>
        </w:tabs>
        <w:ind w:left="1080" w:hanging="1080"/>
      </w:pPr>
      <w:rPr>
        <w:rFonts w:ascii="Arial" w:hAnsi="Arial" w:hint="default"/>
        <w:b/>
        <w:i w:val="0"/>
        <w:sz w:val="24"/>
      </w:rPr>
    </w:lvl>
    <w:lvl w:ilvl="3">
      <w:start w:val="1"/>
      <w:numFmt w:val="decimal"/>
      <w:pStyle w:val="AppendixLevel3"/>
      <w:lvlText w:val="%1%2.%3.%4"/>
      <w:lvlJc w:val="left"/>
      <w:pPr>
        <w:tabs>
          <w:tab w:val="left" w:pos="2160"/>
        </w:tabs>
        <w:ind w:left="2160" w:hanging="1080"/>
      </w:pPr>
      <w:rPr>
        <w:rFonts w:ascii="Arial" w:hAnsi="Arial" w:hint="default"/>
        <w:b/>
        <w:i w:val="0"/>
        <w:sz w:val="20"/>
      </w:rPr>
    </w:lvl>
    <w:lvl w:ilvl="4">
      <w:start w:val="1"/>
      <w:numFmt w:val="decimal"/>
      <w:pStyle w:val="AppendixLevel4"/>
      <w:lvlText w:val="%1%2.%3.%4.%5"/>
      <w:lvlJc w:val="left"/>
      <w:pPr>
        <w:tabs>
          <w:tab w:val="left" w:pos="2160"/>
        </w:tabs>
        <w:ind w:left="2160" w:hanging="1080"/>
      </w:pPr>
      <w:rPr>
        <w:rFonts w:ascii="Arial" w:hAnsi="Arial" w:hint="default"/>
        <w:b/>
        <w:i w:val="0"/>
        <w:sz w:val="20"/>
      </w:rPr>
    </w:lvl>
    <w:lvl w:ilvl="5">
      <w:start w:val="1"/>
      <w:numFmt w:val="decimal"/>
      <w:lvlText w:val="%1.%2.%3.%4.%5.%6."/>
      <w:lvlJc w:val="left"/>
      <w:pPr>
        <w:tabs>
          <w:tab w:val="left" w:pos="2880"/>
        </w:tabs>
        <w:ind w:left="2736" w:hanging="936"/>
      </w:pPr>
      <w:rPr>
        <w:rFonts w:hint="default"/>
      </w:rPr>
    </w:lvl>
    <w:lvl w:ilvl="6">
      <w:start w:val="1"/>
      <w:numFmt w:val="decimal"/>
      <w:lvlText w:val="%1.%2.%3.%4.%5.%6.%7."/>
      <w:lvlJc w:val="left"/>
      <w:pPr>
        <w:tabs>
          <w:tab w:val="left" w:pos="3600"/>
        </w:tabs>
        <w:ind w:left="3240" w:hanging="1080"/>
      </w:pPr>
      <w:rPr>
        <w:rFonts w:hint="default"/>
      </w:rPr>
    </w:lvl>
    <w:lvl w:ilvl="7">
      <w:start w:val="1"/>
      <w:numFmt w:val="decimal"/>
      <w:lvlText w:val="%1.%2.%3.%4.%5.%6.%7.%8."/>
      <w:lvlJc w:val="left"/>
      <w:pPr>
        <w:tabs>
          <w:tab w:val="left" w:pos="3960"/>
        </w:tabs>
        <w:ind w:left="3744" w:hanging="1224"/>
      </w:pPr>
      <w:rPr>
        <w:rFonts w:hint="default"/>
      </w:rPr>
    </w:lvl>
    <w:lvl w:ilvl="8">
      <w:start w:val="1"/>
      <w:numFmt w:val="decimal"/>
      <w:lvlText w:val="%1.%2.%3.%4.%5.%6.%7.%8.%9."/>
      <w:lvlJc w:val="left"/>
      <w:pPr>
        <w:tabs>
          <w:tab w:val="left" w:pos="4680"/>
        </w:tabs>
        <w:ind w:left="4320" w:hanging="1440"/>
      </w:pPr>
      <w:rPr>
        <w:rFonts w:hint="default"/>
      </w:rPr>
    </w:lvl>
  </w:abstractNum>
  <w:abstractNum w:abstractNumId="54">
    <w:nsid w:val="74A12348"/>
    <w:multiLevelType w:val="multilevel"/>
    <w:tmpl w:val="74A12348"/>
    <w:lvl w:ilvl="0">
      <w:start w:val="1"/>
      <w:numFmt w:val="lowerLetter"/>
      <w:lvlText w:val="%1)"/>
      <w:lvlJc w:val="left"/>
      <w:pPr>
        <w:tabs>
          <w:tab w:val="left" w:pos="1920"/>
        </w:tabs>
        <w:ind w:left="1920" w:hanging="360"/>
      </w:pPr>
      <w:rPr>
        <w:rFonts w:hint="eastAsi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nsid w:val="74D30CE4"/>
    <w:multiLevelType w:val="multilevel"/>
    <w:tmpl w:val="74D30CE4"/>
    <w:lvl w:ilvl="0">
      <w:start w:val="1"/>
      <w:numFmt w:val="decimal"/>
      <w:lvlText w:val="%1)"/>
      <w:lvlJc w:val="left"/>
      <w:pPr>
        <w:tabs>
          <w:tab w:val="left" w:pos="1440"/>
        </w:tabs>
        <w:ind w:left="1212" w:hanging="132"/>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nsid w:val="77EE3FCD"/>
    <w:multiLevelType w:val="multilevel"/>
    <w:tmpl w:val="77EE3FCD"/>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7">
    <w:nsid w:val="788308F9"/>
    <w:multiLevelType w:val="multilevel"/>
    <w:tmpl w:val="788308F9"/>
    <w:lvl w:ilvl="0">
      <w:start w:val="1"/>
      <w:numFmt w:val="decimal"/>
      <w:lvlText w:val="%1)"/>
      <w:lvlJc w:val="left"/>
      <w:pPr>
        <w:tabs>
          <w:tab w:val="left" w:pos="1800"/>
        </w:tabs>
        <w:ind w:left="1800" w:hanging="720"/>
      </w:pPr>
      <w:rPr>
        <w:rFonts w:hint="eastAsia"/>
      </w:rPr>
    </w:lvl>
    <w:lvl w:ilvl="1">
      <w:start w:val="1"/>
      <w:numFmt w:val="lowerLetter"/>
      <w:lvlText w:val="%2."/>
      <w:lvlJc w:val="left"/>
      <w:pPr>
        <w:tabs>
          <w:tab w:val="left" w:pos="2160"/>
        </w:tabs>
        <w:ind w:left="2160" w:hanging="360"/>
      </w:pPr>
    </w:lvl>
    <w:lvl w:ilvl="2">
      <w:start w:val="1"/>
      <w:numFmt w:val="lowerRoman"/>
      <w:lvlText w:val="%3."/>
      <w:lvlJc w:val="right"/>
      <w:pPr>
        <w:tabs>
          <w:tab w:val="left" w:pos="2880"/>
        </w:tabs>
        <w:ind w:left="2880" w:hanging="180"/>
      </w:pPr>
    </w:lvl>
    <w:lvl w:ilvl="3">
      <w:start w:val="1"/>
      <w:numFmt w:val="decimal"/>
      <w:lvlText w:val="%4."/>
      <w:lvlJc w:val="left"/>
      <w:pPr>
        <w:tabs>
          <w:tab w:val="left" w:pos="3600"/>
        </w:tabs>
        <w:ind w:left="3600" w:hanging="360"/>
      </w:pPr>
    </w:lvl>
    <w:lvl w:ilvl="4">
      <w:start w:val="1"/>
      <w:numFmt w:val="lowerLetter"/>
      <w:lvlText w:val="%5."/>
      <w:lvlJc w:val="left"/>
      <w:pPr>
        <w:tabs>
          <w:tab w:val="left" w:pos="4320"/>
        </w:tabs>
        <w:ind w:left="4320" w:hanging="360"/>
      </w:pPr>
    </w:lvl>
    <w:lvl w:ilvl="5">
      <w:start w:val="1"/>
      <w:numFmt w:val="lowerRoman"/>
      <w:lvlText w:val="%6."/>
      <w:lvlJc w:val="right"/>
      <w:pPr>
        <w:tabs>
          <w:tab w:val="left" w:pos="5040"/>
        </w:tabs>
        <w:ind w:left="5040" w:hanging="180"/>
      </w:pPr>
    </w:lvl>
    <w:lvl w:ilvl="6">
      <w:start w:val="1"/>
      <w:numFmt w:val="decimal"/>
      <w:lvlText w:val="%7."/>
      <w:lvlJc w:val="left"/>
      <w:pPr>
        <w:tabs>
          <w:tab w:val="left" w:pos="5760"/>
        </w:tabs>
        <w:ind w:left="5760" w:hanging="360"/>
      </w:pPr>
    </w:lvl>
    <w:lvl w:ilvl="7">
      <w:start w:val="1"/>
      <w:numFmt w:val="lowerLetter"/>
      <w:lvlText w:val="%8."/>
      <w:lvlJc w:val="left"/>
      <w:pPr>
        <w:tabs>
          <w:tab w:val="left" w:pos="6480"/>
        </w:tabs>
        <w:ind w:left="6480" w:hanging="360"/>
      </w:pPr>
    </w:lvl>
    <w:lvl w:ilvl="8">
      <w:start w:val="1"/>
      <w:numFmt w:val="lowerRoman"/>
      <w:lvlText w:val="%9."/>
      <w:lvlJc w:val="right"/>
      <w:pPr>
        <w:tabs>
          <w:tab w:val="left" w:pos="7200"/>
        </w:tabs>
        <w:ind w:left="7200" w:hanging="180"/>
      </w:pPr>
    </w:lvl>
  </w:abstractNum>
  <w:abstractNum w:abstractNumId="58">
    <w:nsid w:val="79574E95"/>
    <w:multiLevelType w:val="multilevel"/>
    <w:tmpl w:val="79574E95"/>
    <w:lvl w:ilvl="0">
      <w:start w:val="1"/>
      <w:numFmt w:val="lowerLetter"/>
      <w:lvlText w:val="%1)"/>
      <w:lvlJc w:val="left"/>
      <w:pPr>
        <w:tabs>
          <w:tab w:val="left" w:pos="567"/>
        </w:tabs>
        <w:ind w:left="567" w:hanging="567"/>
      </w:pPr>
      <w:rPr>
        <w:rFonts w:hint="eastAsia"/>
      </w:rPr>
    </w:lvl>
    <w:lvl w:ilvl="1">
      <w:start w:val="1"/>
      <w:numFmt w:val="ideographTraditional"/>
      <w:lvlText w:val="%2、"/>
      <w:lvlJc w:val="left"/>
      <w:pPr>
        <w:tabs>
          <w:tab w:val="left" w:pos="2400"/>
        </w:tabs>
        <w:ind w:left="2400" w:hanging="480"/>
      </w:pPr>
    </w:lvl>
    <w:lvl w:ilvl="2">
      <w:start w:val="1"/>
      <w:numFmt w:val="decimal"/>
      <w:lvlText w:val="%3)"/>
      <w:lvlJc w:val="left"/>
      <w:pPr>
        <w:tabs>
          <w:tab w:val="left" w:pos="2820"/>
        </w:tabs>
        <w:ind w:left="2820" w:hanging="420"/>
      </w:pPr>
      <w:rPr>
        <w:rFonts w:eastAsia="宋体" w:hint="eastAsia"/>
      </w:r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abstractNum w:abstractNumId="59">
    <w:nsid w:val="7CC56D89"/>
    <w:multiLevelType w:val="multilevel"/>
    <w:tmpl w:val="7CC56D89"/>
    <w:lvl w:ilvl="0">
      <w:start w:val="1"/>
      <w:numFmt w:val="lowerLetter"/>
      <w:lvlText w:val="%1)"/>
      <w:lvlJc w:val="left"/>
      <w:pPr>
        <w:tabs>
          <w:tab w:val="left" w:pos="1800"/>
        </w:tabs>
        <w:ind w:left="1800" w:hanging="360"/>
      </w:pPr>
      <w:rPr>
        <w:rFonts w:ascii="Times New Roman" w:hint="eastAsia"/>
      </w:rPr>
    </w:lvl>
    <w:lvl w:ilvl="1">
      <w:start w:val="1"/>
      <w:numFmt w:val="ideographTraditional"/>
      <w:lvlText w:val="%2、"/>
      <w:lvlJc w:val="left"/>
      <w:pPr>
        <w:tabs>
          <w:tab w:val="left" w:pos="2400"/>
        </w:tabs>
        <w:ind w:left="2400" w:hanging="480"/>
      </w:pPr>
    </w:lvl>
    <w:lvl w:ilvl="2">
      <w:start w:val="1"/>
      <w:numFmt w:val="lowerRoman"/>
      <w:lvlText w:val="%3."/>
      <w:lvlJc w:val="right"/>
      <w:pPr>
        <w:tabs>
          <w:tab w:val="left" w:pos="2880"/>
        </w:tabs>
        <w:ind w:left="2880" w:hanging="480"/>
      </w:pPr>
    </w:lvl>
    <w:lvl w:ilvl="3">
      <w:start w:val="1"/>
      <w:numFmt w:val="decimal"/>
      <w:lvlText w:val="%4."/>
      <w:lvlJc w:val="left"/>
      <w:pPr>
        <w:tabs>
          <w:tab w:val="left" w:pos="3360"/>
        </w:tabs>
        <w:ind w:left="3360" w:hanging="480"/>
      </w:pPr>
    </w:lvl>
    <w:lvl w:ilvl="4">
      <w:start w:val="1"/>
      <w:numFmt w:val="ideographTraditional"/>
      <w:lvlText w:val="%5、"/>
      <w:lvlJc w:val="left"/>
      <w:pPr>
        <w:tabs>
          <w:tab w:val="left" w:pos="3840"/>
        </w:tabs>
        <w:ind w:left="3840" w:hanging="480"/>
      </w:pPr>
    </w:lvl>
    <w:lvl w:ilvl="5">
      <w:start w:val="1"/>
      <w:numFmt w:val="lowerRoman"/>
      <w:lvlText w:val="%6."/>
      <w:lvlJc w:val="right"/>
      <w:pPr>
        <w:tabs>
          <w:tab w:val="left" w:pos="4320"/>
        </w:tabs>
        <w:ind w:left="4320" w:hanging="480"/>
      </w:pPr>
    </w:lvl>
    <w:lvl w:ilvl="6">
      <w:start w:val="1"/>
      <w:numFmt w:val="decimal"/>
      <w:lvlText w:val="%7."/>
      <w:lvlJc w:val="left"/>
      <w:pPr>
        <w:tabs>
          <w:tab w:val="left" w:pos="4800"/>
        </w:tabs>
        <w:ind w:left="4800" w:hanging="480"/>
      </w:pPr>
    </w:lvl>
    <w:lvl w:ilvl="7">
      <w:start w:val="1"/>
      <w:numFmt w:val="ideographTraditional"/>
      <w:lvlText w:val="%8、"/>
      <w:lvlJc w:val="left"/>
      <w:pPr>
        <w:tabs>
          <w:tab w:val="left" w:pos="5280"/>
        </w:tabs>
        <w:ind w:left="5280" w:hanging="480"/>
      </w:pPr>
    </w:lvl>
    <w:lvl w:ilvl="8">
      <w:start w:val="1"/>
      <w:numFmt w:val="lowerRoman"/>
      <w:lvlText w:val="%9."/>
      <w:lvlJc w:val="right"/>
      <w:pPr>
        <w:tabs>
          <w:tab w:val="left" w:pos="5760"/>
        </w:tabs>
        <w:ind w:left="5760" w:hanging="480"/>
      </w:pPr>
    </w:lvl>
  </w:abstractNum>
  <w:num w:numId="1">
    <w:abstractNumId w:val="40"/>
  </w:num>
  <w:num w:numId="2">
    <w:abstractNumId w:val="9"/>
  </w:num>
  <w:num w:numId="3">
    <w:abstractNumId w:val="0"/>
  </w:num>
  <w:num w:numId="4">
    <w:abstractNumId w:val="34"/>
  </w:num>
  <w:num w:numId="5">
    <w:abstractNumId w:val="35"/>
  </w:num>
  <w:num w:numId="6">
    <w:abstractNumId w:val="53"/>
  </w:num>
  <w:num w:numId="7">
    <w:abstractNumId w:val="23"/>
  </w:num>
  <w:num w:numId="8">
    <w:abstractNumId w:val="1"/>
  </w:num>
  <w:num w:numId="9">
    <w:abstractNumId w:val="52"/>
  </w:num>
  <w:num w:numId="10">
    <w:abstractNumId w:val="32"/>
  </w:num>
  <w:num w:numId="11">
    <w:abstractNumId w:val="17"/>
  </w:num>
  <w:num w:numId="12">
    <w:abstractNumId w:val="7"/>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3"/>
  </w:num>
  <w:num w:numId="15">
    <w:abstractNumId w:val="18"/>
  </w:num>
  <w:num w:numId="16">
    <w:abstractNumId w:val="14"/>
  </w:num>
  <w:num w:numId="17">
    <w:abstractNumId w:val="33"/>
  </w:num>
  <w:num w:numId="18">
    <w:abstractNumId w:val="55"/>
  </w:num>
  <w:num w:numId="19">
    <w:abstractNumId w:val="26"/>
  </w:num>
  <w:num w:numId="20">
    <w:abstractNumId w:val="8"/>
  </w:num>
  <w:num w:numId="21">
    <w:abstractNumId w:val="15"/>
  </w:num>
  <w:num w:numId="22">
    <w:abstractNumId w:val="11"/>
  </w:num>
  <w:num w:numId="23">
    <w:abstractNumId w:val="46"/>
  </w:num>
  <w:num w:numId="24">
    <w:abstractNumId w:val="24"/>
  </w:num>
  <w:num w:numId="25">
    <w:abstractNumId w:val="48"/>
  </w:num>
  <w:num w:numId="26">
    <w:abstractNumId w:val="21"/>
  </w:num>
  <w:num w:numId="27">
    <w:abstractNumId w:val="10"/>
  </w:num>
  <w:num w:numId="28">
    <w:abstractNumId w:val="2"/>
  </w:num>
  <w:num w:numId="29">
    <w:abstractNumId w:val="19"/>
  </w:num>
  <w:num w:numId="30">
    <w:abstractNumId w:val="20"/>
  </w:num>
  <w:num w:numId="31">
    <w:abstractNumId w:val="36"/>
  </w:num>
  <w:num w:numId="32">
    <w:abstractNumId w:val="41"/>
  </w:num>
  <w:num w:numId="33">
    <w:abstractNumId w:val="47"/>
  </w:num>
  <w:num w:numId="34">
    <w:abstractNumId w:val="56"/>
  </w:num>
  <w:num w:numId="35">
    <w:abstractNumId w:val="31"/>
  </w:num>
  <w:num w:numId="36">
    <w:abstractNumId w:val="27"/>
  </w:num>
  <w:num w:numId="37">
    <w:abstractNumId w:val="38"/>
  </w:num>
  <w:num w:numId="38">
    <w:abstractNumId w:val="50"/>
  </w:num>
  <w:num w:numId="39">
    <w:abstractNumId w:val="28"/>
  </w:num>
  <w:num w:numId="40">
    <w:abstractNumId w:val="57"/>
  </w:num>
  <w:num w:numId="41">
    <w:abstractNumId w:val="6"/>
  </w:num>
  <w:num w:numId="42">
    <w:abstractNumId w:val="51"/>
  </w:num>
  <w:num w:numId="43">
    <w:abstractNumId w:val="42"/>
  </w:num>
  <w:num w:numId="44">
    <w:abstractNumId w:val="49"/>
  </w:num>
  <w:num w:numId="45">
    <w:abstractNumId w:val="12"/>
  </w:num>
  <w:num w:numId="46">
    <w:abstractNumId w:val="4"/>
  </w:num>
  <w:num w:numId="47">
    <w:abstractNumId w:val="29"/>
  </w:num>
  <w:num w:numId="48">
    <w:abstractNumId w:val="44"/>
  </w:num>
  <w:num w:numId="49">
    <w:abstractNumId w:val="45"/>
  </w:num>
  <w:num w:numId="50">
    <w:abstractNumId w:val="5"/>
  </w:num>
  <w:num w:numId="51">
    <w:abstractNumId w:val="59"/>
  </w:num>
  <w:num w:numId="52">
    <w:abstractNumId w:val="22"/>
  </w:num>
  <w:num w:numId="53">
    <w:abstractNumId w:val="30"/>
  </w:num>
  <w:num w:numId="54">
    <w:abstractNumId w:val="58"/>
  </w:num>
  <w:num w:numId="55">
    <w:abstractNumId w:val="13"/>
  </w:num>
  <w:num w:numId="56">
    <w:abstractNumId w:val="54"/>
  </w:num>
  <w:num w:numId="57">
    <w:abstractNumId w:val="16"/>
  </w:num>
  <w:num w:numId="58">
    <w:abstractNumId w:val="37"/>
  </w:num>
  <w:num w:numId="59">
    <w:abstractNumId w:val="39"/>
  </w:num>
  <w:num w:numId="60">
    <w:abstractNumId w:val="3"/>
  </w:num>
  <w:num w:numId="61">
    <w:abstractNumId w:val="25"/>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19"/>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C55"/>
    <w:rsid w:val="00001D40"/>
    <w:rsid w:val="00006A3E"/>
    <w:rsid w:val="00014BD7"/>
    <w:rsid w:val="00015DC7"/>
    <w:rsid w:val="000269A1"/>
    <w:rsid w:val="00026CAF"/>
    <w:rsid w:val="00040032"/>
    <w:rsid w:val="00041C4F"/>
    <w:rsid w:val="00046C7A"/>
    <w:rsid w:val="00047FB4"/>
    <w:rsid w:val="00052068"/>
    <w:rsid w:val="00055093"/>
    <w:rsid w:val="00055152"/>
    <w:rsid w:val="00057C2A"/>
    <w:rsid w:val="00066B3A"/>
    <w:rsid w:val="00070A89"/>
    <w:rsid w:val="0008015B"/>
    <w:rsid w:val="00093F39"/>
    <w:rsid w:val="000B0673"/>
    <w:rsid w:val="000B3389"/>
    <w:rsid w:val="000B4F14"/>
    <w:rsid w:val="000C30E9"/>
    <w:rsid w:val="000C4E15"/>
    <w:rsid w:val="000C511A"/>
    <w:rsid w:val="000D734F"/>
    <w:rsid w:val="00105779"/>
    <w:rsid w:val="00110E1E"/>
    <w:rsid w:val="001226A3"/>
    <w:rsid w:val="001234B6"/>
    <w:rsid w:val="001245A1"/>
    <w:rsid w:val="00132BD5"/>
    <w:rsid w:val="001417EE"/>
    <w:rsid w:val="001460B5"/>
    <w:rsid w:val="00155419"/>
    <w:rsid w:val="00161A19"/>
    <w:rsid w:val="00161AE5"/>
    <w:rsid w:val="0016311E"/>
    <w:rsid w:val="001638FD"/>
    <w:rsid w:val="00171CFC"/>
    <w:rsid w:val="00187146"/>
    <w:rsid w:val="001B0985"/>
    <w:rsid w:val="001B22CA"/>
    <w:rsid w:val="001B38C7"/>
    <w:rsid w:val="001B3E81"/>
    <w:rsid w:val="001B5564"/>
    <w:rsid w:val="001B5AEF"/>
    <w:rsid w:val="001C209F"/>
    <w:rsid w:val="001C3778"/>
    <w:rsid w:val="001D0215"/>
    <w:rsid w:val="001D3D32"/>
    <w:rsid w:val="001D6348"/>
    <w:rsid w:val="001E4B8B"/>
    <w:rsid w:val="001E56BE"/>
    <w:rsid w:val="001E5ED2"/>
    <w:rsid w:val="001E7750"/>
    <w:rsid w:val="001F4232"/>
    <w:rsid w:val="00200CB8"/>
    <w:rsid w:val="00206257"/>
    <w:rsid w:val="00217CA9"/>
    <w:rsid w:val="00220184"/>
    <w:rsid w:val="00221402"/>
    <w:rsid w:val="00231B36"/>
    <w:rsid w:val="002369D2"/>
    <w:rsid w:val="00245865"/>
    <w:rsid w:val="002525FD"/>
    <w:rsid w:val="00255E9C"/>
    <w:rsid w:val="002616F3"/>
    <w:rsid w:val="002707BC"/>
    <w:rsid w:val="002819CD"/>
    <w:rsid w:val="00293F42"/>
    <w:rsid w:val="00294C54"/>
    <w:rsid w:val="00295B48"/>
    <w:rsid w:val="002976BC"/>
    <w:rsid w:val="002B32C5"/>
    <w:rsid w:val="002C1EF4"/>
    <w:rsid w:val="002C445C"/>
    <w:rsid w:val="002C7EA6"/>
    <w:rsid w:val="002F3852"/>
    <w:rsid w:val="00303483"/>
    <w:rsid w:val="0030732E"/>
    <w:rsid w:val="003104A5"/>
    <w:rsid w:val="00311067"/>
    <w:rsid w:val="0031374C"/>
    <w:rsid w:val="003179C2"/>
    <w:rsid w:val="00326081"/>
    <w:rsid w:val="0032686E"/>
    <w:rsid w:val="00333C2F"/>
    <w:rsid w:val="003347D2"/>
    <w:rsid w:val="00335EFB"/>
    <w:rsid w:val="00336A32"/>
    <w:rsid w:val="00350A52"/>
    <w:rsid w:val="00351132"/>
    <w:rsid w:val="003530E3"/>
    <w:rsid w:val="0035670C"/>
    <w:rsid w:val="0037041D"/>
    <w:rsid w:val="003743BD"/>
    <w:rsid w:val="0037486E"/>
    <w:rsid w:val="00385366"/>
    <w:rsid w:val="003925AF"/>
    <w:rsid w:val="003A1BA0"/>
    <w:rsid w:val="003B630D"/>
    <w:rsid w:val="003D6445"/>
    <w:rsid w:val="003E1D33"/>
    <w:rsid w:val="003E4C07"/>
    <w:rsid w:val="003E7C86"/>
    <w:rsid w:val="003F0878"/>
    <w:rsid w:val="003F2795"/>
    <w:rsid w:val="003F3E60"/>
    <w:rsid w:val="003F64C5"/>
    <w:rsid w:val="004164D9"/>
    <w:rsid w:val="0042597F"/>
    <w:rsid w:val="00436276"/>
    <w:rsid w:val="00440CFF"/>
    <w:rsid w:val="004440A8"/>
    <w:rsid w:val="00445A77"/>
    <w:rsid w:val="004544D5"/>
    <w:rsid w:val="00462CC2"/>
    <w:rsid w:val="00476130"/>
    <w:rsid w:val="00483A93"/>
    <w:rsid w:val="00490F70"/>
    <w:rsid w:val="00495204"/>
    <w:rsid w:val="004A4F66"/>
    <w:rsid w:val="004C4D76"/>
    <w:rsid w:val="004C75E6"/>
    <w:rsid w:val="004D2DA6"/>
    <w:rsid w:val="004E0D75"/>
    <w:rsid w:val="004E1F2D"/>
    <w:rsid w:val="004E3F5F"/>
    <w:rsid w:val="004E4828"/>
    <w:rsid w:val="004E7078"/>
    <w:rsid w:val="004F6FAA"/>
    <w:rsid w:val="00510ADB"/>
    <w:rsid w:val="005227DD"/>
    <w:rsid w:val="005401A5"/>
    <w:rsid w:val="00541F2F"/>
    <w:rsid w:val="00544017"/>
    <w:rsid w:val="00544D0A"/>
    <w:rsid w:val="00544EB7"/>
    <w:rsid w:val="00564D70"/>
    <w:rsid w:val="005661D8"/>
    <w:rsid w:val="005721D7"/>
    <w:rsid w:val="005855F8"/>
    <w:rsid w:val="005A7A5D"/>
    <w:rsid w:val="005A7FFB"/>
    <w:rsid w:val="005B690B"/>
    <w:rsid w:val="005C1A3B"/>
    <w:rsid w:val="005C7E08"/>
    <w:rsid w:val="005D5C19"/>
    <w:rsid w:val="005D7CAB"/>
    <w:rsid w:val="005E50C6"/>
    <w:rsid w:val="005F11D1"/>
    <w:rsid w:val="005F6EEA"/>
    <w:rsid w:val="00600321"/>
    <w:rsid w:val="006051BA"/>
    <w:rsid w:val="006076EA"/>
    <w:rsid w:val="00612022"/>
    <w:rsid w:val="006130D9"/>
    <w:rsid w:val="0062442E"/>
    <w:rsid w:val="00642A94"/>
    <w:rsid w:val="00661FA3"/>
    <w:rsid w:val="00663F5D"/>
    <w:rsid w:val="00683201"/>
    <w:rsid w:val="0068790B"/>
    <w:rsid w:val="0069169D"/>
    <w:rsid w:val="00693A4C"/>
    <w:rsid w:val="006A2880"/>
    <w:rsid w:val="006A2A7D"/>
    <w:rsid w:val="006A4CF8"/>
    <w:rsid w:val="006B5D0C"/>
    <w:rsid w:val="006C796F"/>
    <w:rsid w:val="006D3516"/>
    <w:rsid w:val="006E3333"/>
    <w:rsid w:val="006E4C5D"/>
    <w:rsid w:val="006E5B86"/>
    <w:rsid w:val="006F0EA9"/>
    <w:rsid w:val="006F404E"/>
    <w:rsid w:val="00706068"/>
    <w:rsid w:val="00710B2F"/>
    <w:rsid w:val="00711899"/>
    <w:rsid w:val="00713C67"/>
    <w:rsid w:val="00720F3D"/>
    <w:rsid w:val="00731F73"/>
    <w:rsid w:val="007327D5"/>
    <w:rsid w:val="00742311"/>
    <w:rsid w:val="00743967"/>
    <w:rsid w:val="0075290C"/>
    <w:rsid w:val="007655FC"/>
    <w:rsid w:val="0076607B"/>
    <w:rsid w:val="007704BB"/>
    <w:rsid w:val="00770D4A"/>
    <w:rsid w:val="007770FD"/>
    <w:rsid w:val="007821C1"/>
    <w:rsid w:val="00783116"/>
    <w:rsid w:val="00786828"/>
    <w:rsid w:val="00792761"/>
    <w:rsid w:val="007A3496"/>
    <w:rsid w:val="007A5F50"/>
    <w:rsid w:val="007A6AC6"/>
    <w:rsid w:val="007B1FA1"/>
    <w:rsid w:val="007C2BAD"/>
    <w:rsid w:val="007C2BAE"/>
    <w:rsid w:val="007C5A23"/>
    <w:rsid w:val="007C66B9"/>
    <w:rsid w:val="007C7C6B"/>
    <w:rsid w:val="007D1B0B"/>
    <w:rsid w:val="007E16A9"/>
    <w:rsid w:val="007E4A9E"/>
    <w:rsid w:val="00806262"/>
    <w:rsid w:val="00811632"/>
    <w:rsid w:val="00815B98"/>
    <w:rsid w:val="00817020"/>
    <w:rsid w:val="008415B6"/>
    <w:rsid w:val="00844198"/>
    <w:rsid w:val="00844E89"/>
    <w:rsid w:val="0085179B"/>
    <w:rsid w:val="00852FFB"/>
    <w:rsid w:val="00857648"/>
    <w:rsid w:val="0086264E"/>
    <w:rsid w:val="00862712"/>
    <w:rsid w:val="008652D3"/>
    <w:rsid w:val="008820F3"/>
    <w:rsid w:val="00883957"/>
    <w:rsid w:val="00884D14"/>
    <w:rsid w:val="0088565D"/>
    <w:rsid w:val="008A005D"/>
    <w:rsid w:val="008A289B"/>
    <w:rsid w:val="008A43B4"/>
    <w:rsid w:val="008B4D55"/>
    <w:rsid w:val="008B79C5"/>
    <w:rsid w:val="008B7CE5"/>
    <w:rsid w:val="008C26DF"/>
    <w:rsid w:val="008C368B"/>
    <w:rsid w:val="008D29AE"/>
    <w:rsid w:val="008E1DE5"/>
    <w:rsid w:val="008E5D6E"/>
    <w:rsid w:val="008E76FA"/>
    <w:rsid w:val="008F0BF5"/>
    <w:rsid w:val="008F42C8"/>
    <w:rsid w:val="008F72AC"/>
    <w:rsid w:val="0090061D"/>
    <w:rsid w:val="009070C1"/>
    <w:rsid w:val="009122E2"/>
    <w:rsid w:val="00912C64"/>
    <w:rsid w:val="009254B7"/>
    <w:rsid w:val="00951B90"/>
    <w:rsid w:val="00956F83"/>
    <w:rsid w:val="00971E53"/>
    <w:rsid w:val="009736FD"/>
    <w:rsid w:val="009827FE"/>
    <w:rsid w:val="009842BB"/>
    <w:rsid w:val="009A0EA7"/>
    <w:rsid w:val="009A27ED"/>
    <w:rsid w:val="009A734D"/>
    <w:rsid w:val="009B033D"/>
    <w:rsid w:val="009C1C8D"/>
    <w:rsid w:val="009C3C53"/>
    <w:rsid w:val="009D1329"/>
    <w:rsid w:val="009D45BC"/>
    <w:rsid w:val="009E5BC5"/>
    <w:rsid w:val="00A15BCE"/>
    <w:rsid w:val="00A248FE"/>
    <w:rsid w:val="00A25E22"/>
    <w:rsid w:val="00A27126"/>
    <w:rsid w:val="00A3470E"/>
    <w:rsid w:val="00A370D8"/>
    <w:rsid w:val="00A40DA3"/>
    <w:rsid w:val="00A41B2C"/>
    <w:rsid w:val="00A42ED3"/>
    <w:rsid w:val="00A50B15"/>
    <w:rsid w:val="00A52D56"/>
    <w:rsid w:val="00A535CC"/>
    <w:rsid w:val="00A53E9C"/>
    <w:rsid w:val="00A71B8B"/>
    <w:rsid w:val="00A72F95"/>
    <w:rsid w:val="00A73E4C"/>
    <w:rsid w:val="00A75008"/>
    <w:rsid w:val="00A76693"/>
    <w:rsid w:val="00A76DE1"/>
    <w:rsid w:val="00A76F17"/>
    <w:rsid w:val="00A76F60"/>
    <w:rsid w:val="00A7719A"/>
    <w:rsid w:val="00A80A7C"/>
    <w:rsid w:val="00A8591E"/>
    <w:rsid w:val="00A96EAE"/>
    <w:rsid w:val="00AA7C74"/>
    <w:rsid w:val="00AC0A6F"/>
    <w:rsid w:val="00AC2668"/>
    <w:rsid w:val="00AC44A1"/>
    <w:rsid w:val="00AC7CBA"/>
    <w:rsid w:val="00AD6B47"/>
    <w:rsid w:val="00AD78A0"/>
    <w:rsid w:val="00AF25C2"/>
    <w:rsid w:val="00AF69B3"/>
    <w:rsid w:val="00B0488A"/>
    <w:rsid w:val="00B06918"/>
    <w:rsid w:val="00B20EE1"/>
    <w:rsid w:val="00B26A32"/>
    <w:rsid w:val="00B30347"/>
    <w:rsid w:val="00B31981"/>
    <w:rsid w:val="00B36B6B"/>
    <w:rsid w:val="00B43224"/>
    <w:rsid w:val="00B43D41"/>
    <w:rsid w:val="00B47C75"/>
    <w:rsid w:val="00B6039D"/>
    <w:rsid w:val="00B60888"/>
    <w:rsid w:val="00B72577"/>
    <w:rsid w:val="00B74F60"/>
    <w:rsid w:val="00B8396C"/>
    <w:rsid w:val="00B85CBC"/>
    <w:rsid w:val="00B928BE"/>
    <w:rsid w:val="00B97D87"/>
    <w:rsid w:val="00BB2F12"/>
    <w:rsid w:val="00BB5F47"/>
    <w:rsid w:val="00BB693D"/>
    <w:rsid w:val="00BC2BE6"/>
    <w:rsid w:val="00BD0C2B"/>
    <w:rsid w:val="00BF266B"/>
    <w:rsid w:val="00C02156"/>
    <w:rsid w:val="00C0406F"/>
    <w:rsid w:val="00C06928"/>
    <w:rsid w:val="00C1195D"/>
    <w:rsid w:val="00C13793"/>
    <w:rsid w:val="00C230CA"/>
    <w:rsid w:val="00C331E1"/>
    <w:rsid w:val="00C404EC"/>
    <w:rsid w:val="00C41A14"/>
    <w:rsid w:val="00C46C66"/>
    <w:rsid w:val="00C66D53"/>
    <w:rsid w:val="00C75C55"/>
    <w:rsid w:val="00C91732"/>
    <w:rsid w:val="00C97F5F"/>
    <w:rsid w:val="00CA33C6"/>
    <w:rsid w:val="00CB27AD"/>
    <w:rsid w:val="00CC13CE"/>
    <w:rsid w:val="00CC2A2A"/>
    <w:rsid w:val="00CC52B0"/>
    <w:rsid w:val="00CE1E2C"/>
    <w:rsid w:val="00CE265C"/>
    <w:rsid w:val="00CE5A45"/>
    <w:rsid w:val="00CE7505"/>
    <w:rsid w:val="00D04452"/>
    <w:rsid w:val="00D068ED"/>
    <w:rsid w:val="00D06E80"/>
    <w:rsid w:val="00D16C3C"/>
    <w:rsid w:val="00D408E6"/>
    <w:rsid w:val="00D52A3C"/>
    <w:rsid w:val="00D560C1"/>
    <w:rsid w:val="00D5744E"/>
    <w:rsid w:val="00D66740"/>
    <w:rsid w:val="00D67554"/>
    <w:rsid w:val="00D84C01"/>
    <w:rsid w:val="00D86ECB"/>
    <w:rsid w:val="00D91159"/>
    <w:rsid w:val="00D97158"/>
    <w:rsid w:val="00D97C19"/>
    <w:rsid w:val="00DA01EF"/>
    <w:rsid w:val="00DA3A59"/>
    <w:rsid w:val="00DA5B44"/>
    <w:rsid w:val="00DA5D77"/>
    <w:rsid w:val="00DA69DA"/>
    <w:rsid w:val="00DA7821"/>
    <w:rsid w:val="00DC5E3B"/>
    <w:rsid w:val="00DD14B0"/>
    <w:rsid w:val="00DD3123"/>
    <w:rsid w:val="00DD79E4"/>
    <w:rsid w:val="00DE3F4D"/>
    <w:rsid w:val="00DE4D85"/>
    <w:rsid w:val="00DE6372"/>
    <w:rsid w:val="00DF3FEA"/>
    <w:rsid w:val="00E16EBD"/>
    <w:rsid w:val="00E227B4"/>
    <w:rsid w:val="00E25D5B"/>
    <w:rsid w:val="00E36D61"/>
    <w:rsid w:val="00E42748"/>
    <w:rsid w:val="00E44DCB"/>
    <w:rsid w:val="00E47949"/>
    <w:rsid w:val="00E50D81"/>
    <w:rsid w:val="00E53DC9"/>
    <w:rsid w:val="00E612C2"/>
    <w:rsid w:val="00E859CB"/>
    <w:rsid w:val="00E9082F"/>
    <w:rsid w:val="00E92F21"/>
    <w:rsid w:val="00E9661C"/>
    <w:rsid w:val="00EA281E"/>
    <w:rsid w:val="00EA4CCA"/>
    <w:rsid w:val="00EA5CD6"/>
    <w:rsid w:val="00EA67AB"/>
    <w:rsid w:val="00EA7953"/>
    <w:rsid w:val="00EB29FA"/>
    <w:rsid w:val="00EB66F6"/>
    <w:rsid w:val="00EC024B"/>
    <w:rsid w:val="00EC15D3"/>
    <w:rsid w:val="00EE24B6"/>
    <w:rsid w:val="00EE2533"/>
    <w:rsid w:val="00EE25D4"/>
    <w:rsid w:val="00EF3F2D"/>
    <w:rsid w:val="00EF3F8E"/>
    <w:rsid w:val="00F042EA"/>
    <w:rsid w:val="00F04619"/>
    <w:rsid w:val="00F06512"/>
    <w:rsid w:val="00F149AC"/>
    <w:rsid w:val="00F14A6F"/>
    <w:rsid w:val="00F150B9"/>
    <w:rsid w:val="00F15EC6"/>
    <w:rsid w:val="00F213B5"/>
    <w:rsid w:val="00F2213C"/>
    <w:rsid w:val="00F23C3D"/>
    <w:rsid w:val="00F27CBB"/>
    <w:rsid w:val="00F3185A"/>
    <w:rsid w:val="00F3327B"/>
    <w:rsid w:val="00F34417"/>
    <w:rsid w:val="00F35AD2"/>
    <w:rsid w:val="00F41586"/>
    <w:rsid w:val="00F51669"/>
    <w:rsid w:val="00F51D3A"/>
    <w:rsid w:val="00F52618"/>
    <w:rsid w:val="00F56CB2"/>
    <w:rsid w:val="00F60DD4"/>
    <w:rsid w:val="00F66F99"/>
    <w:rsid w:val="00F71D3A"/>
    <w:rsid w:val="00FA182C"/>
    <w:rsid w:val="00FA5E27"/>
    <w:rsid w:val="00FB0068"/>
    <w:rsid w:val="00FE0FD8"/>
    <w:rsid w:val="00FE3126"/>
    <w:rsid w:val="00FE4E0B"/>
    <w:rsid w:val="00FE63B1"/>
    <w:rsid w:val="00FE6A1A"/>
    <w:rsid w:val="00FE6C25"/>
    <w:rsid w:val="00FE70D3"/>
    <w:rsid w:val="019C4869"/>
    <w:rsid w:val="038D2E09"/>
    <w:rsid w:val="06AD058C"/>
    <w:rsid w:val="07B14543"/>
    <w:rsid w:val="10CB4C53"/>
    <w:rsid w:val="128B3211"/>
    <w:rsid w:val="13501B08"/>
    <w:rsid w:val="156C2BE6"/>
    <w:rsid w:val="18341BBD"/>
    <w:rsid w:val="18E6446F"/>
    <w:rsid w:val="198C662E"/>
    <w:rsid w:val="1A6222C5"/>
    <w:rsid w:val="1D46611F"/>
    <w:rsid w:val="1D4F4959"/>
    <w:rsid w:val="20374F22"/>
    <w:rsid w:val="21AA025F"/>
    <w:rsid w:val="229F504D"/>
    <w:rsid w:val="279B3244"/>
    <w:rsid w:val="2CB573F1"/>
    <w:rsid w:val="2D704801"/>
    <w:rsid w:val="31C4093D"/>
    <w:rsid w:val="326C42F0"/>
    <w:rsid w:val="32B060CB"/>
    <w:rsid w:val="33A74860"/>
    <w:rsid w:val="3A103090"/>
    <w:rsid w:val="3A540262"/>
    <w:rsid w:val="3B34770B"/>
    <w:rsid w:val="3BFD516B"/>
    <w:rsid w:val="3DA56BC3"/>
    <w:rsid w:val="3EA04F4F"/>
    <w:rsid w:val="433002E1"/>
    <w:rsid w:val="43EB4EE3"/>
    <w:rsid w:val="476E3D58"/>
    <w:rsid w:val="47B317B2"/>
    <w:rsid w:val="49074B0B"/>
    <w:rsid w:val="4F1B3565"/>
    <w:rsid w:val="5056115D"/>
    <w:rsid w:val="51174E2A"/>
    <w:rsid w:val="515B7CB7"/>
    <w:rsid w:val="51E91940"/>
    <w:rsid w:val="54AF010F"/>
    <w:rsid w:val="558733E4"/>
    <w:rsid w:val="56641642"/>
    <w:rsid w:val="566C07D1"/>
    <w:rsid w:val="577415EB"/>
    <w:rsid w:val="57B60993"/>
    <w:rsid w:val="5A0E70B1"/>
    <w:rsid w:val="5B207D17"/>
    <w:rsid w:val="5DCC558D"/>
    <w:rsid w:val="5E0F6BA8"/>
    <w:rsid w:val="645673C4"/>
    <w:rsid w:val="6B0C463C"/>
    <w:rsid w:val="6C656366"/>
    <w:rsid w:val="6CC262F1"/>
    <w:rsid w:val="6DAB0C5B"/>
    <w:rsid w:val="75263FB5"/>
    <w:rsid w:val="75596138"/>
    <w:rsid w:val="7866445F"/>
    <w:rsid w:val="7C8B09C4"/>
    <w:rsid w:val="7EA71053"/>
    <w:rsid w:val="7EF877D6"/>
    <w:rsid w:val="7FB858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C793E7F"/>
  <w15:docId w15:val="{8E729206-29C8-42D4-9059-8ED36C1B6C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qFormat="1"/>
    <w:lsdException w:name="annotation text" w:semiHidden="1" w:qFormat="1"/>
    <w:lsdException w:name="header" w:qFormat="1"/>
    <w:lsdException w:name="footer" w:qFormat="1"/>
    <w:lsdException w:name="caption" w:qFormat="1"/>
    <w:lsdException w:name="page number" w:qFormat="1"/>
    <w:lsdException w:name="List" w:qFormat="1"/>
    <w:lsdException w:name="List Number" w:qFormat="1"/>
    <w:lsdException w:name="Lis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2" w:qFormat="1"/>
    <w:lsdException w:name="Body Text 3" w:qFormat="1"/>
    <w:lsdException w:name="Body Text Indent 2" w:qFormat="1"/>
    <w:lsdException w:name="Body Text Indent 3" w:qFormat="1"/>
    <w:lsdException w:name="Hyperlink" w:uiPriority="99" w:qFormat="1"/>
    <w:lsdException w:name="Strong" w:qFormat="1"/>
    <w:lsdException w:name="Emphasis" w:qFormat="1"/>
    <w:lsdException w:name="Document Map" w:semiHidden="1"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lang w:val="en-GB" w:eastAsia="en-US"/>
    </w:rPr>
  </w:style>
  <w:style w:type="paragraph" w:styleId="Heading1">
    <w:name w:val="heading 1"/>
    <w:basedOn w:val="ReportLevel1"/>
    <w:next w:val="Normal"/>
    <w:qFormat/>
    <w:pPr>
      <w:keepNext w:val="0"/>
      <w:numPr>
        <w:numId w:val="1"/>
      </w:numPr>
      <w:outlineLvl w:val="0"/>
    </w:pPr>
    <w:rPr>
      <w:rFonts w:cs="Arial"/>
    </w:rPr>
  </w:style>
  <w:style w:type="paragraph" w:styleId="Heading2">
    <w:name w:val="heading 2"/>
    <w:basedOn w:val="Heading1"/>
    <w:next w:val="Normal"/>
    <w:qFormat/>
    <w:pPr>
      <w:outlineLvl w:val="1"/>
    </w:pPr>
    <w:rPr>
      <w:caps w:val="0"/>
    </w:rPr>
  </w:style>
  <w:style w:type="paragraph" w:styleId="Heading3">
    <w:name w:val="heading 3"/>
    <w:basedOn w:val="Heading1"/>
    <w:next w:val="Normal"/>
    <w:qFormat/>
    <w:pPr>
      <w:outlineLvl w:val="2"/>
    </w:pPr>
    <w:rPr>
      <w:caps w:val="0"/>
      <w:sz w:val="20"/>
    </w:rPr>
  </w:style>
  <w:style w:type="paragraph" w:styleId="Heading4">
    <w:name w:val="heading 4"/>
    <w:basedOn w:val="Heading3"/>
    <w:next w:val="Normal"/>
    <w:qFormat/>
    <w:pPr>
      <w:outlineLvl w:val="3"/>
    </w:pPr>
  </w:style>
  <w:style w:type="paragraph" w:styleId="Heading5">
    <w:name w:val="heading 5"/>
    <w:basedOn w:val="Normal"/>
    <w:next w:val="Normal"/>
    <w:qFormat/>
    <w:pPr>
      <w:keepNext/>
      <w:outlineLvl w:val="4"/>
    </w:pPr>
    <w:rPr>
      <w:rFonts w:ascii="Arial" w:hAnsi="Arial"/>
      <w:sz w:val="36"/>
    </w:rPr>
  </w:style>
  <w:style w:type="paragraph" w:styleId="Heading6">
    <w:name w:val="heading 6"/>
    <w:basedOn w:val="Normal"/>
    <w:next w:val="Normal"/>
    <w:qFormat/>
    <w:pPr>
      <w:outlineLvl w:val="5"/>
    </w:pPr>
    <w:rPr>
      <w:i/>
    </w:rPr>
  </w:style>
  <w:style w:type="paragraph" w:styleId="Heading7">
    <w:name w:val="heading 7"/>
    <w:basedOn w:val="Normal"/>
    <w:next w:val="Normal"/>
    <w:qFormat/>
    <w:pPr>
      <w:outlineLvl w:val="6"/>
    </w:pPr>
    <w:rPr>
      <w:rFonts w:ascii="Arial" w:hAnsi="Arial"/>
    </w:rPr>
  </w:style>
  <w:style w:type="paragraph" w:styleId="Heading8">
    <w:name w:val="heading 8"/>
    <w:basedOn w:val="Normal"/>
    <w:next w:val="Normal"/>
    <w:qFormat/>
    <w:pPr>
      <w:outlineLvl w:val="7"/>
    </w:pPr>
    <w:rPr>
      <w:rFonts w:ascii="Arial" w:hAnsi="Arial"/>
      <w:i/>
    </w:rPr>
  </w:style>
  <w:style w:type="paragraph" w:styleId="Heading9">
    <w:name w:val="heading 9"/>
    <w:basedOn w:val="Normal"/>
    <w:next w:val="Normal"/>
    <w:qFormat/>
    <w:pPr>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portLevel1">
    <w:name w:val="Report Level 1"/>
    <w:basedOn w:val="Normal"/>
    <w:next w:val="ReportText"/>
    <w:qFormat/>
    <w:pPr>
      <w:keepNext/>
      <w:numPr>
        <w:numId w:val="2"/>
      </w:numPr>
      <w:outlineLvl w:val="0"/>
    </w:pPr>
    <w:rPr>
      <w:rFonts w:eastAsia="宋体"/>
      <w:b/>
      <w:caps/>
      <w:sz w:val="24"/>
      <w:lang w:eastAsia="zh-CN"/>
    </w:rPr>
  </w:style>
  <w:style w:type="paragraph" w:customStyle="1" w:styleId="ReportText">
    <w:name w:val="Report Text"/>
    <w:basedOn w:val="Normal"/>
    <w:link w:val="ReportTextChar3"/>
    <w:qFormat/>
    <w:pPr>
      <w:ind w:left="1080"/>
      <w:jc w:val="both"/>
    </w:pPr>
    <w:rPr>
      <w:sz w:val="24"/>
    </w:rPr>
  </w:style>
  <w:style w:type="paragraph" w:styleId="TOC7">
    <w:name w:val="toc 7"/>
    <w:basedOn w:val="TOC2"/>
    <w:next w:val="Normal"/>
    <w:semiHidden/>
    <w:qFormat/>
    <w:pPr>
      <w:ind w:left="1320"/>
    </w:pPr>
    <w:rPr>
      <w:smallCaps w:val="0"/>
      <w:sz w:val="18"/>
    </w:rPr>
  </w:style>
  <w:style w:type="paragraph" w:styleId="TOC2">
    <w:name w:val="toc 2"/>
    <w:basedOn w:val="Normal"/>
    <w:next w:val="Normal"/>
    <w:semiHidden/>
    <w:qFormat/>
    <w:pPr>
      <w:ind w:left="220"/>
    </w:pPr>
    <w:rPr>
      <w:smallCaps/>
      <w:sz w:val="20"/>
    </w:rPr>
  </w:style>
  <w:style w:type="paragraph" w:styleId="ListNumber">
    <w:name w:val="List Number"/>
    <w:basedOn w:val="Normal"/>
    <w:qFormat/>
    <w:pPr>
      <w:numPr>
        <w:numId w:val="3"/>
      </w:numPr>
      <w:spacing w:before="138"/>
    </w:pPr>
  </w:style>
  <w:style w:type="paragraph" w:styleId="NormalIndent">
    <w:name w:val="Normal Indent"/>
    <w:basedOn w:val="Normal"/>
    <w:qFormat/>
    <w:pPr>
      <w:ind w:left="720"/>
    </w:pPr>
  </w:style>
  <w:style w:type="paragraph" w:styleId="Caption">
    <w:name w:val="caption"/>
    <w:basedOn w:val="Normal"/>
    <w:next w:val="Normal"/>
    <w:qFormat/>
    <w:pPr>
      <w:tabs>
        <w:tab w:val="right" w:pos="9360"/>
      </w:tabs>
      <w:spacing w:before="400"/>
    </w:pPr>
    <w:rPr>
      <w:rFonts w:ascii="Arial" w:hAnsi="Arial"/>
      <w:sz w:val="28"/>
    </w:rPr>
  </w:style>
  <w:style w:type="paragraph" w:styleId="DocumentMap">
    <w:name w:val="Document Map"/>
    <w:basedOn w:val="Normal"/>
    <w:semiHidden/>
    <w:qFormat/>
    <w:pPr>
      <w:shd w:val="clear" w:color="auto" w:fill="000080"/>
    </w:pPr>
    <w:rPr>
      <w:rFonts w:ascii="Tahoma" w:hAnsi="Tahoma"/>
    </w:rPr>
  </w:style>
  <w:style w:type="paragraph" w:styleId="CommentText">
    <w:name w:val="annotation text"/>
    <w:basedOn w:val="Normal"/>
    <w:semiHidden/>
    <w:qFormat/>
    <w:rPr>
      <w:sz w:val="20"/>
    </w:rPr>
  </w:style>
  <w:style w:type="paragraph" w:styleId="BodyText3">
    <w:name w:val="Body Text 3"/>
    <w:basedOn w:val="Normal"/>
    <w:qFormat/>
    <w:pPr>
      <w:widowControl w:val="0"/>
      <w:spacing w:line="320" w:lineRule="exact"/>
      <w:jc w:val="both"/>
    </w:pPr>
    <w:rPr>
      <w:rFonts w:ascii="金梅簡中明" w:eastAsia="金梅簡中明"/>
      <w:kern w:val="2"/>
      <w:sz w:val="24"/>
      <w:lang w:val="en-US" w:eastAsia="zh-TW"/>
    </w:rPr>
  </w:style>
  <w:style w:type="paragraph" w:styleId="BodyText">
    <w:name w:val="Body Text"/>
    <w:basedOn w:val="Normal"/>
    <w:qFormat/>
    <w:pPr>
      <w:ind w:left="720"/>
    </w:pPr>
  </w:style>
  <w:style w:type="paragraph" w:styleId="BodyTextIndent">
    <w:name w:val="Body Text Indent"/>
    <w:basedOn w:val="Normal"/>
    <w:qFormat/>
    <w:pPr>
      <w:ind w:left="851"/>
    </w:pPr>
    <w:rPr>
      <w:rFonts w:eastAsia="金梅簡中明"/>
      <w:sz w:val="24"/>
      <w:lang w:eastAsia="zh-TW"/>
    </w:rPr>
  </w:style>
  <w:style w:type="paragraph" w:styleId="List2">
    <w:name w:val="List 2"/>
    <w:basedOn w:val="List"/>
    <w:qFormat/>
    <w:pPr>
      <w:spacing w:before="0"/>
    </w:pPr>
  </w:style>
  <w:style w:type="paragraph" w:styleId="List">
    <w:name w:val="List"/>
    <w:basedOn w:val="Normal"/>
    <w:qFormat/>
    <w:pPr>
      <w:numPr>
        <w:numId w:val="4"/>
      </w:numPr>
      <w:spacing w:before="138"/>
    </w:pPr>
  </w:style>
  <w:style w:type="paragraph" w:styleId="TOC5">
    <w:name w:val="toc 5"/>
    <w:basedOn w:val="TOC1"/>
    <w:next w:val="Normal"/>
    <w:semiHidden/>
    <w:qFormat/>
    <w:pPr>
      <w:spacing w:before="0" w:after="0"/>
      <w:ind w:left="880"/>
    </w:pPr>
    <w:rPr>
      <w:b w:val="0"/>
      <w:caps w:val="0"/>
      <w:sz w:val="18"/>
    </w:rPr>
  </w:style>
  <w:style w:type="paragraph" w:styleId="TOC1">
    <w:name w:val="toc 1"/>
    <w:basedOn w:val="Normal"/>
    <w:next w:val="Normal"/>
    <w:uiPriority w:val="39"/>
    <w:qFormat/>
    <w:pPr>
      <w:spacing w:before="120" w:after="120"/>
    </w:pPr>
    <w:rPr>
      <w:b/>
      <w:caps/>
      <w:sz w:val="20"/>
    </w:rPr>
  </w:style>
  <w:style w:type="paragraph" w:styleId="TOC3">
    <w:name w:val="toc 3"/>
    <w:basedOn w:val="Normal"/>
    <w:next w:val="Normal"/>
    <w:semiHidden/>
    <w:qFormat/>
    <w:pPr>
      <w:ind w:left="440"/>
    </w:pPr>
    <w:rPr>
      <w:i/>
      <w:sz w:val="20"/>
    </w:rPr>
  </w:style>
  <w:style w:type="paragraph" w:styleId="TOC8">
    <w:name w:val="toc 8"/>
    <w:basedOn w:val="TOC3"/>
    <w:next w:val="Normal"/>
    <w:semiHidden/>
    <w:qFormat/>
    <w:pPr>
      <w:ind w:left="1540"/>
    </w:pPr>
    <w:rPr>
      <w:i w:val="0"/>
      <w:sz w:val="18"/>
    </w:rPr>
  </w:style>
  <w:style w:type="paragraph" w:styleId="Date">
    <w:name w:val="Date"/>
    <w:basedOn w:val="Normal"/>
    <w:next w:val="Normal"/>
    <w:qFormat/>
    <w:pPr>
      <w:jc w:val="right"/>
    </w:pPr>
    <w:rPr>
      <w:rFonts w:eastAsia="金梅簡中明"/>
      <w:sz w:val="24"/>
      <w:lang w:eastAsia="zh-TW"/>
    </w:rPr>
  </w:style>
  <w:style w:type="paragraph" w:styleId="BodyTextIndent2">
    <w:name w:val="Body Text Indent 2"/>
    <w:basedOn w:val="Normal"/>
    <w:qFormat/>
    <w:pPr>
      <w:snapToGrid w:val="0"/>
      <w:ind w:left="851"/>
      <w:jc w:val="both"/>
    </w:pPr>
    <w:rPr>
      <w:rFonts w:ascii="PMingLiU" w:hAnsi="PMingLiU"/>
      <w:sz w:val="24"/>
      <w:lang w:eastAsia="zh-TW"/>
    </w:rPr>
  </w:style>
  <w:style w:type="paragraph" w:styleId="BalloonText">
    <w:name w:val="Balloon Text"/>
    <w:basedOn w:val="Normal"/>
    <w:link w:val="a0"/>
    <w:qFormat/>
    <w:rPr>
      <w:rFonts w:ascii="Microsoft YaHei UI" w:eastAsia="Microsoft YaHei UI"/>
      <w:sz w:val="18"/>
      <w:szCs w:val="18"/>
    </w:rPr>
  </w:style>
  <w:style w:type="paragraph" w:styleId="Footer">
    <w:name w:val="footer"/>
    <w:basedOn w:val="Normal"/>
    <w:link w:val="a"/>
    <w:qFormat/>
    <w:pPr>
      <w:tabs>
        <w:tab w:val="center" w:pos="4153"/>
        <w:tab w:val="right" w:pos="8306"/>
      </w:tabs>
    </w:pPr>
  </w:style>
  <w:style w:type="paragraph" w:styleId="Header">
    <w:name w:val="header"/>
    <w:basedOn w:val="Normal"/>
    <w:link w:val="a1"/>
    <w:qFormat/>
    <w:pPr>
      <w:tabs>
        <w:tab w:val="center" w:pos="4153"/>
        <w:tab w:val="right" w:pos="8306"/>
      </w:tabs>
    </w:pPr>
  </w:style>
  <w:style w:type="paragraph" w:styleId="TOC4">
    <w:name w:val="toc 4"/>
    <w:basedOn w:val="TOC3"/>
    <w:next w:val="Normal"/>
    <w:semiHidden/>
    <w:qFormat/>
    <w:pPr>
      <w:ind w:left="660"/>
    </w:pPr>
    <w:rPr>
      <w:i w:val="0"/>
      <w:sz w:val="18"/>
    </w:rPr>
  </w:style>
  <w:style w:type="paragraph" w:styleId="TOC6">
    <w:name w:val="toc 6"/>
    <w:basedOn w:val="TOC1"/>
    <w:next w:val="Normal"/>
    <w:semiHidden/>
    <w:qFormat/>
    <w:pPr>
      <w:spacing w:before="0" w:after="0"/>
      <w:ind w:left="1100"/>
    </w:pPr>
    <w:rPr>
      <w:b w:val="0"/>
      <w:caps w:val="0"/>
      <w:sz w:val="18"/>
    </w:rPr>
  </w:style>
  <w:style w:type="paragraph" w:styleId="BodyTextIndent3">
    <w:name w:val="Body Text Indent 3"/>
    <w:basedOn w:val="Normal"/>
    <w:qFormat/>
    <w:pPr>
      <w:autoSpaceDE w:val="0"/>
      <w:autoSpaceDN w:val="0"/>
      <w:adjustRightInd w:val="0"/>
      <w:ind w:left="720"/>
    </w:pPr>
    <w:rPr>
      <w:sz w:val="24"/>
      <w:lang w:val="en-US" w:eastAsia="zh-CN"/>
    </w:rPr>
  </w:style>
  <w:style w:type="paragraph" w:styleId="TOC9">
    <w:name w:val="toc 9"/>
    <w:basedOn w:val="Normal"/>
    <w:next w:val="Normal"/>
    <w:semiHidden/>
    <w:qFormat/>
    <w:pPr>
      <w:ind w:left="1760"/>
    </w:pPr>
    <w:rPr>
      <w:sz w:val="18"/>
    </w:rPr>
  </w:style>
  <w:style w:type="paragraph" w:styleId="BodyText2">
    <w:name w:val="Body Text 2"/>
    <w:basedOn w:val="Normal"/>
    <w:qFormat/>
    <w:pPr>
      <w:widowControl w:val="0"/>
    </w:pPr>
    <w:rPr>
      <w:rFonts w:ascii="金梅簡中明" w:eastAsia="金梅簡中明"/>
      <w:b/>
      <w:kern w:val="2"/>
      <w:sz w:val="24"/>
      <w:lang w:val="en-US" w:eastAsia="zh-TW"/>
    </w:rPr>
  </w:style>
  <w:style w:type="paragraph" w:styleId="NormalWeb">
    <w:name w:val="Normal (Web)"/>
    <w:basedOn w:val="Normal"/>
    <w:qFormat/>
    <w:pPr>
      <w:spacing w:before="100" w:beforeAutospacing="1"/>
    </w:pPr>
    <w:rPr>
      <w:szCs w:val="24"/>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qFormat/>
  </w:style>
  <w:style w:type="character" w:styleId="Hyperlink">
    <w:name w:val="Hyperlink"/>
    <w:uiPriority w:val="99"/>
    <w:qFormat/>
    <w:rPr>
      <w:color w:val="auto"/>
      <w:u w:val="single"/>
    </w:rPr>
  </w:style>
  <w:style w:type="paragraph" w:customStyle="1" w:styleId="ReportList1">
    <w:name w:val="Report List 1"/>
    <w:basedOn w:val="List"/>
    <w:qFormat/>
    <w:pPr>
      <w:numPr>
        <w:numId w:val="5"/>
      </w:numPr>
      <w:spacing w:before="0" w:after="138"/>
    </w:pPr>
  </w:style>
  <w:style w:type="paragraph" w:customStyle="1" w:styleId="ReportLevel2">
    <w:name w:val="Report Level 2"/>
    <w:basedOn w:val="ReportLevel1"/>
    <w:next w:val="ReportText"/>
    <w:link w:val="ReportLevel2Char1"/>
    <w:qFormat/>
    <w:pPr>
      <w:numPr>
        <w:ilvl w:val="1"/>
      </w:numPr>
      <w:outlineLvl w:val="1"/>
    </w:pPr>
    <w:rPr>
      <w:b w:val="0"/>
      <w:caps w:val="0"/>
    </w:rPr>
  </w:style>
  <w:style w:type="paragraph" w:customStyle="1" w:styleId="ReportLevel3">
    <w:name w:val="Report Level 3"/>
    <w:basedOn w:val="ReportLevel1"/>
    <w:next w:val="ReportText"/>
    <w:qFormat/>
    <w:pPr>
      <w:numPr>
        <w:ilvl w:val="2"/>
      </w:numPr>
      <w:jc w:val="both"/>
      <w:outlineLvl w:val="2"/>
    </w:pPr>
    <w:rPr>
      <w:b w:val="0"/>
      <w:caps w:val="0"/>
    </w:rPr>
  </w:style>
  <w:style w:type="paragraph" w:customStyle="1" w:styleId="ReportList2">
    <w:name w:val="Report List 2"/>
    <w:basedOn w:val="ReportList1"/>
    <w:qFormat/>
    <w:pPr>
      <w:numPr>
        <w:numId w:val="0"/>
      </w:numPr>
      <w:spacing w:after="0"/>
      <w:ind w:left="1440" w:hanging="360"/>
    </w:pPr>
  </w:style>
  <w:style w:type="character" w:customStyle="1" w:styleId="HR-12">
    <w:name w:val="HR-12"/>
    <w:qFormat/>
    <w:rPr>
      <w:rFonts w:ascii="Arial" w:hAnsi="Arial"/>
      <w:sz w:val="24"/>
    </w:rPr>
  </w:style>
  <w:style w:type="character" w:customStyle="1" w:styleId="8pt">
    <w:name w:val="8pt"/>
    <w:qFormat/>
    <w:rPr>
      <w:rFonts w:ascii="Arial" w:hAnsi="Arial"/>
      <w:sz w:val="16"/>
    </w:rPr>
  </w:style>
  <w:style w:type="paragraph" w:customStyle="1" w:styleId="ReportLevel4">
    <w:name w:val="Report Level 4"/>
    <w:basedOn w:val="ReportLevel3"/>
    <w:next w:val="ReportText"/>
    <w:qFormat/>
    <w:pPr>
      <w:numPr>
        <w:ilvl w:val="3"/>
      </w:numPr>
      <w:outlineLvl w:val="3"/>
    </w:pPr>
  </w:style>
  <w:style w:type="paragraph" w:customStyle="1" w:styleId="ReportHeading">
    <w:name w:val="Report Heading"/>
    <w:basedOn w:val="Normal"/>
    <w:next w:val="ReportText"/>
    <w:qFormat/>
    <w:pPr>
      <w:tabs>
        <w:tab w:val="left" w:pos="2160"/>
      </w:tabs>
      <w:spacing w:before="120" w:after="138"/>
      <w:ind w:firstLine="1080"/>
    </w:pPr>
    <w:rPr>
      <w:rFonts w:ascii="Arial" w:hAnsi="Arial"/>
      <w:b/>
    </w:rPr>
  </w:style>
  <w:style w:type="character" w:customStyle="1" w:styleId="HR-10">
    <w:name w:val="HR-10"/>
    <w:qFormat/>
    <w:rPr>
      <w:rFonts w:ascii="Arial" w:hAnsi="Arial"/>
      <w:sz w:val="20"/>
    </w:rPr>
  </w:style>
  <w:style w:type="paragraph" w:customStyle="1" w:styleId="HR-14">
    <w:name w:val="HR-14"/>
    <w:basedOn w:val="Normal"/>
    <w:next w:val="Normal"/>
    <w:qFormat/>
    <w:rPr>
      <w:rFonts w:ascii="Arial" w:hAnsi="Arial"/>
      <w:sz w:val="28"/>
    </w:rPr>
  </w:style>
  <w:style w:type="character" w:customStyle="1" w:styleId="AB-10">
    <w:name w:val="AB-10"/>
    <w:qFormat/>
    <w:rPr>
      <w:rFonts w:ascii="Arial" w:hAnsi="Arial"/>
      <w:b/>
      <w:sz w:val="20"/>
    </w:rPr>
  </w:style>
  <w:style w:type="paragraph" w:customStyle="1" w:styleId="HR-13">
    <w:name w:val="HR-13"/>
    <w:basedOn w:val="Normal"/>
    <w:next w:val="Normal"/>
    <w:qFormat/>
    <w:rPr>
      <w:rFonts w:ascii="Arial" w:hAnsi="Arial"/>
      <w:sz w:val="26"/>
    </w:rPr>
  </w:style>
  <w:style w:type="paragraph" w:customStyle="1" w:styleId="AB-18">
    <w:name w:val="AB-18"/>
    <w:basedOn w:val="HR-13"/>
    <w:qFormat/>
    <w:rPr>
      <w:b/>
      <w:bCs/>
    </w:rPr>
  </w:style>
  <w:style w:type="paragraph" w:customStyle="1" w:styleId="AB-14">
    <w:name w:val="AB-14"/>
    <w:basedOn w:val="Normal"/>
    <w:next w:val="Normal"/>
    <w:qFormat/>
    <w:rPr>
      <w:rFonts w:ascii="Arial" w:hAnsi="Arial"/>
      <w:b/>
      <w:sz w:val="28"/>
    </w:rPr>
  </w:style>
  <w:style w:type="paragraph" w:customStyle="1" w:styleId="ReportList">
    <w:name w:val="Report List"/>
    <w:basedOn w:val="ReportText"/>
    <w:qFormat/>
  </w:style>
  <w:style w:type="paragraph" w:customStyle="1" w:styleId="Label">
    <w:name w:val="Label"/>
    <w:basedOn w:val="Normal"/>
    <w:next w:val="Normal"/>
    <w:qFormat/>
    <w:pPr>
      <w:spacing w:before="120"/>
    </w:pPr>
    <w:rPr>
      <w:rFonts w:ascii="Arial" w:hAnsi="Arial"/>
      <w:sz w:val="16"/>
    </w:rPr>
  </w:style>
  <w:style w:type="paragraph" w:customStyle="1" w:styleId="Headinginput">
    <w:name w:val="Heading input"/>
    <w:basedOn w:val="Normal"/>
    <w:next w:val="Normal"/>
    <w:qFormat/>
    <w:pPr>
      <w:spacing w:before="80"/>
    </w:pPr>
  </w:style>
  <w:style w:type="character" w:customStyle="1" w:styleId="HR-8">
    <w:name w:val="HR-8"/>
    <w:qFormat/>
    <w:rPr>
      <w:rFonts w:ascii="Arial" w:hAnsi="Arial"/>
      <w:sz w:val="16"/>
    </w:rPr>
  </w:style>
  <w:style w:type="paragraph" w:customStyle="1" w:styleId="Filename">
    <w:name w:val="Filename"/>
    <w:basedOn w:val="Footer"/>
    <w:qFormat/>
    <w:pPr>
      <w:spacing w:before="72"/>
    </w:pPr>
    <w:rPr>
      <w:caps/>
      <w:sz w:val="12"/>
    </w:rPr>
  </w:style>
  <w:style w:type="paragraph" w:customStyle="1" w:styleId="ClauseNum1">
    <w:name w:val="ClauseNum 1"/>
    <w:basedOn w:val="Heading1"/>
    <w:qFormat/>
    <w:pPr>
      <w:keepNext/>
      <w:pageBreakBefore/>
    </w:pPr>
  </w:style>
  <w:style w:type="paragraph" w:customStyle="1" w:styleId="AppendixLetter">
    <w:name w:val="Appendix Letter"/>
    <w:basedOn w:val="HR-18"/>
    <w:next w:val="Normal"/>
    <w:qFormat/>
    <w:pPr>
      <w:numPr>
        <w:numId w:val="6"/>
      </w:numPr>
      <w:tabs>
        <w:tab w:val="clear" w:pos="1080"/>
        <w:tab w:val="left" w:pos="1800"/>
      </w:tabs>
    </w:pPr>
    <w:rPr>
      <w:sz w:val="26"/>
    </w:rPr>
  </w:style>
  <w:style w:type="paragraph" w:customStyle="1" w:styleId="HR-18">
    <w:name w:val="HR-18"/>
    <w:basedOn w:val="Normal"/>
    <w:next w:val="Normal"/>
    <w:qFormat/>
    <w:rPr>
      <w:rFonts w:ascii="Arial" w:hAnsi="Arial"/>
      <w:sz w:val="36"/>
    </w:rPr>
  </w:style>
  <w:style w:type="paragraph" w:customStyle="1" w:styleId="AppendixLevel1">
    <w:name w:val="Appendix Level 1"/>
    <w:basedOn w:val="Normal"/>
    <w:next w:val="ReportText"/>
    <w:qFormat/>
    <w:pPr>
      <w:keepNext/>
      <w:numPr>
        <w:ilvl w:val="1"/>
        <w:numId w:val="6"/>
      </w:numPr>
      <w:spacing w:before="240" w:after="138"/>
      <w:outlineLvl w:val="1"/>
    </w:pPr>
    <w:rPr>
      <w:rFonts w:ascii="Arial" w:hAnsi="Arial"/>
      <w:b/>
      <w:caps/>
      <w:sz w:val="24"/>
    </w:rPr>
  </w:style>
  <w:style w:type="paragraph" w:customStyle="1" w:styleId="AppendixLevel2">
    <w:name w:val="Appendix Level 2"/>
    <w:basedOn w:val="AppendixLevel1"/>
    <w:next w:val="ReportText"/>
    <w:qFormat/>
    <w:pPr>
      <w:numPr>
        <w:ilvl w:val="2"/>
      </w:numPr>
      <w:outlineLvl w:val="2"/>
    </w:pPr>
    <w:rPr>
      <w:caps w:val="0"/>
    </w:rPr>
  </w:style>
  <w:style w:type="paragraph" w:customStyle="1" w:styleId="AppendixLevel3">
    <w:name w:val="Appendix Level 3"/>
    <w:basedOn w:val="AppendixLevel1"/>
    <w:next w:val="ReportText"/>
    <w:qFormat/>
    <w:pPr>
      <w:numPr>
        <w:ilvl w:val="3"/>
      </w:numPr>
      <w:spacing w:before="120"/>
      <w:outlineLvl w:val="3"/>
    </w:pPr>
    <w:rPr>
      <w:caps w:val="0"/>
      <w:sz w:val="20"/>
    </w:rPr>
  </w:style>
  <w:style w:type="paragraph" w:customStyle="1" w:styleId="AppendixLevel4">
    <w:name w:val="Appendix Level 4"/>
    <w:basedOn w:val="AppendixLevel3"/>
    <w:next w:val="ReportText"/>
    <w:qFormat/>
    <w:pPr>
      <w:numPr>
        <w:ilvl w:val="4"/>
      </w:numPr>
      <w:outlineLvl w:val="4"/>
    </w:pPr>
  </w:style>
  <w:style w:type="paragraph" w:customStyle="1" w:styleId="AppendixTitle">
    <w:name w:val="Appendix Title"/>
    <w:basedOn w:val="HR-18"/>
    <w:next w:val="Normal"/>
    <w:qFormat/>
    <w:pPr>
      <w:outlineLvl w:val="0"/>
    </w:pPr>
    <w:rPr>
      <w:b/>
      <w:sz w:val="26"/>
    </w:rPr>
  </w:style>
  <w:style w:type="paragraph" w:customStyle="1" w:styleId="ClauseNum2">
    <w:name w:val="ClauseNum 2"/>
    <w:basedOn w:val="Heading2"/>
    <w:qFormat/>
    <w:pPr>
      <w:keepNext/>
    </w:pPr>
  </w:style>
  <w:style w:type="paragraph" w:customStyle="1" w:styleId="ClauseNum3">
    <w:name w:val="ClauseNum 3"/>
    <w:basedOn w:val="Heading3"/>
    <w:qFormat/>
  </w:style>
  <w:style w:type="paragraph" w:customStyle="1" w:styleId="ClauseNum4">
    <w:name w:val="ClauseNum 4"/>
    <w:basedOn w:val="Heading4"/>
    <w:qFormat/>
  </w:style>
  <w:style w:type="paragraph" w:customStyle="1" w:styleId="ReportExecSummary">
    <w:name w:val="Report Exec Summary"/>
    <w:basedOn w:val="ReportLevel1"/>
    <w:next w:val="Normal"/>
    <w:qFormat/>
    <w:pPr>
      <w:numPr>
        <w:numId w:val="0"/>
      </w:numPr>
      <w:spacing w:after="138"/>
      <w:outlineLvl w:val="9"/>
    </w:pPr>
    <w:rPr>
      <w:rFonts w:eastAsia="PMingLiU"/>
    </w:rPr>
  </w:style>
  <w:style w:type="paragraph" w:customStyle="1" w:styleId="ReportExecSummaryText">
    <w:name w:val="Report Exec Summary Text"/>
    <w:basedOn w:val="ReportText"/>
    <w:qFormat/>
    <w:pPr>
      <w:ind w:left="0"/>
      <w:jc w:val="left"/>
    </w:pPr>
  </w:style>
  <w:style w:type="paragraph" w:customStyle="1" w:styleId="ReportReference">
    <w:name w:val="Report Reference"/>
    <w:basedOn w:val="Normal"/>
    <w:qFormat/>
    <w:pPr>
      <w:numPr>
        <w:numId w:val="7"/>
      </w:numPr>
      <w:tabs>
        <w:tab w:val="left" w:pos="1080"/>
        <w:tab w:val="clear" w:pos="2736"/>
      </w:tabs>
      <w:spacing w:before="240"/>
      <w:ind w:left="1080" w:hanging="1080"/>
    </w:pPr>
  </w:style>
  <w:style w:type="paragraph" w:customStyle="1" w:styleId="level2">
    <w:name w:val="level 2"/>
    <w:basedOn w:val="Normal"/>
    <w:qFormat/>
    <w:pPr>
      <w:widowControl w:val="0"/>
      <w:tabs>
        <w:tab w:val="left" w:pos="1080"/>
      </w:tabs>
      <w:spacing w:line="360" w:lineRule="auto"/>
    </w:pPr>
    <w:rPr>
      <w:rFonts w:eastAsia="宋体"/>
      <w:kern w:val="2"/>
      <w:sz w:val="24"/>
      <w:szCs w:val="24"/>
      <w:lang w:val="en-US" w:eastAsia="zh-CN"/>
    </w:rPr>
  </w:style>
  <w:style w:type="paragraph" w:customStyle="1" w:styleId="level3">
    <w:name w:val="level 3"/>
    <w:basedOn w:val="Normal"/>
    <w:qFormat/>
    <w:pPr>
      <w:widowControl w:val="0"/>
      <w:tabs>
        <w:tab w:val="left" w:pos="1080"/>
      </w:tabs>
      <w:spacing w:line="360" w:lineRule="auto"/>
    </w:pPr>
    <w:rPr>
      <w:rFonts w:eastAsia="宋体"/>
      <w:kern w:val="2"/>
      <w:sz w:val="24"/>
      <w:szCs w:val="24"/>
      <w:lang w:val="en-US" w:eastAsia="zh-CN"/>
    </w:rPr>
  </w:style>
  <w:style w:type="paragraph" w:customStyle="1" w:styleId="level1">
    <w:name w:val="level 1"/>
    <w:basedOn w:val="1"/>
    <w:qFormat/>
    <w:pPr>
      <w:tabs>
        <w:tab w:val="left" w:pos="1077"/>
        <w:tab w:val="clear" w:pos="1080"/>
      </w:tabs>
      <w:spacing w:line="360" w:lineRule="auto"/>
    </w:pPr>
  </w:style>
  <w:style w:type="paragraph" w:customStyle="1" w:styleId="1">
    <w:name w:val="样式 1"/>
    <w:basedOn w:val="Heading1"/>
    <w:qFormat/>
    <w:pPr>
      <w:keepNext/>
      <w:widowControl w:val="0"/>
      <w:numPr>
        <w:numId w:val="0"/>
      </w:numPr>
      <w:tabs>
        <w:tab w:val="clear" w:pos="1077"/>
        <w:tab w:val="left" w:pos="1080"/>
      </w:tabs>
      <w:spacing w:line="480" w:lineRule="exact"/>
      <w:jc w:val="both"/>
    </w:pPr>
    <w:rPr>
      <w:rFonts w:cs="Times New Roman"/>
      <w:b w:val="0"/>
      <w:caps w:val="0"/>
      <w:kern w:val="2"/>
      <w:szCs w:val="24"/>
      <w:lang w:val="en-US"/>
    </w:rPr>
  </w:style>
  <w:style w:type="paragraph" w:styleId="ListParagraph">
    <w:name w:val="List Paragraph"/>
    <w:basedOn w:val="Normal"/>
    <w:uiPriority w:val="34"/>
    <w:qFormat/>
    <w:pPr>
      <w:ind w:left="720"/>
    </w:pPr>
  </w:style>
  <w:style w:type="character" w:customStyle="1" w:styleId="a">
    <w:name w:val="页脚 字符"/>
    <w:link w:val="Footer"/>
    <w:qFormat/>
    <w:locked/>
    <w:rPr>
      <w:sz w:val="22"/>
      <w:lang w:val="en-GB" w:eastAsia="en-US"/>
    </w:rPr>
  </w:style>
  <w:style w:type="character" w:customStyle="1" w:styleId="a0">
    <w:name w:val="批注框文本 字符"/>
    <w:basedOn w:val="DefaultParagraphFont"/>
    <w:link w:val="BalloonText"/>
    <w:qFormat/>
    <w:rPr>
      <w:rFonts w:ascii="Microsoft YaHei UI" w:eastAsia="Microsoft YaHei UI"/>
      <w:sz w:val="18"/>
      <w:szCs w:val="18"/>
      <w:lang w:val="en-GB" w:eastAsia="en-US"/>
    </w:rPr>
  </w:style>
  <w:style w:type="character" w:customStyle="1" w:styleId="ReportTextChar3">
    <w:name w:val="Report Text Char3"/>
    <w:basedOn w:val="DefaultParagraphFont"/>
    <w:link w:val="ReportText"/>
    <w:qFormat/>
    <w:locked/>
    <w:rPr>
      <w:sz w:val="24"/>
      <w:lang w:val="en-GB" w:eastAsia="en-US"/>
    </w:rPr>
  </w:style>
  <w:style w:type="character" w:customStyle="1" w:styleId="a1">
    <w:name w:val="页眉 字符"/>
    <w:basedOn w:val="DefaultParagraphFont"/>
    <w:link w:val="Header"/>
    <w:uiPriority w:val="99"/>
    <w:qFormat/>
    <w:rPr>
      <w:sz w:val="22"/>
      <w:lang w:val="en-GB" w:eastAsia="en-US"/>
    </w:rPr>
  </w:style>
  <w:style w:type="paragraph" w:customStyle="1" w:styleId="10">
    <w:name w:val="修订1"/>
    <w:hidden/>
    <w:uiPriority w:val="99"/>
    <w:semiHidden/>
    <w:qFormat/>
    <w:rPr>
      <w:sz w:val="22"/>
      <w:lang w:val="en-GB" w:eastAsia="en-US"/>
    </w:rPr>
  </w:style>
  <w:style w:type="paragraph" w:customStyle="1" w:styleId="11">
    <w:name w:val="样式1"/>
    <w:basedOn w:val="Normal"/>
    <w:qFormat/>
    <w:pPr>
      <w:widowControl w:val="0"/>
      <w:numPr>
        <w:ilvl w:val="1"/>
        <w:numId w:val="8"/>
      </w:numPr>
      <w:tabs>
        <w:tab w:val="left" w:pos="794"/>
      </w:tabs>
      <w:topLinePunct/>
      <w:adjustRightInd w:val="0"/>
      <w:snapToGrid w:val="0"/>
      <w:spacing w:before="312" w:beforeLines="100" w:line="360" w:lineRule="auto"/>
      <w:textAlignment w:val="center"/>
      <w:outlineLvl w:val="0"/>
    </w:pPr>
    <w:rPr>
      <w:rFonts w:ascii="宋体" w:hAnsi="宋体" w:eastAsiaTheme="minorEastAsia" w:cstheme="minorBidi"/>
      <w:b/>
      <w:kern w:val="2"/>
      <w:sz w:val="24"/>
      <w:szCs w:val="24"/>
      <w:lang w:val="zh-CN" w:eastAsia="zh-CN"/>
    </w:rPr>
  </w:style>
  <w:style w:type="character" w:customStyle="1" w:styleId="2Char">
    <w:name w:val="样式2 Char"/>
    <w:link w:val="2"/>
    <w:qFormat/>
    <w:rPr>
      <w:rFonts w:ascii="宋体" w:hAnsi="宋体"/>
      <w:b/>
      <w:sz w:val="24"/>
      <w:szCs w:val="24"/>
      <w:lang w:val="zh-CN"/>
    </w:rPr>
  </w:style>
  <w:style w:type="paragraph" w:customStyle="1" w:styleId="2">
    <w:name w:val="样式2"/>
    <w:basedOn w:val="Normal"/>
    <w:link w:val="2Char"/>
    <w:qFormat/>
    <w:pPr>
      <w:widowControl w:val="0"/>
      <w:numPr>
        <w:ilvl w:val="2"/>
        <w:numId w:val="8"/>
      </w:numPr>
      <w:wordWrap w:val="0"/>
      <w:topLinePunct/>
      <w:adjustRightInd w:val="0"/>
      <w:snapToGrid w:val="0"/>
      <w:spacing w:before="156" w:beforeLines="50" w:line="240" w:lineRule="atLeast"/>
      <w:textAlignment w:val="center"/>
      <w:outlineLvl w:val="1"/>
    </w:pPr>
    <w:rPr>
      <w:rFonts w:ascii="宋体" w:hAnsi="宋体"/>
      <w:b/>
      <w:sz w:val="24"/>
      <w:szCs w:val="24"/>
      <w:lang w:val="zh-CN" w:eastAsia="zh-CN"/>
    </w:rPr>
  </w:style>
  <w:style w:type="character" w:customStyle="1" w:styleId="ReportLevel2Char1">
    <w:name w:val="Report Level 2 Char1"/>
    <w:link w:val="ReportLevel2"/>
    <w:qFormat/>
    <w:rPr>
      <w:rFonts w:eastAsia="宋体"/>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header" Target="header17.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yperlink" Target="https://d.book118.com/438015110002006043" TargetMode="Externa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8E4A713-78F0-4172-8CD0-B522C75F1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5147</Words>
  <Characters>29342</Characters>
  <Application>Microsoft Office Word</Application>
  <DocSecurity>0</DocSecurity>
  <Lines>244</Lines>
  <Paragraphs>68</Paragraphs>
  <ScaleCrop>false</ScaleCrop>
  <Company>Arup</Company>
  <LinksUpToDate>false</LinksUpToDate>
  <CharactersWithSpaces>34421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dc:title>
  <dc:creator>structure chinese</dc:creator>
  <cp:lastModifiedBy>windows</cp:lastModifiedBy>
  <cp:revision>9</cp:revision>
  <cp:lastPrinted>2021-05-25T01:26:00Z</cp:lastPrinted>
  <dcterms:created xsi:type="dcterms:W3CDTF">2021-05-25T01:23:00Z</dcterms:created>
  <dcterms:modified xsi:type="dcterms:W3CDTF">2024-03-06T07:40:00Z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BB47ADF2B67D4F53842A0CB65E5C022A</vt:lpwstr>
  </property>
  <property fmtid="{D5CDD505-2E9C-101B-9397-08002B2CF9AE}" pid="3" name="KSOProductBuildVer">
    <vt:lpwstr>2052-11.1.0.11115</vt:lpwstr>
  </property>
</Properties>
</file>