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11861800</wp:posOffset>
            </wp:positionH>
            <wp:positionV relativeFrom="topMargin">
              <wp:posOffset>11391900</wp:posOffset>
            </wp:positionV>
            <wp:extent cx="4826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xmlns:r="http://schemas.openxmlformats.org/officeDocument/2006/relationships" r:embed="rId5"/>
                    <a:stretch>
                      <a:fillRect/>
                    </a:stretch>
                  </pic:blipFill>
                  <pic:spPr>
                    <a:xfrm>
                      <a:off x="0" y="0"/>
                      <a:ext cx="482600" cy="3175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年普通高中学业水平选择性考试（广东卷）</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思想政治</w:t>
      </w:r>
    </w:p>
    <w:p>
      <w:pPr>
        <w:spacing w:line="285" w:lineRule="auto"/>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本试卷满分</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00</w:t>
      </w:r>
      <w:r>
        <w:rPr>
          <w:rFonts w:ascii="微软雅黑" w:eastAsia="微软雅黑" w:hAnsi="微软雅黑" w:cs="微软雅黑" w:hint="eastAsia"/>
          <w:b/>
          <w:color w:val="000000"/>
          <w:sz w:val="24"/>
        </w:rPr>
        <w:t>分，考试时间</w:t>
      </w:r>
      <w:r>
        <w:rPr>
          <w:rFonts w:ascii="微软雅黑" w:eastAsia="微软雅黑" w:hAnsi="微软雅黑" w:cs="微软雅黑" w:hint="eastAsia"/>
          <w:b/>
          <w:color w:val="000000"/>
          <w:sz w:val="24"/>
        </w:rPr>
        <w:t>75</w:t>
      </w:r>
      <w:r>
        <w:rPr>
          <w:rFonts w:ascii="微软雅黑" w:eastAsia="微软雅黑" w:hAnsi="微软雅黑" w:cs="微软雅黑" w:hint="eastAsia"/>
          <w:b/>
          <w:color w:val="000000"/>
          <w:sz w:val="24"/>
        </w:rPr>
        <w:t>分钟。</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一、选择题：本大题共</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6</w:t>
      </w:r>
      <w:r>
        <w:rPr>
          <w:rFonts w:ascii="微软雅黑" w:eastAsia="微软雅黑" w:hAnsi="微软雅黑" w:cs="微软雅黑" w:hint="eastAsia"/>
          <w:b/>
          <w:color w:val="000000"/>
          <w:sz w:val="24"/>
        </w:rPr>
        <w:t>小题，每小题</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分，共</w:t>
      </w:r>
      <w:r>
        <w:rPr>
          <w:rFonts w:ascii="微软雅黑" w:eastAsia="微软雅黑" w:hAnsi="微软雅黑" w:cs="微软雅黑" w:hint="eastAsia"/>
          <w:b/>
          <w:color w:val="000000"/>
          <w:sz w:val="24"/>
        </w:rPr>
        <w:t>48</w:t>
      </w:r>
      <w:r>
        <w:rPr>
          <w:rFonts w:ascii="微软雅黑" w:eastAsia="微软雅黑" w:hAnsi="微软雅黑" w:cs="微软雅黑" w:hint="eastAsia"/>
          <w:b/>
          <w:color w:val="000000"/>
          <w:sz w:val="24"/>
        </w:rPr>
        <w:t>分。在每小题给出的四个选项中，只有一项是符合题目要求的。</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956</w:t>
      </w:r>
      <w:r>
        <w:rPr>
          <w:rFonts w:ascii="微软雅黑" w:eastAsia="微软雅黑" w:hAnsi="微软雅黑" w:cs="微软雅黑" w:hint="eastAsia"/>
          <w:color w:val="000000"/>
        </w:rPr>
        <w:t>年，党的八大提出尽快把我国从落后的农业国变为先进的工业国；</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987</w:t>
      </w:r>
      <w:r>
        <w:rPr>
          <w:rFonts w:ascii="微软雅黑" w:eastAsia="微软雅黑" w:hAnsi="微软雅黑" w:cs="微软雅黑" w:hint="eastAsia"/>
          <w:color w:val="000000"/>
        </w:rPr>
        <w:t>年，党的十三大提出把我国建设成为富强、民主、文明的社会主义现代化国家；</w:t>
      </w:r>
      <w:r>
        <w:rPr>
          <w:rFonts w:ascii="微软雅黑" w:eastAsia="微软雅黑" w:hAnsi="微软雅黑" w:cs="微软雅黑" w:hint="eastAsia"/>
          <w:color w:val="000000"/>
        </w:rPr>
        <w:t>20</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7</w:t>
      </w:r>
      <w:r>
        <w:rPr>
          <w:rFonts w:ascii="微软雅黑" w:eastAsia="微软雅黑" w:hAnsi="微软雅黑" w:cs="微软雅黑" w:hint="eastAsia"/>
          <w:color w:val="000000"/>
        </w:rPr>
        <w:t>年，党的十九大提出把我国建设成为富强民主文明和谐美丽的社会主义现代化强国；</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年，党的二十大提出以中国式现代化全面推进中华民族伟大复兴。从这一探索历程可见（</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①实现现代化彰显了中国共产党人的初心和使命</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②实现现代化是中国共产党不懈奋斗的最高理想</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③中国式现代化的提出有其历史逻辑和实践逻辑</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④中国式现代化是发展中国家实现现代化的必由之路</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【详解】①③：从</w:t>
      </w:r>
    </w:p>
    <w:p>
      <w:pPr>
        <w:spacing w:line="360" w:lineRule="auto"/>
        <w:jc w:val="left"/>
        <w:textAlignment w:val="center"/>
        <w:rPr>
          <w:rFonts w:ascii="微软雅黑" w:eastAsia="微软雅黑" w:hAnsi="微软雅黑" w:cs="微软雅黑" w:hint="eastAsia"/>
          <w:color w:val="000000"/>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956-2022年，从中国共产党对于中国式现代化的探索历程可见，实现现代化彰显了中国共产党人的初心和使命；在不同阶段所提出的现代化，既有共性的特点，也有不同的表现，说明中国式现代化的提出有其历史逻辑和实践逻辑，①③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②：中国共产党不懈奋斗的最高理想是实现共产主义，②说法错误。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④：中国式现代化为广大发展中国家实现现代化的提供了借鉴和参考，而不是发展中国家的必由之路，④说法错误。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党的二十大审议通过了《中国共产党章程（修正案）》，把党的十九大以来习近平新时代中国特色社会主义思想新发展写入党章，以更好反映以习近平同志为核心的党中央推进党的理论创新、实践创新、制度创新成果。这一修改（</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①全面具体地总结了十八大以来党和国家各项事业的伟大成就</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②为更好坚持和发展中国特色社会主义提供了制度保障和法律依据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③更加彰显习近平新时代中国特色社会主义思想的真理力量和实践伟力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④适应形势和任务的发展变化，有利于更好发挥党章的规范和指导作用</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③④：《中国共产党章程（修正案）》，把党的十九大以来习近平新时代中国特色社会主义思想新发展写入党章，以更好反映以习近平同志为核心的党中央推进党的理论创新、实践创新、制度创新成果。这一修改适应形势和任务的发展变化，彰显习近平新时代中国特色社会主义思想的真理力量和实践伟力，有利于更好发挥党章的规范和指导作用，③④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①：本题强调把习近平新时代中国特色社会主义思想新发展写入党章，没有涉及总结十八大以来党和国家各项事业的伟大成就，排除①。</w:t>
      </w:r>
    </w:p>
    <w:p>
      <w:pPr>
        <w:spacing w:line="360" w:lineRule="auto"/>
        <w:jc w:val="left"/>
        <w:textAlignment w:val="center"/>
        <w:rPr>
          <w:rFonts w:ascii="微软雅黑" w:eastAsia="微软雅黑" w:hAnsi="微软雅黑" w:cs="微软雅黑" w:hint="eastAsia"/>
          <w:color w:val="000000"/>
        </w:rPr>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②：《中国共产党章程（修正案）》不能提供制度保障和法律依据，排除②。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故本题选D。</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月，企业职工基本养老保险全国统筹信息系统启动。截至</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w:t>
      </w:r>
      <w:r>
        <w:rPr>
          <w:rFonts w:ascii="微软雅黑" w:eastAsia="微软雅黑" w:hAnsi="微软雅黑" w:cs="微软雅黑" w:hint="eastAsia"/>
          <w:color w:val="000000"/>
        </w:rPr>
        <w:t>6</w:t>
      </w:r>
      <w:r>
        <w:rPr>
          <w:rFonts w:ascii="微软雅黑" w:eastAsia="微软雅黑" w:hAnsi="微软雅黑" w:cs="微软雅黑" w:hint="eastAsia"/>
          <w:color w:val="000000"/>
        </w:rPr>
        <w:t>月底，全国所有省份完成基金财务系统部省对接，企业职工基本养老保险基金“一本账”基本形成，在全国范围内实现“五统一”，即统一缴费政策、统一基金收支管理、统一待遇调整、统一信息系统、统一经办服务管理。这有利于（</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①实现数据集中管理，提升数据要素价值</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②加大社会保险费对个人所得税的抵减作用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③实时查询缴费信息，在线申领社会救助金</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④改善公共服务能力，推动养老保险制度公平化</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【详解】①：养老保险基金在全国范围内实现“五统一”，有助于统一数据，实现全国养老保险数据的集中管理，提升数据要素价值，发挥全国汇聚数据优势，①符合题意。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②：材料没有涉及加大社会保险费对个人所得税的抵减作用，②排除。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③：养老保险属于社会保险的一种，材料强调的是社会保险，而非社会救助，③排除。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④：养老保险全国统筹，既无地区差别，也无行业差别，充分体现制度公平，有利于提高养老保险基金的利用效率，改善公共服务能力，④符合题意。</w:t>
      </w:r>
      <w:r>
        <w:rPr>
          <w:rFonts w:ascii="微软雅黑" w:eastAsia="微软雅黑" w:hAnsi="微软雅黑" w:cs="微软雅黑" w:hint="eastAsia"/>
          <w:color w:val="000000"/>
        </w:rPr>
        <w:br/>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故本题选B。</w:t>
      </w:r>
      <w:r>
        <w:rPr>
          <w:rFonts w:ascii="微软雅黑" w:eastAsia="微软雅黑" w:hAnsi="微软雅黑" w:cs="微软雅黑" w:hint="eastAsia"/>
          <w:color w:val="000000"/>
        </w:rPr>
        <w:br/>
      </w:r>
    </w:p>
    <w:p>
      <w:pPr>
        <w:spacing w:line="360" w:lineRule="auto"/>
        <w:jc w:val="left"/>
        <w:textAlignment w:val="center"/>
        <w:rPr>
          <w:rFonts w:ascii="微软雅黑" w:eastAsia="微软雅黑" w:hAnsi="微软雅黑" w:cs="微软雅黑" w:hint="eastAsia"/>
          <w:color w:val="000000"/>
        </w:rPr>
        <w:sectPr>
          <w:headerReference w:type="even" r:id="rId14"/>
          <w:footerReference w:type="even" r:id="rId15"/>
          <w:headerReference w:type="first" r:id="rId16"/>
          <w:footerReference w:type="first" r:id="rId17"/>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月，广东省能源局首次提出一次能源价格传导机制，规定当综合煤价或天然气到厂价高于一定值时，煤机或气机平均发电成本超过允许上浮部分，按照一定比例对年度或月度等电量进行补偿，相关费用由全部工商业用户分摊。该规定（</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①将会降低火电企业的电量销售收益率</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②明确了由市场决定电力行业的购销价格</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③有利于将上游变动成本向下游用户传导</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④体现了政府对市场资源配置的引导作用</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详解】③④：广东省能源局提出了一次能源价格传导机制，在这一机制下，燃料价格高企时，发电成本突破允许上浮的部分将直接分摊到用户侧，有利于将上游变动成本向下游用户传导，体现了政府对市场资源配置的引导作用，③④正确。 </w:t>
      </w:r>
      <w:r>
        <w:rPr>
          <w:rFonts w:ascii="微软雅黑" w:eastAsia="微软雅黑" w:hAnsi="微软雅黑" w:cs="微软雅黑" w:hint="eastAsia"/>
          <w:color w:val="000000"/>
        </w:rPr>
        <w:br/>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①：该规定在一定程度上疏导火电企业的成本压力，有利于提高火电企业的电量销售收益率 ，①错误。 </w:t>
      </w:r>
      <w:r>
        <w:rPr>
          <w:rFonts w:ascii="微软雅黑" w:eastAsia="微软雅黑" w:hAnsi="微软雅黑" w:cs="微软雅黑" w:hint="eastAsia"/>
          <w:color w:val="000000"/>
        </w:rPr>
        <w:br/>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②：该规定是政府进行宏观调控</w:t>
      </w:r>
      <w:r>
        <w:rPr>
          <w:rFonts w:ascii="微软雅黑" w:eastAsia="微软雅黑" w:hAnsi="微软雅黑" w:cs="微软雅黑" w:hint="eastAsia"/>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表现，而不是体现了市场在资源配置中起决定性作用，且该规定并未明确由市场决定电力行业的购销价格，②排除。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故本题选D。</w:t>
      </w:r>
      <w:r>
        <w:rPr>
          <w:rFonts w:ascii="微软雅黑" w:eastAsia="微软雅黑" w:hAnsi="微软雅黑" w:cs="微软雅黑" w:hint="eastAsia"/>
          <w:color w:val="000000"/>
        </w:rPr>
        <w:br/>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20</w:t>
      </w:r>
    </w:p>
    <w:p>
      <w:pPr>
        <w:spacing w:line="360" w:lineRule="auto"/>
        <w:jc w:val="left"/>
        <w:textAlignment w:val="center"/>
        <w:rPr>
          <w:rFonts w:ascii="微软雅黑" w:eastAsia="微软雅黑" w:hAnsi="微软雅黑" w:cs="微软雅黑" w:hint="eastAsia"/>
          <w:color w:val="000000"/>
        </w:rPr>
        <w:sectPr>
          <w:headerReference w:type="even" r:id="rId19"/>
          <w:footerReference w:type="even" r:id="rId20"/>
          <w:headerReference w:type="first" r:id="rId21"/>
          <w:footerReference w:type="first" r:id="rId22"/>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9-2022</w:t>
      </w:r>
      <w:r>
        <w:rPr>
          <w:rFonts w:ascii="微软雅黑" w:eastAsia="微软雅黑" w:hAnsi="微软雅黑" w:cs="微软雅黑" w:hint="eastAsia"/>
          <w:color w:val="000000"/>
        </w:rPr>
        <w:t>年中国实际使用外资情况见下图</w:t>
      </w:r>
      <w:r>
        <w:rPr>
          <w:rFonts w:ascii="微软雅黑" w:eastAsia="微软雅黑" w:hAnsi="微软雅黑" w:cs="微软雅黑" w:hint="eastAsia"/>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23"/>
                    <a:stretch>
                      <a:fillRect/>
                    </a:stretch>
                  </pic:blipFill>
                  <pic:spPr>
                    <a:xfrm>
                      <a:off x="0" y="0"/>
                      <a:ext cx="127000" cy="762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3400425" cy="2333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4"/>
                    <a:stretch>
                      <a:fillRect/>
                    </a:stretch>
                  </pic:blipFill>
                  <pic:spPr>
                    <a:xfrm>
                      <a:off x="0" y="0"/>
                      <a:ext cx="3400425" cy="2333625"/>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上图反映出这一时期中国（</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①引进外资和对外投资协调发展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②非公有制经济中，外商投资规模不断扩大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③利用外资结构不断优化，推动经济高质量发展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④高技术产业是实际使用外资额增长最快的产业</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①：材料涉及的是使用外资情况，未涉及对外投资问题，①不符合题意。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w:t>
      </w:r>
      <w:r>
        <w:rPr>
          <w:rFonts w:ascii="微软雅黑" w:eastAsia="微软雅黑" w:hAnsi="微软雅黑" w:cs="微软雅黑" w:hint="eastAsia"/>
          <w:color w:val="000000"/>
        </w:rPr>
        <w:t>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w:t>
      </w:r>
      <w:r>
        <w:rPr>
          <w:rFonts w:ascii="微软雅黑" w:eastAsia="微软雅黑" w:hAnsi="微软雅黑" w:cs="微软雅黑" w:hint="eastAsia"/>
          <w:color w:val="000000"/>
        </w:rPr>
        <w:t>—</w:t>
      </w:r>
      <w:r>
        <w:rPr>
          <w:rFonts w:ascii="微软雅黑" w:eastAsia="微软雅黑" w:hAnsi="微软雅黑" w:cs="微软雅黑" w:hint="eastAsia"/>
          <w:color w:val="000000"/>
        </w:rPr>
        <w:t>202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年，全国实际使用外资金额不断增长，说明在非公有制经济中，外商投资规模不断扩大，②符合题意。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w:t>
      </w:r>
      <w:r>
        <w:rPr>
          <w:rFonts w:ascii="微软雅黑" w:eastAsia="微软雅黑" w:hAnsi="微软雅黑" w:cs="微软雅黑" w:hint="eastAsia"/>
          <w:color w:val="000000"/>
        </w:rPr>
        <w:t>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w:t>
      </w:r>
      <w:r>
        <w:rPr>
          <w:rFonts w:ascii="微软雅黑" w:eastAsia="微软雅黑" w:hAnsi="微软雅黑" w:cs="微软雅黑" w:hint="eastAsia"/>
          <w:color w:val="000000"/>
        </w:rPr>
        <w:t>—</w:t>
      </w:r>
      <w:r>
        <w:rPr>
          <w:rFonts w:ascii="微软雅黑" w:eastAsia="微软雅黑" w:hAnsi="微软雅黑" w:cs="微软雅黑" w:hint="eastAsia"/>
          <w:color w:val="000000"/>
        </w:rPr>
        <w:t>202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年，高技术产业实际使用外资金额的占比在不断提高，说明我国利用外资结构不断优化，推动经济高质量发展，③符合题意。</w:t>
      </w:r>
    </w:p>
    <w:p>
      <w:pPr>
        <w:spacing w:line="360" w:lineRule="auto"/>
        <w:jc w:val="left"/>
        <w:textAlignment w:val="center"/>
        <w:rPr>
          <w:rFonts w:ascii="微软雅黑" w:eastAsia="微软雅黑" w:hAnsi="微软雅黑" w:cs="微软雅黑" w:hint="eastAsia"/>
          <w:color w:val="000000"/>
        </w:rPr>
        <w:sectPr>
          <w:headerReference w:type="even" r:id="rId25"/>
          <w:footerReference w:type="even" r:id="rId26"/>
          <w:headerReference w:type="first" r:id="rId27"/>
          <w:footerReference w:type="first" r:id="rId28"/>
          <w:type w:val="nextPage"/>
          <w:pgSz w:w="11906" w:h="16838"/>
          <w:pgMar w:top="910" w:right="1080" w:bottom="1440" w:left="1080" w:header="152" w:footer="0" w:gutter="0"/>
          <w:pgNumType w:start="5"/>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④：高技术产业实际使用外资金额的占比在不断提高，但看不出高技术产业是实际使用外资额增长最快的产业，“率”不等于“数额”，④不符合题意。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w:t>
      </w:r>
      <w:r>
        <w:rPr>
          <w:rFonts w:ascii="微软雅黑" w:eastAsia="微软雅黑" w:hAnsi="微软雅黑" w:cs="微软雅黑" w:hint="eastAsia"/>
          <w:color w:val="000000"/>
        </w:rPr>
        <w:t>C</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党中央决定深化机构改革，并为此深入开展研究论证。</w:t>
      </w:r>
      <w:r>
        <w:rPr>
          <w:rFonts w:ascii="微软雅黑" w:eastAsia="微软雅黑" w:hAnsi="微软雅黑" w:cs="微软雅黑" w:hint="eastAsia"/>
          <w:color w:val="000000"/>
        </w:rPr>
        <w:t>202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w:t>
      </w:r>
      <w:r>
        <w:rPr>
          <w:rFonts w:ascii="微软雅黑" w:eastAsia="微软雅黑" w:hAnsi="微软雅黑" w:cs="微软雅黑" w:hint="eastAsia"/>
          <w:color w:val="000000"/>
        </w:rPr>
        <w:t>2</w:t>
      </w:r>
      <w:r>
        <w:rPr>
          <w:rFonts w:ascii="微软雅黑" w:eastAsia="微软雅黑" w:hAnsi="微软雅黑" w:cs="微软雅黑" w:hint="eastAsia"/>
          <w:color w:val="000000"/>
        </w:rPr>
        <w:t>月，党的二十届二中全会审议通过了《党和国家机构改革方案》，党中央还举行民主协商会，就机构改革等事项向各民主党派中央代表通报情况，听取意见；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月，党中央把国家机构改革部分的内容按照法定程序提交全国人大审议并获得通过。对此，下列理解正确的是（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①各民主党派通过参加民主协商会，共同行使领导权</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②这一过程体现了党坚持科学执政、民主执政、依法执政</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③全国人大拥有对《党和国家机构改革方案》的最终决定权</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④党中央作出深化机构改革的决策体现了党的领导核心地位</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【详解】①：中国共产党是执政党，各民主党派是参政党，多党合作的首要前提和根本保证是坚持中国共产党的领导，“共同行使领导权”说法错误，①排除。</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党中央适应新时代中国发展实际，深化机构改革，符合社会主义社会发展规律，体现了党坚持科学执政；党中央还举行民主协商会，就机构改革等事项向各民主党派中央代表通报情况，听取意见，体现了党坚持民主执政；党中央把国家机构改革部分的内容按照法定程序提交全国人大审议并获得通过，说明党坚持依法执政，②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③：根据宪法规定，我国的国家权力最终归属于人民；全国人大是我国最高国家权力机关，对全国重大事务行使最高决定权，但不能对党的事务行使决定权，③排除。</w:t>
      </w:r>
    </w:p>
    <w:p>
      <w:pPr>
        <w:spacing w:line="360" w:lineRule="auto"/>
        <w:jc w:val="left"/>
        <w:textAlignment w:val="center"/>
        <w:rPr>
          <w:rFonts w:ascii="微软雅黑" w:eastAsia="微软雅黑" w:hAnsi="微软雅黑" w:cs="微软雅黑" w:hint="eastAsia"/>
          <w:color w:val="000000"/>
        </w:rPr>
        <w:sectPr>
          <w:headerReference w:type="even" r:id="rId29"/>
          <w:footerReference w:type="even" r:id="rId30"/>
          <w:headerReference w:type="first" r:id="rId31"/>
          <w:footerReference w:type="first" r:id="rId32"/>
          <w:type w:val="nextPage"/>
          <w:pgSz w:w="11906" w:h="16838"/>
          <w:pgMar w:top="910" w:right="1080" w:bottom="1440" w:left="1080" w:header="152" w:footer="0" w:gutter="0"/>
          <w:pgNumType w:start="6"/>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④：中国共产党是执政党，是最高政治领导力量，党中央作出深化机构改革的决策体现了党的领导核心地位，④正确。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某民族自治县围绕本省实施“百县千镇万村高质量发展工程”、促进城乡区域协调发展的部署，充分利用各种扶持政策，补短板、强弱项、固底板、扬优势，使该县各方面事业发展驶入快车道，各族群众的认同感和归属感不断攀升。由此可见（</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①民族地区的经济社会发展需要因地制宜采取措施</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②城乡区域协调发展是民族平等、民族团结的前提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③该县积极利用相关政策促发展，有利于增强民族凝聚力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④民族地区的繁荣发展状况取决于党和国家的政策优惠度</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①③：某民族自治县围绕本省实施“百县千镇万村高质量发展工程”、促进城乡区域协调发展的部署，充分利用各种扶持政策，补短板、强弱项、固底板、扬优势，使该县各方面事业发展驶入快车道，各族群众的认同感和归属感不断攀升。这说明民族地区的经济社会发展需要利用相关政策，因地制宜采取措施，有利于增强民族凝聚力，①③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②：民族平等和民族团结是各民族共同繁荣的前提，②错误。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④：民族地区的繁荣发展状况离不开党和国家的政策优惠度，但不能夸大为决定因素，④错误。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广东某镇成立客家细妹志愿者服务队，其中近八成队员是中共党员。在党员骨干带领下，服务队发动各村留守妇女参与各类志愿服务，协助调解家庭矛盾和邻里纠纷，解决困难群众需求，撑起乡村治理“半边天”。该服务队的成立与运行（</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headerReference w:type="even" r:id="rId33"/>
          <w:footerReference w:type="even" r:id="rId34"/>
          <w:headerReference w:type="first" r:id="rId35"/>
          <w:footerReference w:type="first" r:id="rId36"/>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①生动体现了基层共产党员的先锋模范作用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②是农村基层群众自治组织创新的有益尝试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③为调解民间纠纷、维护文明乡风提供了制度保证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④有利于发挥女性优势，为乡村振兴贡献“她”力量</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①④：在党员骨干带领下，服务队发动各村留守妇女参与各类志愿服务，协助调解家庭矛盾和邻里纠纷，解决困难群众需求，撑起乡村治理“半边天”。该服务队的成立与运行生动体现了基层共产党员的先锋模范作用，有利于发挥女性优势，为乡村振兴贡献“她”力量，①④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②：村委会是农村基层群众自治组织，自治组织并未创新，②错误。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③：该服务队的成立与运行有利于调解民间纠纷、维护文明乡风，但不是提供制度保证，排除③。</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近年来，广东某法院加强涉侨审判工作，健全“海外联络员”“归侨陪审员”等工作机制，大力推广跨境诉讼“云服务”，多措并举满足广大海内外华侨华人的司法需求，为促进海内外侨胞与家乡深度融合发展增添了法治成色。这种做法（</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①表明广东已经全面建成完备的法律服务体系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②有利于团结广大侨胞助力中华民族伟大复兴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③体现了人民法院维护侨胞合法权益的实践创新</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④旨在尊重和保障我国公民权利、践行司法为民</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37"/>
          <w:footerReference w:type="even" r:id="rId38"/>
          <w:headerReference w:type="first" r:id="rId39"/>
          <w:footerReference w:type="first" r:id="rId40"/>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①：广东正在建设法律服务体系，材料中的做法有利于完善法律服务体系，①说法错误。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③：广东某法院加强涉侨审判工作，健全工作机制，推广跨境诉讼“云服务”，维护广大海内外华侨华人的合法权益，满足他们的司法需求，此做法体现了人民法院维护侨胞合法权益的实践创新；有利于团结广大侨胞助力中华民族伟大复兴，②③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④：材料中的做法主要涉及维护广大海内外华侨华人的合法权益，满足他们的司法需求，未涉及尊重和保障我国公民权利，④不符合题意。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w:t>
      </w:r>
      <w:r>
        <w:rPr>
          <w:rFonts w:ascii="微软雅黑" w:eastAsia="微软雅黑" w:hAnsi="微软雅黑" w:cs="微软雅黑" w:hint="eastAsia"/>
          <w:color w:val="000000"/>
        </w:rPr>
        <w:t>C</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物勒工名”是我国古代长期延续的一种手工业管理制度，要求器物的制造者把自己的名字勒刻在器物上面，便于管理者检验与追责，“以考其诚”。久而久之，诚信敬业、精益求精的制度要求就内化为工匠的自觉意识，从而推动了传统工匠精神的形成与传承。“物勒工名”</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①是传统工匠精神形成和发展的根源</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②可为现代工匠精神的培育提供借鉴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③以满足民众的物质文化需求为导向</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④体现了中华优秀传统文化的核心思想理念</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【详解】②④：“物勒工名”是我国古代长期延续的一种手工业管理制度，久而久之，诚信敬业、精益求精的制度要求就内化为工匠的自觉意识，从而推动了传统工匠精神的形成与传承，这说明“物勒工名” 体现了中华优秀传统文化的核心思想理念，可为现代工匠精神的培育提供借鉴，②④符合题意。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①：传统工匠精神形成和发展的根源于社会实践，①不符合题意。</w:t>
      </w:r>
    </w:p>
    <w:p>
      <w:pPr>
        <w:spacing w:line="360" w:lineRule="auto"/>
        <w:jc w:val="left"/>
        <w:textAlignment w:val="center"/>
        <w:rPr>
          <w:rFonts w:ascii="微软雅黑" w:eastAsia="微软雅黑" w:hAnsi="微软雅黑" w:cs="微软雅黑" w:hint="eastAsia"/>
          <w:color w:val="000000"/>
        </w:rPr>
        <w:sectPr>
          <w:headerReference w:type="even" r:id="rId41"/>
          <w:footerReference w:type="even" r:id="rId42"/>
          <w:headerReference w:type="first" r:id="rId43"/>
          <w:footerReference w:type="first" r:id="rId44"/>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③：文化具有引领风尚、教育人民、服务社会、推动发展的功能，“物勒工名”为人们提供精神指引，③说法错误。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故本题选D。</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如图漫画（作者：于冰）所蕴含的哲理是（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2247900" cy="1800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5"/>
                    <a:stretch>
                      <a:fillRect/>
                    </a:stretch>
                  </pic:blipFill>
                  <pic:spPr>
                    <a:xfrm>
                      <a:off x="0" y="0"/>
                      <a:ext cx="2247900" cy="1800225"/>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①质变是量变的必然结果</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②矛盾双方既对立又统一</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③事物的价值取决于人的选择</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④正确的认识来自合理的判断</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46"/>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①②</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③④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【详解】①②：当一件物品必不可少时，已经开始禁锢你的生活了，说明矛盾双方对立统一，并在一定条件下相互转化，同时，这也是一个量变的积累过程，慢慢的发生质变，开始禁锢生活，①②入选。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③：价值是客体对主体的积极意义，事物本身的属性也是影响其价值的重要因素，事物的价值不</w:t>
      </w:r>
      <w:r>
        <w:rPr>
          <w:rFonts w:ascii="微软雅黑" w:eastAsia="微软雅黑" w:hAnsi="微软雅黑" w:cs="微软雅黑" w:hint="eastAsia"/>
          <w:color w:val="000000"/>
        </w:rPr>
        <w:t>是“取决于人的选择”</w:t>
      </w:r>
      <w:r>
        <w:rPr>
          <w:rFonts w:ascii="微软雅黑" w:eastAsia="微软雅黑" w:hAnsi="微软雅黑" w:cs="微软雅黑" w:hint="eastAsia"/>
          <w:color w:val="000000"/>
        </w:rPr>
        <w:t>，③不选。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④：实践是认识</w:t>
      </w:r>
      <w:r>
        <w:rPr>
          <w:rFonts w:ascii="微软雅黑" w:eastAsia="微软雅黑" w:hAnsi="微软雅黑" w:cs="微软雅黑" w:hint="eastAsia"/>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基础，正确的认识来自于实践，④不选。</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故本题选A。</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sectPr>
          <w:headerReference w:type="even" r:id="rId47"/>
          <w:footerReference w:type="even" r:id="rId48"/>
          <w:headerReference w:type="first" r:id="rId49"/>
          <w:footerReference w:type="first" r:id="rId50"/>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20</w:t>
      </w:r>
      <w:r>
        <w:rPr>
          <w:rFonts w:ascii="微软雅黑" w:eastAsia="微软雅黑" w:hAnsi="微软雅黑" w:cs="微软雅黑" w:hint="eastAsia"/>
          <w:color w:val="000000"/>
        </w:rPr>
        <w:t>世纪</w:t>
      </w:r>
      <w:r>
        <w:rPr>
          <w:rFonts w:ascii="微软雅黑" w:eastAsia="微软雅黑" w:hAnsi="微软雅黑" w:cs="微软雅黑" w:hint="eastAsia"/>
          <w:color w:val="000000"/>
        </w:rPr>
        <w:t>80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年代，自行车是我国居民出行最常见的代步工具。近年来，随着绿色低碳出行观念的普及，多地出现骑行热，凭借健身、时尚、科技等新元素，沉寂多年的自行车再次引发民众的消费热潮。这一现象说明（</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①人的意识活动具有目的性和选择性</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②人们对美好生活的向往决定生活面貌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③事物的发展是间断性和飞跃性的统一</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④社会意识对社会存在具有能动的反作用</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xmlns:r="http://schemas.openxmlformats.org/officeDocument/2006/relationships" r:embed="rId46"/>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①③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①④</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②③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②④</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【详解】①：近年来，人们为了健身等目的，再次选择骑行，沉寂多年的自行车再次引发民众的消费热潮，说明人的意识活动具有目的性和选择性，①符合题意。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②：客观决定主观，人们对美好生活的向往是主观范畴，不能决定客观的生活面貌，②说法错误。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③：事物的发展是连续性与间断性、渐进性和飞跃性的统一，③说法错误。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④：绿色低碳出行观念这一社会意识对社会存在具有反作用，使多地出现骑行热，④符合题意。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故本题选B。</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中国是世界上最早发现漆树汁液可制作大漆并创造漆器的国家。殷周时代，漆器用于礼乐、饮食、馈赠等，而最美的漆器则用来祭祀祖先和神灵，殷周先人会用巧妙的手法虔诚地髹涂装饰祭祀之器来完成他们心中最美的礼仪。这表明（</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①人的活动方式体现了人的世界观</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②美的源泉存在于人的经验感受之中</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③通过实践活动可以建立事物的新联系</w:t>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④人为事物的联系比自在事物的联系更有价值</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https://d.book118.com/438024044053006042</w:t>
        </w:r>
      </w:hyperlink>
    </w:p>
    <w:p>
      <w:pPr>
        <w:spacing w:line="360" w:lineRule="auto"/>
        <w:jc w:val="left"/>
        <w:textAlignment w:val="center"/>
        <w:rPr>
          <w:rFonts w:ascii="微软雅黑" w:eastAsia="微软雅黑" w:hAnsi="微软雅黑" w:cs="微软雅黑" w:hint="eastAsia"/>
          <w:color w:val="000000"/>
        </w:rPr>
      </w:pPr>
    </w:p>
    <w:sectPr>
      <w:headerReference w:type="even" r:id="rId52"/>
      <w:footerReference w:type="even" r:id="rId53"/>
      <w:headerReference w:type="first" r:id="rId54"/>
      <w:footerReference w:type="first" r:id="rId55"/>
      <w:type w:val="nextPage"/>
      <w:pgSz w:w="11906" w:h="16838"/>
      <w:pgMar w:top="910" w:right="1080" w:bottom="1440" w:left="1080" w:header="152" w:footer="0" w:gutter="0"/>
      <w:pgNumType w:start="1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114D"/>
    <w:rsid w:val="00054E7B"/>
    <w:rsid w:val="000E4D02"/>
    <w:rsid w:val="00171458"/>
    <w:rsid w:val="00173C1D"/>
    <w:rsid w:val="001764C3"/>
    <w:rsid w:val="0018010E"/>
    <w:rsid w:val="00191C29"/>
    <w:rsid w:val="001C63DA"/>
    <w:rsid w:val="001D4563"/>
    <w:rsid w:val="00201A7E"/>
    <w:rsid w:val="00221FC9"/>
    <w:rsid w:val="002457C2"/>
    <w:rsid w:val="00250046"/>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647FBA"/>
    <w:rsid w:val="38274566"/>
    <w:rsid w:val="495E7974"/>
    <w:rsid w:val="79C20039"/>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PageNumber">
    <w:name w:val="page number"/>
    <w:basedOn w:val="DefaultParagraphFont"/>
    <w:qFormat/>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image" Target="media/image2.wmf"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image" Target="media/image3.wmf" /><Relationship Id="rId24" Type="http://schemas.openxmlformats.org/officeDocument/2006/relationships/image" Target="media/image4.png"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header" Target="header14.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customXml" Target="../customXml/item1.xml" /><Relationship Id="rId40" Type="http://schemas.openxmlformats.org/officeDocument/2006/relationships/footer" Target="footer16.xml"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image" Target="media/image5.png" /><Relationship Id="rId46" Type="http://schemas.openxmlformats.org/officeDocument/2006/relationships/image" Target="media/image6.wmf" /><Relationship Id="rId47" Type="http://schemas.openxmlformats.org/officeDocument/2006/relationships/header" Target="header19.xml" /><Relationship Id="rId48" Type="http://schemas.openxmlformats.org/officeDocument/2006/relationships/footer" Target="footer19.xml" /><Relationship Id="rId49" Type="http://schemas.openxmlformats.org/officeDocument/2006/relationships/header" Target="header20.xml" /><Relationship Id="rId5" Type="http://schemas.openxmlformats.org/officeDocument/2006/relationships/image" Target="media/image1.png" /><Relationship Id="rId50" Type="http://schemas.openxmlformats.org/officeDocument/2006/relationships/footer" Target="footer20.xml" /><Relationship Id="rId51" Type="http://schemas.openxmlformats.org/officeDocument/2006/relationships/hyperlink" Target="https://d.book118.com/438024044053006042" TargetMode="Externa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header" Target="header22.xml" /><Relationship Id="rId55" Type="http://schemas.openxmlformats.org/officeDocument/2006/relationships/footer" Target="footer22.xm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2116</Words>
  <Characters>12063</Characters>
  <Application>Microsoft Office Word</Application>
  <DocSecurity>0</DocSecurity>
  <Lines>100</Lines>
  <Paragraphs>28</Paragraphs>
  <ScaleCrop>false</ScaleCrop>
  <Company>学科网 www.zxxk.com</Company>
  <LinksUpToDate>false</LinksUpToDate>
  <CharactersWithSpaces>14151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3282840798674944</dc:description>
  <cp:lastModifiedBy>马兵兵</cp:lastModifiedBy>
  <cp:revision>9</cp:revision>
  <dcterms:created xsi:type="dcterms:W3CDTF">2023-07-18T12:20:00Z</dcterms:created>
  <dcterms:modified xsi:type="dcterms:W3CDTF">2024-03-04T14:38:14Z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5F7EE5551A62450F955C14E1AAEB0D7B_13</vt:lpwstr>
  </property>
  <property fmtid="{D5CDD505-2E9C-101B-9397-08002B2CF9AE}" pid="7" name="KSOProductBuildVer">
    <vt:lpwstr>2052-12.1.0.16399</vt:lpwstr>
  </property>
</Properties>
</file>