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4" w:line="219" w:lineRule="auto"/>
        <w:ind w:left="1021"/>
        <w:outlineLvl w:val="0"/>
        <w:rPr>
          <w:rFonts w:ascii="SimSun" w:eastAsia="SimSun" w:hAnsi="SimSun" w:cs="SimSun"/>
          <w:sz w:val="83"/>
          <w:szCs w:val="83"/>
        </w:rPr>
      </w:pPr>
      <w:r>
        <w:pict>
          <v:rect id="_x0000_s1025" style="width:386.05pt;height:1.5pt;margin-top:681.5pt;margin-left:81pt;mso-position-horizontal-relative:page;mso-position-vertical-relative:page;position:absolute;z-index:251658240" o:allowincell="f" filled="t" fillcolor="red" stroked="f"/>
        </w:pict>
      </w:r>
      <w:r>
        <w:rPr>
          <w:rFonts w:ascii="SimSun" w:eastAsia="SimSun" w:hAnsi="SimSun" w:cs="SimSun"/>
          <w:b/>
          <w:bCs/>
          <w:color w:val="FF0000"/>
          <w:spacing w:val="4"/>
          <w:sz w:val="83"/>
          <w:szCs w:val="83"/>
        </w:rPr>
        <w:t>中关村天使投资联盟</w:t>
      </w:r>
    </w:p>
    <w:p>
      <w:pPr>
        <w:spacing w:before="228" w:line="60" w:lineRule="exact"/>
      </w:pPr>
      <w:r>
        <w:rPr>
          <w:position w:val="-1"/>
        </w:rPr>
        <w:drawing>
          <wp:inline distT="0" distB="0" distL="0" distR="0">
            <wp:extent cx="6216656" cy="3806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6656" cy="38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04" w:line="222" w:lineRule="auto"/>
        <w:ind w:left="269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6"/>
          <w:sz w:val="32"/>
          <w:szCs w:val="32"/>
        </w:rPr>
        <w:t>硬科技早期投资机构评估指南</w:t>
      </w:r>
    </w:p>
    <w:p>
      <w:pPr>
        <w:spacing w:before="241" w:line="620" w:lineRule="exact"/>
        <w:ind w:left="15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30"/>
          <w:sz w:val="28"/>
          <w:szCs w:val="28"/>
        </w:rPr>
        <w:t>Guidelines  for</w:t>
      </w:r>
      <w:r>
        <w:rPr>
          <w:rFonts w:ascii="Times New Roman" w:eastAsia="Times New Roman" w:hAnsi="Times New Roman" w:cs="Times New Roman"/>
          <w:spacing w:val="65"/>
          <w:w w:val="101"/>
          <w:position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28"/>
          <w:szCs w:val="28"/>
        </w:rPr>
        <w:t>Evaluating</w:t>
      </w:r>
      <w:r>
        <w:rPr>
          <w:rFonts w:ascii="Times New Roman" w:eastAsia="Times New Roman" w:hAnsi="Times New Roman" w:cs="Times New Roman"/>
          <w:spacing w:val="65"/>
          <w:position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28"/>
          <w:szCs w:val="28"/>
        </w:rPr>
        <w:t>Early-Stage</w:t>
      </w:r>
      <w:r>
        <w:rPr>
          <w:rFonts w:ascii="Times New Roman" w:eastAsia="Times New Roman" w:hAnsi="Times New Roman" w:cs="Times New Roman"/>
          <w:spacing w:val="62"/>
          <w:position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28"/>
          <w:szCs w:val="28"/>
        </w:rPr>
        <w:t>Venture  Capital</w:t>
      </w:r>
    </w:p>
    <w:p>
      <w:pPr>
        <w:spacing w:before="1" w:line="191" w:lineRule="auto"/>
        <w:ind w:left="29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Institution</w:t>
      </w:r>
      <w:r>
        <w:rPr>
          <w:rFonts w:ascii="Times New Roman" w:eastAsia="Times New Roman" w:hAnsi="Times New Roman" w:cs="Times New Roman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spacing w:val="63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Core</w:t>
      </w:r>
      <w:r>
        <w:rPr>
          <w:rFonts w:ascii="Times New Roman" w:eastAsia="Times New Roman" w:hAnsi="Times New Roman" w:cs="Times New Roman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Technology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pgSz w:w="11900" w:h="16840"/>
          <w:pgMar w:top="1343" w:right="1380" w:bottom="0" w:left="729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81" w:line="222" w:lineRule="auto"/>
        <w:ind w:left="95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中</w:t>
      </w:r>
      <w:r>
        <w:rPr>
          <w:rFonts w:ascii="SimHei" w:eastAsia="SimHei" w:hAnsi="SimHei" w:cs="SimHei"/>
          <w:spacing w:val="29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关</w:t>
      </w:r>
      <w:r>
        <w:rPr>
          <w:rFonts w:ascii="SimHei" w:eastAsia="SimHei" w:hAnsi="SimHei" w:cs="SimHei"/>
          <w:spacing w:val="11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村</w:t>
      </w:r>
      <w:r>
        <w:rPr>
          <w:rFonts w:ascii="SimHei" w:eastAsia="SimHei" w:hAnsi="SimHei" w:cs="SimHei"/>
          <w:spacing w:val="24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天</w:t>
      </w:r>
      <w:r>
        <w:rPr>
          <w:rFonts w:ascii="SimHei" w:eastAsia="SimHei" w:hAnsi="SimHei" w:cs="SimHei"/>
          <w:spacing w:val="24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使</w:t>
      </w:r>
      <w:r>
        <w:rPr>
          <w:rFonts w:ascii="SimHei" w:eastAsia="SimHei" w:hAnsi="SimHei" w:cs="SimHei"/>
          <w:spacing w:val="20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投</w:t>
      </w:r>
      <w:r>
        <w:rPr>
          <w:rFonts w:ascii="SimHei" w:eastAsia="SimHei" w:hAnsi="SimHei" w:cs="SimHei"/>
          <w:spacing w:val="29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资</w:t>
      </w:r>
      <w:r>
        <w:rPr>
          <w:rFonts w:ascii="SimHei" w:eastAsia="SimHei" w:hAnsi="SimHei" w:cs="SimHei"/>
          <w:spacing w:val="19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联</w:t>
      </w:r>
      <w:r>
        <w:rPr>
          <w:rFonts w:ascii="SimHei" w:eastAsia="SimHei" w:hAnsi="SimHei" w:cs="SimHei"/>
          <w:spacing w:val="25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盟</w:t>
      </w:r>
      <w:r>
        <w:rPr>
          <w:rFonts w:ascii="SimHei" w:eastAsia="SimHei" w:hAnsi="SimHei" w:cs="SimHei"/>
          <w:spacing w:val="5"/>
          <w:sz w:val="25"/>
          <w:szCs w:val="25"/>
        </w:rPr>
        <w:t xml:space="preserve">                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发</w:t>
      </w:r>
      <w:r>
        <w:rPr>
          <w:rFonts w:ascii="SimHei" w:eastAsia="SimHei" w:hAnsi="SimHei" w:cs="SimHei"/>
          <w:spacing w:val="16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5"/>
          <w:szCs w:val="25"/>
        </w:rPr>
        <w:t>布</w:t>
      </w:r>
    </w:p>
    <w:p>
      <w:pPr>
        <w:spacing w:line="222" w:lineRule="auto"/>
        <w:rPr>
          <w:rFonts w:ascii="SimHei" w:eastAsia="SimHei" w:hAnsi="SimHei" w:cs="SimHei"/>
          <w:sz w:val="25"/>
          <w:szCs w:val="25"/>
        </w:rPr>
        <w:sectPr>
          <w:type w:val="nextPage"/>
          <w:pgSz w:w="11900" w:h="16840"/>
          <w:pgMar w:top="1343" w:right="1380" w:bottom="0" w:left="729" w:header="0" w:footer="0" w:gutter="0"/>
          <w:pgNumType w:start="2"/>
          <w:cols w:space="708"/>
          <w:titlePg w:val="0"/>
        </w:sectPr>
      </w:pPr>
    </w:p>
    <w:p>
      <w:pPr>
        <w:spacing w:before="50" w:line="222" w:lineRule="auto"/>
        <w:ind w:left="8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SimHei" w:eastAsia="SimHei" w:hAnsi="SimHei" w:cs="SimHei"/>
          <w:spacing w:val="-18"/>
          <w:sz w:val="25"/>
          <w:szCs w:val="25"/>
        </w:rPr>
        <w:t>中关村天使投资联盟</w:t>
      </w:r>
      <w:r>
        <w:rPr>
          <w:rFonts w:ascii="SimHei" w:eastAsia="SimHei" w:hAnsi="SimHei" w:cs="SimHei"/>
          <w:spacing w:val="2"/>
          <w:sz w:val="25"/>
          <w:szCs w:val="25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18"/>
          <w:sz w:val="25"/>
          <w:szCs w:val="25"/>
        </w:rPr>
        <w:t>T/TSLM 001-2023</w:t>
      </w:r>
    </w:p>
    <w:p>
      <w:pPr>
        <w:pStyle w:val="BodyText"/>
        <w:spacing w:line="297" w:lineRule="auto"/>
      </w:pPr>
    </w:p>
    <w:p>
      <w:pPr>
        <w:spacing w:before="98" w:line="222" w:lineRule="auto"/>
        <w:ind w:left="3409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color w:val="1550B5"/>
          <w:spacing w:val="-18"/>
          <w:sz w:val="30"/>
          <w:szCs w:val="30"/>
        </w:rPr>
        <w:t>目</w:t>
      </w:r>
      <w:r>
        <w:rPr>
          <w:rFonts w:ascii="SimHei" w:eastAsia="SimHei" w:hAnsi="SimHei" w:cs="SimHei"/>
          <w:color w:val="1550B5"/>
          <w:spacing w:val="-18"/>
          <w:sz w:val="30"/>
          <w:szCs w:val="30"/>
        </w:rPr>
        <w:t xml:space="preserve">   </w:t>
      </w:r>
      <w:r>
        <w:rPr>
          <w:rFonts w:ascii="SimHei" w:eastAsia="SimHei" w:hAnsi="SimHei" w:cs="SimHei"/>
          <w:b/>
          <w:bCs/>
          <w:color w:val="1550B5"/>
          <w:spacing w:val="-18"/>
          <w:sz w:val="30"/>
          <w:szCs w:val="30"/>
        </w:rPr>
        <w:t>录</w:t>
      </w:r>
    </w:p>
    <w:sdt>
      <w:sdtPr>
        <w:rPr>
          <w:rFonts w:ascii="Arial" w:eastAsia="Arial" w:hAnsi="Arial" w:cs="Arial"/>
          <w:sz w:val="21"/>
          <w:szCs w:val="21"/>
        </w:rPr>
        <w:id w:val="198941633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5"/>
          <w:szCs w:val="25"/>
        </w:rPr>
      </w:sdtEndPr>
      <w:sdtContent>
        <w:p>
          <w:pPr>
            <w:tabs>
              <w:tab w:val="right" w:leader="dot" w:pos="7397"/>
            </w:tabs>
            <w:spacing w:before="269" w:line="222" w:lineRule="auto"/>
            <w:ind w:left="478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SimHei" w:eastAsia="SimHei" w:hAnsi="SimHei" w:cs="SimHei"/>
              <w:b/>
              <w:bCs/>
              <w:spacing w:val="-18"/>
              <w:sz w:val="25"/>
              <w:szCs w:val="25"/>
            </w:rPr>
            <w:t>前</w:t>
          </w:r>
          <w:r>
            <w:rPr>
              <w:rFonts w:ascii="SimHei" w:eastAsia="SimHei" w:hAnsi="SimHei" w:cs="SimHei"/>
              <w:spacing w:val="27"/>
              <w:sz w:val="25"/>
              <w:szCs w:val="25"/>
            </w:rPr>
            <w:t xml:space="preserve">  </w:t>
          </w:r>
          <w:r>
            <w:rPr>
              <w:rFonts w:ascii="SimHei" w:eastAsia="SimHei" w:hAnsi="SimHei" w:cs="SimHei"/>
              <w:b/>
              <w:bCs/>
              <w:spacing w:val="-18"/>
              <w:sz w:val="25"/>
              <w:szCs w:val="25"/>
            </w:rPr>
            <w:t>言</w:t>
          </w:r>
          <w:r>
            <w:rPr>
              <w:rFonts w:ascii="SimHei" w:eastAsia="SimHei" w:hAnsi="SimHei" w:cs="SimHei"/>
              <w:spacing w:val="-113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Times New Roman" w:eastAsia="Times New Roman" w:hAnsi="Times New Roman" w:cs="Times New Roman"/>
              <w:spacing w:val="-2"/>
              <w:sz w:val="25"/>
              <w:szCs w:val="25"/>
            </w:rPr>
            <w:t>2-</w:t>
          </w:r>
        </w:p>
        <w:p>
          <w:pPr>
            <w:pStyle w:val="BodyText"/>
            <w:spacing w:line="324" w:lineRule="auto"/>
          </w:pPr>
        </w:p>
        <w:p>
          <w:pPr>
            <w:tabs>
              <w:tab w:val="right" w:leader="dot" w:pos="7395"/>
            </w:tabs>
            <w:spacing w:before="81" w:line="222" w:lineRule="auto"/>
            <w:ind w:left="408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SimHei" w:eastAsia="SimHei" w:hAnsi="SimHei" w:cs="SimHei"/>
              <w:b/>
              <w:bCs/>
              <w:spacing w:val="5"/>
              <w:sz w:val="25"/>
              <w:szCs w:val="25"/>
            </w:rPr>
            <w:t>硬科技早期投资机构评估指南</w:t>
          </w:r>
          <w:r>
            <w:rPr>
              <w:rFonts w:ascii="SimHei" w:eastAsia="SimHei" w:hAnsi="SimHei" w:cs="SimHei"/>
              <w:spacing w:val="-99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1"/>
              <w:sz w:val="25"/>
              <w:szCs w:val="25"/>
            </w:rPr>
            <w:t>4-</w:t>
          </w:r>
        </w:p>
      </w:sdtContent>
    </w:sdt>
    <w:p>
      <w:pPr>
        <w:pStyle w:val="BodyText"/>
        <w:spacing w:line="322" w:lineRule="auto"/>
      </w:pPr>
    </w:p>
    <w:p>
      <w:pPr>
        <w:spacing w:before="81" w:line="223" w:lineRule="auto"/>
        <w:ind w:left="60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 xml:space="preserve">1    </w:t>
      </w:r>
      <w:r>
        <w:rPr>
          <w:rFonts w:ascii="SimHei" w:eastAsia="SimHei" w:hAnsi="SimHei" w:cs="SimHei"/>
          <w:spacing w:val="-3"/>
          <w:sz w:val="25"/>
          <w:szCs w:val="25"/>
        </w:rPr>
        <w:t>范</w:t>
      </w:r>
      <w:r>
        <w:rPr>
          <w:rFonts w:ascii="SimHei" w:eastAsia="SimHei" w:hAnsi="SimHei" w:cs="SimHei"/>
          <w:spacing w:val="-42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-3"/>
          <w:sz w:val="25"/>
          <w:szCs w:val="25"/>
        </w:rPr>
        <w:t>围</w:t>
      </w:r>
      <w:r>
        <w:rPr>
          <w:rFonts w:ascii="Times New Roman" w:eastAsia="Times New Roman" w:hAnsi="Times New Roman" w:cs="Times New Roman"/>
          <w:spacing w:val="-3"/>
          <w:sz w:val="25"/>
          <w:szCs w:val="25"/>
        </w:rPr>
        <w:t>……………………………………………</w:t>
      </w:r>
      <w:r>
        <w:rPr>
          <w:rFonts w:ascii="Times New Roman" w:eastAsia="Times New Roman" w:hAnsi="Times New Roman" w:cs="Times New Roman"/>
          <w:spacing w:val="-4"/>
          <w:sz w:val="25"/>
          <w:szCs w:val="25"/>
        </w:rPr>
        <w:t>………………4-</w:t>
      </w:r>
    </w:p>
    <w:p>
      <w:pPr>
        <w:spacing w:before="312" w:line="222" w:lineRule="auto"/>
        <w:ind w:left="60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2</w:t>
      </w:r>
      <w:r>
        <w:rPr>
          <w:rFonts w:ascii="Times New Roman" w:eastAsia="Times New Roman" w:hAnsi="Times New Roman" w:cs="Times New Roman"/>
          <w:b/>
          <w:bCs/>
          <w:spacing w:val="19"/>
          <w:sz w:val="25"/>
          <w:szCs w:val="25"/>
        </w:rPr>
        <w:t xml:space="preserve">   </w:t>
      </w:r>
      <w:r>
        <w:rPr>
          <w:rFonts w:ascii="SimHei" w:eastAsia="SimHei" w:hAnsi="SimHei" w:cs="SimHei"/>
          <w:b/>
          <w:bCs/>
          <w:spacing w:val="-1"/>
          <w:sz w:val="25"/>
          <w:szCs w:val="25"/>
        </w:rPr>
        <w:t>规范性引用文件</w:t>
      </w:r>
      <w:r>
        <w:rPr>
          <w:rFonts w:ascii="Times New Roman" w:eastAsia="Times New Roman" w:hAnsi="Times New Roman" w:cs="Times New Roman"/>
          <w:spacing w:val="-1"/>
          <w:sz w:val="25"/>
          <w:szCs w:val="25"/>
        </w:rPr>
        <w:t>………………………………………</w:t>
      </w:r>
      <w:r>
        <w:rPr>
          <w:rFonts w:ascii="Times New Roman" w:eastAsia="Times New Roman" w:hAnsi="Times New Roman" w:cs="Times New Roman"/>
          <w:spacing w:val="-2"/>
          <w:sz w:val="25"/>
          <w:szCs w:val="25"/>
        </w:rPr>
        <w:t>………4-</w:t>
      </w:r>
    </w:p>
    <w:p>
      <w:pPr>
        <w:spacing w:before="301" w:line="222" w:lineRule="auto"/>
        <w:ind w:left="60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sz w:val="25"/>
          <w:szCs w:val="25"/>
        </w:rPr>
        <w:t xml:space="preserve">3   </w:t>
      </w:r>
      <w:r>
        <w:rPr>
          <w:rFonts w:ascii="SimHei" w:eastAsia="SimHei" w:hAnsi="SimHei" w:cs="SimHei"/>
          <w:b/>
          <w:bCs/>
          <w:sz w:val="25"/>
          <w:szCs w:val="25"/>
        </w:rPr>
        <w:t>术语和定义</w:t>
      </w:r>
      <w:r>
        <w:rPr>
          <w:rFonts w:ascii="Times New Roman" w:eastAsia="Times New Roman" w:hAnsi="Times New Roman" w:cs="Times New Roman"/>
          <w:sz w:val="25"/>
          <w:szCs w:val="25"/>
        </w:rPr>
        <w:t>……………………………………………………4-</w:t>
      </w:r>
    </w:p>
    <w:p>
      <w:pPr>
        <w:spacing w:before="297" w:line="222" w:lineRule="auto"/>
        <w:ind w:left="604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25"/>
          <w:szCs w:val="25"/>
        </w:rPr>
        <w:t xml:space="preserve">4   </w:t>
      </w:r>
      <w:r>
        <w:rPr>
          <w:rFonts w:ascii="SimHei" w:eastAsia="SimHei" w:hAnsi="SimHei" w:cs="SimHei"/>
          <w:b/>
          <w:bCs/>
          <w:spacing w:val="3"/>
          <w:sz w:val="25"/>
          <w:szCs w:val="25"/>
        </w:rPr>
        <w:t>硬科技早期投资-机构评估指南详解</w:t>
      </w:r>
      <w:r>
        <w:rPr>
          <w:rFonts w:ascii="Times New Roman" w:eastAsia="Times New Roman" w:hAnsi="Times New Roman" w:cs="Times New Roman"/>
          <w:spacing w:val="3"/>
          <w:sz w:val="25"/>
          <w:szCs w:val="25"/>
        </w:rPr>
        <w:t>………………………6-</w:t>
      </w:r>
    </w:p>
    <w:sdt>
      <w:sdtPr>
        <w:rPr>
          <w:rFonts w:ascii="Times New Roman" w:eastAsia="Times New Roman" w:hAnsi="Times New Roman" w:cs="Times New Roman"/>
          <w:sz w:val="25"/>
          <w:szCs w:val="25"/>
        </w:rPr>
        <w:id w:val="150129393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5"/>
          <w:szCs w:val="25"/>
        </w:rPr>
      </w:sdtEndPr>
      <w:sdtContent>
        <w:p>
          <w:pPr>
            <w:tabs>
              <w:tab w:val="right" w:leader="dot" w:pos="7452"/>
            </w:tabs>
            <w:spacing w:before="213" w:line="221" w:lineRule="auto"/>
            <w:ind w:left="604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21"/>
              <w:sz w:val="25"/>
              <w:szCs w:val="25"/>
            </w:rPr>
            <w:t>4.1</w:t>
          </w:r>
          <w:r>
            <w:rPr>
              <w:rFonts w:ascii="Times New Roman" w:eastAsia="Times New Roman" w:hAnsi="Times New Roman" w:cs="Times New Roman"/>
              <w:spacing w:val="8"/>
              <w:sz w:val="25"/>
              <w:szCs w:val="25"/>
            </w:rPr>
            <w:t xml:space="preserve">   </w:t>
          </w:r>
          <w:r>
            <w:rPr>
              <w:rFonts w:ascii="SimHei" w:eastAsia="SimHei" w:hAnsi="SimHei" w:cs="SimHei"/>
              <w:spacing w:val="-21"/>
              <w:sz w:val="25"/>
              <w:szCs w:val="25"/>
            </w:rPr>
            <w:t>投资机构评估要素概述及框架</w:t>
          </w:r>
          <w:r>
            <w:rPr>
              <w:rFonts w:ascii="SimHei" w:eastAsia="SimHei" w:hAnsi="SimHei" w:cs="SimHei"/>
              <w:spacing w:val="-104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25"/>
              <w:szCs w:val="25"/>
            </w:rPr>
            <w:t>6-</w:t>
          </w:r>
        </w:p>
        <w:p>
          <w:pPr>
            <w:tabs>
              <w:tab w:val="right" w:leader="dot" w:pos="7442"/>
            </w:tabs>
            <w:spacing w:before="130" w:line="221" w:lineRule="auto"/>
            <w:ind w:left="604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20"/>
              <w:w w:val="96"/>
              <w:sz w:val="25"/>
              <w:szCs w:val="25"/>
            </w:rPr>
            <w:t>4.2    “</w:t>
          </w:r>
          <w:r>
            <w:rPr>
              <w:rFonts w:ascii="SimHei" w:eastAsia="SimHei" w:hAnsi="SimHei" w:cs="SimHei"/>
              <w:spacing w:val="-20"/>
              <w:w w:val="96"/>
              <w:sz w:val="25"/>
              <w:szCs w:val="25"/>
            </w:rPr>
            <w:t>硬科技早期投资-机构评估指南”指标完整描述</w:t>
          </w:r>
          <w:r>
            <w:rPr>
              <w:rFonts w:ascii="SimHei" w:eastAsia="SimHei" w:hAnsi="SimHei" w:cs="SimHei"/>
              <w:spacing w:val="-83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25"/>
              <w:szCs w:val="25"/>
            </w:rPr>
            <w:t>9-</w:t>
          </w:r>
        </w:p>
        <w:p>
          <w:pPr>
            <w:tabs>
              <w:tab w:val="right" w:leader="dot" w:pos="7452"/>
            </w:tabs>
            <w:spacing w:before="161" w:line="221" w:lineRule="auto"/>
            <w:ind w:left="835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23"/>
              <w:w w:val="96"/>
              <w:sz w:val="25"/>
              <w:szCs w:val="25"/>
            </w:rPr>
            <w:t>4.2.1“</w:t>
          </w:r>
          <w:r>
            <w:rPr>
              <w:rFonts w:ascii="SimHei" w:eastAsia="SimHei" w:hAnsi="SimHei" w:cs="SimHei"/>
              <w:spacing w:val="-23"/>
              <w:w w:val="96"/>
              <w:sz w:val="25"/>
              <w:szCs w:val="25"/>
            </w:rPr>
            <w:t>基金特征”评估</w:t>
          </w:r>
          <w:r>
            <w:rPr>
              <w:rFonts w:ascii="SimHei" w:eastAsia="SimHei" w:hAnsi="SimHei" w:cs="SimHei"/>
              <w:spacing w:val="-94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25"/>
              <w:szCs w:val="25"/>
            </w:rPr>
            <w:t>9-</w:t>
          </w:r>
        </w:p>
        <w:p>
          <w:pPr>
            <w:tabs>
              <w:tab w:val="right" w:leader="dot" w:pos="7457"/>
            </w:tabs>
            <w:spacing w:before="162" w:line="222" w:lineRule="auto"/>
            <w:ind w:left="835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21"/>
              <w:w w:val="97"/>
              <w:sz w:val="25"/>
              <w:szCs w:val="25"/>
            </w:rPr>
            <w:t>4.2.2“</w:t>
          </w:r>
          <w:r>
            <w:rPr>
              <w:rFonts w:ascii="SimHei" w:eastAsia="SimHei" w:hAnsi="SimHei" w:cs="SimHei"/>
              <w:spacing w:val="-21"/>
              <w:w w:val="97"/>
              <w:sz w:val="25"/>
              <w:szCs w:val="25"/>
            </w:rPr>
            <w:t>管理团队”评估</w:t>
          </w:r>
          <w:r>
            <w:rPr>
              <w:rFonts w:ascii="SimHei" w:eastAsia="SimHei" w:hAnsi="SimHei" w:cs="SimHei"/>
              <w:spacing w:val="-104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SimHei" w:eastAsia="SimHei" w:hAnsi="SimHei" w:cs="SimHei"/>
              <w:spacing w:val="-68"/>
              <w:sz w:val="25"/>
              <w:szCs w:val="25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10"/>
                <w:sz w:val="25"/>
                <w:szCs w:val="25"/>
              </w:rPr>
              <w:t>11</w:t>
            </w:r>
          </w:hyperlink>
          <w:r>
            <w:rPr>
              <w:rFonts w:ascii="Times New Roman" w:eastAsia="Times New Roman" w:hAnsi="Times New Roman" w:cs="Times New Roman"/>
              <w:spacing w:val="-10"/>
              <w:sz w:val="25"/>
              <w:szCs w:val="25"/>
            </w:rPr>
            <w:t>-</w:t>
          </w:r>
        </w:p>
        <w:p>
          <w:pPr>
            <w:tabs>
              <w:tab w:val="right" w:leader="dot" w:pos="7457"/>
            </w:tabs>
            <w:spacing w:before="139" w:line="222" w:lineRule="auto"/>
            <w:ind w:left="835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22"/>
              <w:w w:val="95"/>
              <w:sz w:val="25"/>
              <w:szCs w:val="25"/>
            </w:rPr>
            <w:t>4.2.3“</w:t>
          </w:r>
          <w:r>
            <w:rPr>
              <w:rFonts w:ascii="SimHei" w:eastAsia="SimHei" w:hAnsi="SimHei" w:cs="SimHei"/>
              <w:spacing w:val="-22"/>
              <w:w w:val="95"/>
              <w:sz w:val="25"/>
              <w:szCs w:val="25"/>
            </w:rPr>
            <w:t>专业行为”评估</w:t>
          </w:r>
          <w:r>
            <w:rPr>
              <w:rFonts w:ascii="SimHei" w:eastAsia="SimHei" w:hAnsi="SimHei" w:cs="SimHei"/>
              <w:spacing w:val="-93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SimHei" w:eastAsia="SimHei" w:hAnsi="SimHei" w:cs="SimHei"/>
              <w:spacing w:val="-17"/>
              <w:sz w:val="25"/>
              <w:szCs w:val="25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10"/>
                <w:sz w:val="25"/>
                <w:szCs w:val="25"/>
              </w:rPr>
              <w:t>13</w:t>
            </w:r>
          </w:hyperlink>
          <w:r>
            <w:rPr>
              <w:rFonts w:ascii="Times New Roman" w:eastAsia="Times New Roman" w:hAnsi="Times New Roman" w:cs="Times New Roman"/>
              <w:spacing w:val="-10"/>
              <w:sz w:val="25"/>
              <w:szCs w:val="25"/>
            </w:rPr>
            <w:t>-</w:t>
          </w:r>
        </w:p>
        <w:p>
          <w:pPr>
            <w:tabs>
              <w:tab w:val="right" w:leader="dot" w:pos="7467"/>
            </w:tabs>
            <w:spacing w:before="159" w:line="221" w:lineRule="auto"/>
            <w:ind w:left="835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spacing w:val="-18"/>
              <w:w w:val="93"/>
              <w:sz w:val="25"/>
              <w:szCs w:val="25"/>
            </w:rPr>
            <w:t>4.2.4“</w:t>
          </w:r>
          <w:r>
            <w:rPr>
              <w:rFonts w:ascii="SimHei" w:eastAsia="SimHei" w:hAnsi="SimHei" w:cs="SimHei"/>
              <w:spacing w:val="-18"/>
              <w:w w:val="93"/>
              <w:sz w:val="25"/>
              <w:szCs w:val="25"/>
            </w:rPr>
            <w:t>权责分配”评估</w:t>
          </w:r>
          <w:r>
            <w:rPr>
              <w:rFonts w:ascii="SimHei" w:eastAsia="SimHei" w:hAnsi="SimHei" w:cs="SimHei"/>
              <w:spacing w:val="-98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SimHei" w:eastAsia="SimHei" w:hAnsi="SimHei" w:cs="SimHei"/>
              <w:spacing w:val="-7"/>
              <w:sz w:val="25"/>
              <w:szCs w:val="25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10"/>
                <w:sz w:val="25"/>
                <w:szCs w:val="25"/>
              </w:rPr>
              <w:t>16</w:t>
            </w:r>
          </w:hyperlink>
          <w:r>
            <w:rPr>
              <w:rFonts w:ascii="Times New Roman" w:eastAsia="Times New Roman" w:hAnsi="Times New Roman" w:cs="Times New Roman"/>
              <w:spacing w:val="-10"/>
              <w:sz w:val="25"/>
              <w:szCs w:val="25"/>
            </w:rPr>
            <w:t>-</w:t>
          </w:r>
        </w:p>
        <w:p>
          <w:pPr>
            <w:tabs>
              <w:tab w:val="right" w:leader="dot" w:pos="7379"/>
            </w:tabs>
            <w:spacing w:before="237" w:line="221" w:lineRule="auto"/>
            <w:ind w:left="604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7"/>
              <w:sz w:val="25"/>
              <w:szCs w:val="25"/>
            </w:rPr>
            <w:t>5</w:t>
          </w:r>
          <w:r>
            <w:rPr>
              <w:rFonts w:ascii="Times New Roman" w:eastAsia="Times New Roman" w:hAnsi="Times New Roman" w:cs="Times New Roman"/>
              <w:b/>
              <w:bCs/>
              <w:spacing w:val="17"/>
              <w:sz w:val="25"/>
              <w:szCs w:val="25"/>
            </w:rPr>
            <w:t xml:space="preserve">   </w:t>
          </w:r>
          <w:r>
            <w:rPr>
              <w:rFonts w:ascii="SimHei" w:eastAsia="SimHei" w:hAnsi="SimHei" w:cs="SimHei"/>
              <w:b/>
              <w:bCs/>
              <w:spacing w:val="7"/>
              <w:sz w:val="25"/>
              <w:szCs w:val="25"/>
            </w:rPr>
            <w:t>指南使用说明</w:t>
          </w:r>
          <w:r>
            <w:rPr>
              <w:rFonts w:ascii="SimHei" w:eastAsia="SimHei" w:hAnsi="SimHei" w:cs="SimHei"/>
              <w:spacing w:val="-115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SimHei" w:eastAsia="SimHei" w:hAnsi="SimHei" w:cs="SimHei"/>
              <w:spacing w:val="-67"/>
              <w:sz w:val="25"/>
              <w:szCs w:val="25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10"/>
                <w:sz w:val="25"/>
                <w:szCs w:val="25"/>
              </w:rPr>
              <w:t>17</w:t>
            </w:r>
          </w:hyperlink>
          <w:r>
            <w:rPr>
              <w:rFonts w:ascii="Times New Roman" w:eastAsia="Times New Roman" w:hAnsi="Times New Roman" w:cs="Times New Roman"/>
              <w:spacing w:val="-10"/>
              <w:sz w:val="25"/>
              <w:szCs w:val="25"/>
            </w:rPr>
            <w:t>-</w:t>
          </w:r>
        </w:p>
        <w:p>
          <w:pPr>
            <w:tabs>
              <w:tab w:val="right" w:leader="dot" w:pos="7399"/>
            </w:tabs>
            <w:spacing w:before="311" w:line="221" w:lineRule="auto"/>
            <w:ind w:left="608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SimHei" w:eastAsia="SimHei" w:hAnsi="SimHei" w:cs="SimHei"/>
              <w:b/>
              <w:bCs/>
              <w:spacing w:val="2"/>
              <w:sz w:val="25"/>
              <w:szCs w:val="25"/>
            </w:rPr>
            <w:t>鸣谢与声明</w:t>
          </w:r>
          <w:r>
            <w:rPr>
              <w:rFonts w:ascii="SimHei" w:eastAsia="SimHei" w:hAnsi="SimHei" w:cs="SimHei"/>
              <w:spacing w:val="-113"/>
              <w:sz w:val="25"/>
              <w:szCs w:val="25"/>
            </w:rPr>
            <w:t xml:space="preserve"> </w:t>
          </w:r>
          <w:r>
            <w:rPr>
              <w:rFonts w:ascii="SimHei" w:eastAsia="SimHei" w:hAnsi="SimHei" w:cs="SimHei"/>
              <w:sz w:val="25"/>
              <w:szCs w:val="25"/>
            </w:rPr>
            <w:tab/>
          </w:r>
          <w:r>
            <w:rPr>
              <w:rFonts w:ascii="Times New Roman" w:eastAsia="Times New Roman" w:hAnsi="Times New Roman" w:cs="Times New Roman"/>
              <w:spacing w:val="-9"/>
              <w:sz w:val="25"/>
              <w:szCs w:val="25"/>
            </w:rPr>
            <w:t>19-</w:t>
          </w:r>
        </w:p>
      </w:sdtContent>
    </w:sdt>
    <w:p>
      <w:pPr>
        <w:spacing w:line="221" w:lineRule="auto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br/>
      </w:r>
      <w:r>
        <w:rPr>
          <w:rFonts w:ascii="Times New Roman" w:eastAsia="Times New Roman" w:hAnsi="Times New Roman" w:cs="Times New Roman"/>
          <w:sz w:val="25"/>
          <w:szCs w:val="2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https://d.book118.com/438061110141006027</w:t>
        </w:r>
      </w:hyperlink>
    </w:p>
    <w:p>
      <w:pPr>
        <w:spacing w:line="221" w:lineRule="auto"/>
        <w:rPr>
          <w:rFonts w:ascii="Times New Roman" w:eastAsia="Times New Roman" w:hAnsi="Times New Roman" w:cs="Times New Roman"/>
          <w:sz w:val="25"/>
          <w:szCs w:val="25"/>
        </w:rPr>
      </w:pPr>
    </w:p>
    <w:sectPr>
      <w:footerReference w:type="default" r:id="rId6"/>
      <w:pgSz w:w="11900" w:h="16840"/>
      <w:pgMar w:top="728" w:right="1785" w:bottom="2571" w:left="1785" w:header="0" w:footer="2345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3594"/>
      <w:rPr>
        <w:rFonts w:ascii="Times New Roman" w:eastAsia="Times New Roman" w:hAnsi="Times New Roman" w:cs="Times New Roman"/>
        <w:sz w:val="25"/>
        <w:szCs w:val="25"/>
      </w:rPr>
    </w:pPr>
    <w:r>
      <w:rPr>
        <w:rFonts w:ascii="Times New Roman" w:eastAsia="Times New Roman" w:hAnsi="Times New Roman" w:cs="Times New Roman"/>
        <w:spacing w:val="-16"/>
        <w:w w:val="66"/>
        <w:sz w:val="25"/>
        <w:szCs w:val="25"/>
      </w:rPr>
      <w:t>—</w:t>
    </w:r>
    <w:r>
      <w:rPr>
        <w:rFonts w:ascii="Times New Roman" w:eastAsia="Times New Roman" w:hAnsi="Times New Roman" w:cs="Times New Roman"/>
        <w:spacing w:val="-27"/>
        <w:sz w:val="25"/>
        <w:szCs w:val="25"/>
      </w:rPr>
      <w:t>1—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438061110141006027" TargetMode="Externa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2024-01-19T17:25:36Z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2024-01-19T17:25:38Z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65aa400bb80a39001fee47a7wl</vt:lpwstr>
  </property>
</Properties>
</file>